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66261">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枣庄高新技术产业开发区管理委员会</w:t>
      </w:r>
    </w:p>
    <w:p w14:paraId="4235F98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14:paraId="7D3A15F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p w14:paraId="2B8A63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w:t>
      </w:r>
      <w:r>
        <w:rPr>
          <w:rFonts w:hint="eastAsia" w:ascii="仿宋_GB2312" w:hAnsi="仿宋_GB2312" w:eastAsia="仿宋_GB2312" w:cs="仿宋_GB2312"/>
          <w:sz w:val="32"/>
          <w:szCs w:val="32"/>
          <w:lang w:val="en-US" w:eastAsia="zh-CN"/>
        </w:rPr>
        <w:t>（国务院令第711号，以下简称《条例》）、《国务院办公厅政府信息与政务公开办公室关于印发&lt;中华人民共和国政府信息公开工作年度报告格式&gt;的通知》（国办公开办函〔2021〕30号）</w:t>
      </w:r>
      <w:r>
        <w:rPr>
          <w:rFonts w:hint="eastAsia" w:ascii="仿宋_GB2312" w:hAnsi="仿宋_GB2312" w:eastAsia="仿宋_GB2312" w:cs="仿宋_GB2312"/>
          <w:sz w:val="32"/>
          <w:szCs w:val="32"/>
        </w:rPr>
        <w:t>和省、市有关工作要求，由枣庄高新区</w:t>
      </w:r>
      <w:r>
        <w:rPr>
          <w:rFonts w:hint="eastAsia" w:ascii="仿宋_GB2312" w:hAnsi="仿宋_GB2312" w:eastAsia="仿宋_GB2312" w:cs="仿宋_GB2312"/>
          <w:sz w:val="32"/>
          <w:szCs w:val="32"/>
          <w:lang w:eastAsia="zh-CN"/>
        </w:rPr>
        <w:t>党政综合办公室</w:t>
      </w:r>
      <w:r>
        <w:rPr>
          <w:rFonts w:hint="eastAsia" w:ascii="仿宋_GB2312" w:hAnsi="仿宋_GB2312" w:eastAsia="仿宋_GB2312" w:cs="仿宋_GB2312"/>
          <w:sz w:val="32"/>
          <w:szCs w:val="32"/>
        </w:rPr>
        <w:t>编制。全文包括202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年政府信息公开工作要点</w:t>
      </w:r>
      <w:r>
        <w:rPr>
          <w:rFonts w:ascii="仿宋_GB2312" w:hAnsi="宋体" w:eastAsia="仿宋_GB2312" w:cs="仿宋_GB2312"/>
          <w:i w:val="0"/>
          <w:iCs w:val="0"/>
          <w:caps w:val="0"/>
          <w:color w:val="000000"/>
          <w:spacing w:val="0"/>
          <w:sz w:val="31"/>
          <w:szCs w:val="31"/>
          <w:shd w:val="clear" w:fill="FFFFFF"/>
        </w:rPr>
        <w:t>落实情况，主动公开政府信息情况，回应解读情况，依申请公开情况，政府信息公开行政复议、行政诉讼和投诉情况，存在的主要问题及改进措施等。</w:t>
      </w:r>
      <w:r>
        <w:rPr>
          <w:rFonts w:hint="eastAsia" w:ascii="仿宋_GB2312" w:hAnsi="仿宋_GB2312" w:eastAsia="仿宋_GB2312" w:cs="仿宋_GB2312"/>
          <w:sz w:val="32"/>
          <w:szCs w:val="32"/>
        </w:rPr>
        <w:t>本报告所列数据的统计时限自202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年12月31日。本报告全文将在枣庄高新区官网（http://www.zzctp.gov.cn/）“政府信息公开年报”专栏公布。如对本报告有疑问，请与枣庄高新区</w:t>
      </w:r>
      <w:r>
        <w:rPr>
          <w:rFonts w:hint="eastAsia" w:ascii="仿宋_GB2312" w:hAnsi="仿宋_GB2312" w:eastAsia="仿宋_GB2312" w:cs="仿宋_GB2312"/>
          <w:sz w:val="32"/>
          <w:szCs w:val="32"/>
          <w:lang w:eastAsia="zh-CN"/>
        </w:rPr>
        <w:t>党政综合办公室</w:t>
      </w:r>
      <w:r>
        <w:rPr>
          <w:rFonts w:hint="eastAsia" w:ascii="仿宋_GB2312" w:hAnsi="仿宋_GB2312" w:eastAsia="仿宋_GB2312" w:cs="仿宋_GB2312"/>
          <w:sz w:val="32"/>
          <w:szCs w:val="32"/>
        </w:rPr>
        <w:t>信息科联系（联系电话:0632-8626577，电子邮箱:gxqzwgkb@163.com）。</w:t>
      </w:r>
    </w:p>
    <w:p w14:paraId="70CE7A60">
      <w:pPr>
        <w:ind w:firstLine="640" w:firstLineChars="200"/>
        <w:rPr>
          <w:rFonts w:hint="eastAsia" w:ascii="黑体" w:hAnsi="黑体" w:eastAsia="黑体" w:cs="黑体"/>
          <w:sz w:val="32"/>
          <w:szCs w:val="32"/>
        </w:rPr>
      </w:pPr>
      <w:r>
        <w:rPr>
          <w:rFonts w:hint="eastAsia" w:ascii="黑体" w:hAnsi="黑体" w:eastAsia="黑体" w:cs="黑体"/>
          <w:sz w:val="32"/>
          <w:szCs w:val="32"/>
        </w:rPr>
        <w:t>—、总体情况</w:t>
      </w:r>
    </w:p>
    <w:p w14:paraId="6840B2F2">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年，枣庄高新区认真贯彻落实国家、省、市关于政务公开各项工作部署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努力提高服务大局、服务基层、服务群众的能力，不断提升我区政务公开规范化水平。</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主要内容</w:t>
      </w:r>
      <w:r>
        <w:rPr>
          <w:rFonts w:hint="eastAsia" w:ascii="仿宋_GB2312" w:hAnsi="仿宋_GB2312" w:eastAsia="仿宋_GB2312" w:cs="仿宋_GB2312"/>
          <w:sz w:val="32"/>
          <w:szCs w:val="32"/>
        </w:rPr>
        <w:t>包括主动公开政府信息情况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依申请公开情况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w:t>
      </w:r>
      <w:r>
        <w:rPr>
          <w:rFonts w:hint="eastAsia" w:ascii="仿宋_GB2312" w:hAnsi="仿宋_GB2312" w:eastAsia="仿宋_GB2312" w:cs="仿宋_GB2312"/>
          <w:sz w:val="32"/>
          <w:szCs w:val="32"/>
          <w:lang w:eastAsia="zh-CN"/>
        </w:rPr>
        <w:t>管理情况、政府信息公开平台建设情况、监督保障情况</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themeColor="text1"/>
          <w:sz w:val="32"/>
          <w:szCs w:val="32"/>
          <w14:textFill>
            <w14:solidFill>
              <w14:schemeClr w14:val="tx1"/>
            </w14:solidFill>
          </w14:textFill>
        </w:rPr>
        <w:t>现将我区202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年度政府信息公开工作情况报告如下：</w:t>
      </w:r>
    </w:p>
    <w:p w14:paraId="55F25E96">
      <w:pPr>
        <w:numPr>
          <w:ilvl w:val="0"/>
          <w:numId w:val="1"/>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主动公开工作情况</w:t>
      </w:r>
    </w:p>
    <w:p w14:paraId="5C80E608">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1.会议与政策文件信息公开</w:t>
      </w:r>
    </w:p>
    <w:p w14:paraId="3A885FC3">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会议公开方面，202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年共召开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次区级领导干部办公会议。其中，采取</w:t>
      </w:r>
      <w:r>
        <w:rPr>
          <w:rFonts w:hint="eastAsia" w:ascii="仿宋_GB2312" w:hAnsi="仿宋_GB2312" w:eastAsia="仿宋_GB2312" w:cs="仿宋_GB2312"/>
          <w:color w:val="000000" w:themeColor="text1"/>
          <w:sz w:val="32"/>
          <w:szCs w:val="32"/>
          <w:lang w:eastAsia="zh-CN"/>
          <w14:textFill>
            <w14:solidFill>
              <w14:schemeClr w14:val="tx1"/>
            </w14:solidFill>
          </w14:textFill>
        </w:rPr>
        <w:t>新闻稿、</w:t>
      </w:r>
      <w:r>
        <w:rPr>
          <w:rFonts w:hint="eastAsia" w:ascii="仿宋_GB2312" w:hAnsi="仿宋_GB2312" w:eastAsia="仿宋_GB2312" w:cs="仿宋_GB2312"/>
          <w:color w:val="000000" w:themeColor="text1"/>
          <w:sz w:val="32"/>
          <w:szCs w:val="32"/>
          <w14:textFill>
            <w14:solidFill>
              <w14:schemeClr w14:val="tx1"/>
            </w14:solidFill>
          </w14:textFill>
        </w:rPr>
        <w:t>广播电视</w:t>
      </w:r>
      <w:r>
        <w:rPr>
          <w:rFonts w:hint="eastAsia" w:ascii="仿宋_GB2312" w:hAnsi="仿宋_GB2312" w:eastAsia="仿宋_GB2312" w:cs="仿宋_GB2312"/>
          <w:color w:val="000000" w:themeColor="text1"/>
          <w:sz w:val="32"/>
          <w:szCs w:val="32"/>
          <w:lang w:eastAsia="zh-CN"/>
          <w14:textFill>
            <w14:solidFill>
              <w14:schemeClr w14:val="tx1"/>
            </w14:solidFill>
          </w14:textFill>
        </w:rPr>
        <w:t>、网络</w:t>
      </w:r>
      <w:r>
        <w:rPr>
          <w:rFonts w:hint="eastAsia" w:ascii="仿宋_GB2312" w:hAnsi="仿宋_GB2312" w:eastAsia="仿宋_GB2312" w:cs="仿宋_GB2312"/>
          <w:color w:val="000000" w:themeColor="text1"/>
          <w:sz w:val="32"/>
          <w:szCs w:val="32"/>
          <w14:textFill>
            <w14:solidFill>
              <w14:schemeClr w14:val="tx1"/>
            </w14:solidFill>
          </w14:textFill>
        </w:rPr>
        <w:t>和新媒体等形式向社会公开了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次区级领导干部办公会议。</w:t>
      </w:r>
    </w:p>
    <w:p w14:paraId="041C42BF">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政策文件方面，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14:textFill>
            <w14:solidFill>
              <w14:schemeClr w14:val="tx1"/>
            </w14:solidFill>
          </w14:textFill>
        </w:rPr>
        <w:t>主动公开管委会文件、管委会办公室文件和规范性文件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共</w:t>
      </w:r>
      <w:r>
        <w:rPr>
          <w:rFonts w:hint="eastAsia" w:ascii="仿宋_GB2312" w:hAnsi="仿宋_GB2312" w:eastAsia="仿宋_GB2312" w:cs="仿宋_GB2312"/>
          <w:color w:val="000000" w:themeColor="text1"/>
          <w:sz w:val="32"/>
          <w:szCs w:val="32"/>
          <w14:textFill>
            <w14:solidFill>
              <w14:schemeClr w14:val="tx1"/>
            </w14:solidFill>
          </w14:textFill>
        </w:rPr>
        <w:t>配发解读材料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件。其中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主要</w:t>
      </w:r>
      <w:r>
        <w:rPr>
          <w:rFonts w:hint="eastAsia" w:ascii="仿宋_GB2312" w:hAnsi="仿宋_GB2312" w:eastAsia="仿宋_GB2312" w:cs="仿宋_GB2312"/>
          <w:color w:val="000000" w:themeColor="text1"/>
          <w:sz w:val="32"/>
          <w:szCs w:val="32"/>
          <w14:textFill>
            <w14:solidFill>
              <w14:schemeClr w14:val="tx1"/>
            </w14:solidFill>
          </w14:textFill>
        </w:rPr>
        <w:t>负责人解读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音频动漫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、图片解读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1件、简明问答2件、媒体解读1件、专家解读2件、文字解读1件。</w:t>
      </w:r>
    </w:p>
    <w:p w14:paraId="2A93E371">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166360" cy="2979420"/>
            <wp:effectExtent l="0" t="0" r="15240" b="11430"/>
            <wp:docPr id="5" name="图片 5" descr="搜狗截图25年01月17日163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搜狗截图25年01月17日1637_2"/>
                    <pic:cNvPicPr>
                      <a:picLocks noChangeAspect="1"/>
                    </pic:cNvPicPr>
                  </pic:nvPicPr>
                  <pic:blipFill>
                    <a:blip r:embed="rId4"/>
                    <a:stretch>
                      <a:fillRect/>
                    </a:stretch>
                  </pic:blipFill>
                  <pic:spPr>
                    <a:xfrm>
                      <a:off x="0" y="0"/>
                      <a:ext cx="5166360" cy="2979420"/>
                    </a:xfrm>
                    <a:prstGeom prst="rect">
                      <a:avLst/>
                    </a:prstGeom>
                  </pic:spPr>
                </pic:pic>
              </a:graphicData>
            </a:graphic>
          </wp:inline>
        </w:drawing>
      </w:r>
    </w:p>
    <w:p w14:paraId="4005512E">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inline distT="0" distB="0" distL="114300" distR="114300">
            <wp:extent cx="4869815" cy="2752725"/>
            <wp:effectExtent l="0" t="0" r="6985" b="9525"/>
            <wp:docPr id="6" name="图片 6" descr="搜狗截图25年01月17日154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搜狗截图25年01月17日1546_1"/>
                    <pic:cNvPicPr>
                      <a:picLocks noChangeAspect="1"/>
                    </pic:cNvPicPr>
                  </pic:nvPicPr>
                  <pic:blipFill>
                    <a:blip r:embed="rId5"/>
                    <a:stretch>
                      <a:fillRect/>
                    </a:stretch>
                  </pic:blipFill>
                  <pic:spPr>
                    <a:xfrm>
                      <a:off x="0" y="0"/>
                      <a:ext cx="4869815" cy="2752725"/>
                    </a:xfrm>
                    <a:prstGeom prst="rect">
                      <a:avLst/>
                    </a:prstGeom>
                  </pic:spPr>
                </pic:pic>
              </a:graphicData>
            </a:graphic>
          </wp:inline>
        </w:drawing>
      </w:r>
    </w:p>
    <w:p w14:paraId="04445467">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.重点领域信息公开</w:t>
      </w:r>
    </w:p>
    <w:p w14:paraId="216DC894">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财政信息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方面，</w:t>
      </w:r>
      <w:r>
        <w:rPr>
          <w:rFonts w:hint="eastAsia" w:ascii="仿宋_GB2312" w:hAnsi="仿宋_GB2312" w:eastAsia="仿宋_GB2312" w:cs="仿宋_GB2312"/>
          <w:color w:val="000000" w:themeColor="text1"/>
          <w:sz w:val="32"/>
          <w:szCs w:val="32"/>
          <w14:textFill>
            <w14:solidFill>
              <w14:schemeClr w14:val="tx1"/>
            </w14:solidFill>
          </w14:textFill>
        </w:rPr>
        <w:t>设置财政预决算信息专栏，将政府预决算、部门预决算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财政收支情况集中公开，便于公众及时了解我区财政情况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社会公益事业建设方面，及时公开</w:t>
      </w:r>
      <w:r>
        <w:rPr>
          <w:rFonts w:hint="eastAsia" w:ascii="仿宋_GB2312" w:hAnsi="仿宋_GB2312" w:eastAsia="仿宋_GB2312" w:cs="仿宋_GB2312"/>
          <w:color w:val="000000" w:themeColor="text1"/>
          <w:sz w:val="32"/>
          <w:szCs w:val="32"/>
          <w14:textFill>
            <w14:solidFill>
              <w14:schemeClr w14:val="tx1"/>
            </w14:solidFill>
          </w14:textFill>
        </w:rPr>
        <w:t>社会救助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社会福利</w:t>
      </w:r>
      <w:r>
        <w:rPr>
          <w:rFonts w:hint="eastAsia" w:ascii="仿宋_GB2312" w:hAnsi="仿宋_GB2312" w:eastAsia="仿宋_GB2312" w:cs="仿宋_GB2312"/>
          <w:color w:val="000000" w:themeColor="text1"/>
          <w:sz w:val="32"/>
          <w:szCs w:val="32"/>
          <w:lang w:eastAsia="zh-CN"/>
          <w14:textFill>
            <w14:solidFill>
              <w14:schemeClr w14:val="tx1"/>
            </w14:solidFill>
          </w14:textFill>
        </w:rPr>
        <w:t>、稳岗就业、</w:t>
      </w:r>
      <w:r>
        <w:rPr>
          <w:rFonts w:hint="eastAsia" w:ascii="仿宋_GB2312" w:hAnsi="仿宋_GB2312" w:eastAsia="仿宋_GB2312" w:cs="仿宋_GB2312"/>
          <w:color w:val="000000" w:themeColor="text1"/>
          <w:sz w:val="32"/>
          <w:szCs w:val="32"/>
          <w14:textFill>
            <w14:solidFill>
              <w14:schemeClr w14:val="tx1"/>
            </w14:solidFill>
          </w14:textFill>
        </w:rPr>
        <w:t>公共文化体育</w:t>
      </w:r>
      <w:r>
        <w:rPr>
          <w:rFonts w:hint="eastAsia" w:ascii="仿宋_GB2312" w:hAnsi="仿宋_GB2312" w:eastAsia="仿宋_GB2312" w:cs="仿宋_GB2312"/>
          <w:color w:val="000000" w:themeColor="text1"/>
          <w:sz w:val="32"/>
          <w:szCs w:val="32"/>
          <w:lang w:eastAsia="zh-CN"/>
          <w14:textFill>
            <w14:solidFill>
              <w14:schemeClr w14:val="tx1"/>
            </w14:solidFill>
          </w14:textFill>
        </w:rPr>
        <w:t>等多方面信息，</w:t>
      </w:r>
      <w:r>
        <w:rPr>
          <w:rFonts w:hint="eastAsia" w:ascii="仿宋_GB2312" w:hAnsi="仿宋_GB2312" w:eastAsia="仿宋_GB2312" w:cs="仿宋_GB2312"/>
          <w:color w:val="000000" w:themeColor="text1"/>
          <w:sz w:val="32"/>
          <w:szCs w:val="32"/>
          <w14:textFill>
            <w14:solidFill>
              <w14:schemeClr w14:val="tx1"/>
            </w14:solidFill>
          </w14:textFill>
        </w:rPr>
        <w:t>保障公众知</w:t>
      </w:r>
      <w:r>
        <w:rPr>
          <w:rFonts w:hint="eastAsia" w:ascii="仿宋_GB2312" w:hAnsi="仿宋_GB2312" w:eastAsia="仿宋_GB2312" w:cs="仿宋_GB2312"/>
          <w:color w:val="000000" w:themeColor="text1"/>
          <w:sz w:val="32"/>
          <w:szCs w:val="32"/>
          <w:lang w:eastAsia="zh-CN"/>
          <w14:textFill>
            <w14:solidFill>
              <w14:schemeClr w14:val="tx1"/>
            </w14:solidFill>
          </w14:textFill>
        </w:rPr>
        <w:t>情权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公共资源配置方面，主动公开住房保障、交易信息等，</w:t>
      </w:r>
      <w:r>
        <w:rPr>
          <w:rFonts w:hint="eastAsia" w:ascii="仿宋_GB2312" w:hAnsi="仿宋_GB2312" w:eastAsia="仿宋_GB2312" w:cs="仿宋_GB2312"/>
          <w:color w:val="000000" w:themeColor="text1"/>
          <w:sz w:val="32"/>
          <w:szCs w:val="32"/>
          <w:lang w:eastAsia="zh-CN"/>
          <w14:textFill>
            <w14:solidFill>
              <w14:schemeClr w14:val="tx1"/>
            </w14:solidFill>
          </w14:textFill>
        </w:rPr>
        <w:t>最大限度满足公众的信息需求。</w:t>
      </w:r>
    </w:p>
    <w:p w14:paraId="214C1316">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.重大</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项目建设</w:t>
      </w:r>
      <w:r>
        <w:rPr>
          <w:rFonts w:hint="eastAsia" w:ascii="仿宋_GB2312" w:hAnsi="仿宋_GB2312" w:eastAsia="仿宋_GB2312" w:cs="仿宋_GB2312"/>
          <w:color w:val="000000" w:themeColor="text1"/>
          <w:sz w:val="32"/>
          <w:szCs w:val="32"/>
          <w14:textFill>
            <w14:solidFill>
              <w14:schemeClr w14:val="tx1"/>
            </w14:solidFill>
          </w14:textFill>
        </w:rPr>
        <w:t>和实施领域信息公开</w:t>
      </w:r>
    </w:p>
    <w:p w14:paraId="2646FCE1">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在区门户网站法定主动公开专栏设置重大项目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，集中公开了重大建设项目清单、批准服务信息、项目实施信息等。将每一个项目的实施情况按照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批准结果信息、招标投标信息</w:t>
      </w:r>
      <w:r>
        <w:rPr>
          <w:rFonts w:hint="eastAsia" w:ascii="仿宋_GB2312" w:hAnsi="仿宋_GB2312" w:eastAsia="仿宋_GB2312" w:cs="仿宋_GB2312"/>
          <w:color w:val="000000" w:themeColor="text1"/>
          <w:sz w:val="32"/>
          <w:szCs w:val="32"/>
          <w14:textFill>
            <w14:solidFill>
              <w14:schemeClr w14:val="tx1"/>
            </w14:solidFill>
          </w14:textFill>
        </w:rPr>
        <w:t>、征收土地</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w:t>
      </w:r>
      <w:r>
        <w:rPr>
          <w:rFonts w:hint="eastAsia" w:ascii="仿宋_GB2312" w:hAnsi="仿宋_GB2312" w:eastAsia="仿宋_GB2312" w:cs="仿宋_GB2312"/>
          <w:color w:val="000000" w:themeColor="text1"/>
          <w:sz w:val="32"/>
          <w:szCs w:val="32"/>
          <w14:textFill>
            <w14:solidFill>
              <w14:schemeClr w14:val="tx1"/>
            </w14:solidFill>
          </w14:textFill>
        </w:rPr>
        <w:t>、重大设计变更信息、施工有关信息、质量安全监督信息、竣工有关信息等过程全面公开，方便公众了解进展情况。</w:t>
      </w:r>
    </w:p>
    <w:p w14:paraId="39DBFE2F">
      <w:pPr>
        <w:jc w:val="center"/>
        <w:rPr>
          <w:rFonts w:hint="eastAsia" w:ascii="仿宋_GB2312" w:hAnsi="仿宋_GB2312" w:eastAsia="仿宋_GB2312" w:cs="仿宋_GB2312"/>
          <w:color w:val="4874CB" w:themeColor="accent1"/>
          <w:sz w:val="32"/>
          <w:szCs w:val="32"/>
          <w:lang w:eastAsia="zh-CN"/>
          <w14:textFill>
            <w14:solidFill>
              <w14:schemeClr w14:val="accent1"/>
            </w14:solidFill>
          </w14:textFill>
        </w:rPr>
      </w:pPr>
      <w:r>
        <w:rPr>
          <w:rFonts w:hint="eastAsia" w:ascii="仿宋_GB2312" w:hAnsi="仿宋_GB2312" w:eastAsia="仿宋_GB2312" w:cs="仿宋_GB2312"/>
          <w:color w:val="4874CB" w:themeColor="accent1"/>
          <w:sz w:val="32"/>
          <w:szCs w:val="32"/>
          <w:lang w:eastAsia="zh-CN"/>
          <w14:textFill>
            <w14:solidFill>
              <w14:schemeClr w14:val="accent1"/>
            </w14:solidFill>
          </w14:textFill>
        </w:rPr>
        <w:drawing>
          <wp:inline distT="0" distB="0" distL="114300" distR="114300">
            <wp:extent cx="4222115" cy="3110865"/>
            <wp:effectExtent l="0" t="0" r="6985" b="13335"/>
            <wp:docPr id="2" name="图片 3" descr="重大项目建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重大项目建设"/>
                    <pic:cNvPicPr>
                      <a:picLocks noChangeAspect="1"/>
                    </pic:cNvPicPr>
                  </pic:nvPicPr>
                  <pic:blipFill>
                    <a:blip r:embed="rId6"/>
                    <a:stretch>
                      <a:fillRect/>
                    </a:stretch>
                  </pic:blipFill>
                  <pic:spPr>
                    <a:xfrm>
                      <a:off x="0" y="0"/>
                      <a:ext cx="4222115" cy="3110865"/>
                    </a:xfrm>
                    <a:prstGeom prst="rect">
                      <a:avLst/>
                    </a:prstGeom>
                    <a:noFill/>
                    <a:ln>
                      <a:noFill/>
                    </a:ln>
                  </pic:spPr>
                </pic:pic>
              </a:graphicData>
            </a:graphic>
          </wp:inline>
        </w:drawing>
      </w:r>
    </w:p>
    <w:p w14:paraId="594C7604">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.互动回应</w:t>
      </w:r>
    </w:p>
    <w:p w14:paraId="3A79D9D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收到互动交流信件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件，按时回复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（其中，区政法委回复信件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。及时解决群众热点难点问题，做到政府网站互动日常化、常态化、良性化。</w:t>
      </w:r>
    </w:p>
    <w:p w14:paraId="155EDC26">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.其他信息方面</w:t>
      </w:r>
    </w:p>
    <w:p w14:paraId="10A59BF1">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及时更新《条例》第二十条和第二十一条规定，主动公开政府信息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4000余</w:t>
      </w:r>
      <w:r>
        <w:rPr>
          <w:rFonts w:hint="eastAsia" w:ascii="仿宋_GB2312" w:hAnsi="仿宋_GB2312" w:eastAsia="仿宋_GB2312" w:cs="仿宋_GB2312"/>
          <w:color w:val="000000" w:themeColor="text1"/>
          <w:sz w:val="32"/>
          <w:szCs w:val="32"/>
          <w14:textFill>
            <w14:solidFill>
              <w14:schemeClr w14:val="tx1"/>
            </w14:solidFill>
          </w14:textFill>
        </w:rPr>
        <w:t>条；根据《2024年山东省政务公开效能监测实施方案》要求，督促各部门单位政府信息公开工作的开展。</w:t>
      </w:r>
    </w:p>
    <w:p w14:paraId="7F545E6C">
      <w:pPr>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（二）依申请公开办理情况</w:t>
      </w:r>
    </w:p>
    <w:p w14:paraId="10AC1B1E">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1.收到和处理政府信息公开申请情况</w:t>
      </w:r>
    </w:p>
    <w:p w14:paraId="6713155F">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枣庄高新区</w:t>
      </w:r>
      <w:r>
        <w:rPr>
          <w:rFonts w:hint="eastAsia" w:ascii="仿宋_GB2312" w:hAnsi="仿宋_GB2312" w:eastAsia="仿宋_GB2312" w:cs="仿宋_GB2312"/>
          <w:color w:val="000000" w:themeColor="text1"/>
          <w:sz w:val="32"/>
          <w:szCs w:val="32"/>
          <w:lang w:eastAsia="zh-CN"/>
          <w14:textFill>
            <w14:solidFill>
              <w14:schemeClr w14:val="tx1"/>
            </w14:solidFill>
          </w14:textFill>
        </w:rPr>
        <w:t>党政综合办公室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认真执行《中华</w:t>
      </w:r>
      <w:r>
        <w:rPr>
          <w:rFonts w:hint="eastAsia" w:ascii="仿宋_GB2312" w:eastAsia="仿宋_GB2312"/>
          <w:color w:val="000000"/>
          <w:sz w:val="32"/>
          <w:szCs w:val="32"/>
          <w:shd w:val="clear" w:color="auto" w:fill="FFFFFF"/>
          <w:lang w:val="en-US" w:eastAsia="zh-CN"/>
        </w:rPr>
        <w:t>人民共和国政府信息公开条例》，严格规范依申请公开办理流程，</w:t>
      </w:r>
      <w:r>
        <w:rPr>
          <w:rFonts w:hint="default" w:ascii="仿宋_GB2312" w:hAnsi="黑体" w:eastAsia="仿宋_GB2312"/>
          <w:sz w:val="32"/>
          <w:szCs w:val="32"/>
          <w:lang w:val="en-US" w:eastAsia="zh-CN"/>
        </w:rPr>
        <w:t>进一步拓展受理渠道，保障公民、法人和其他组织依法获取政府信息。</w:t>
      </w:r>
      <w:r>
        <w:rPr>
          <w:rFonts w:hint="eastAsia" w:ascii="仿宋_GB2312" w:eastAsia="仿宋_GB2312"/>
          <w:color w:val="000000"/>
          <w:sz w:val="32"/>
          <w:szCs w:val="32"/>
          <w:shd w:val="clear" w:color="auto" w:fill="FFFFFF"/>
          <w:lang w:val="en-US" w:eastAsia="zh-CN"/>
        </w:rPr>
        <w:t>2024年</w:t>
      </w:r>
      <w:r>
        <w:rPr>
          <w:rFonts w:hint="eastAsia" w:ascii="仿宋_GB2312" w:hAnsi="仿宋_GB2312" w:eastAsia="仿宋_GB2312" w:cs="仿宋_GB2312"/>
          <w:color w:val="000000" w:themeColor="text1"/>
          <w:sz w:val="32"/>
          <w:szCs w:val="32"/>
          <w14:textFill>
            <w14:solidFill>
              <w14:schemeClr w14:val="tx1"/>
            </w14:solidFill>
          </w14:textFill>
        </w:rPr>
        <w:t>处理市政府协查函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处理依申请公开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处理申请数量较2023年呈上升趋势。</w:t>
      </w:r>
    </w:p>
    <w:p w14:paraId="075A1897">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6C74338B">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2.政府信息公开行政复议、行政诉讼情况</w:t>
      </w:r>
    </w:p>
    <w:p w14:paraId="3B3F19FA">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年，因政府信息公开被申请行政复议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件，因公民、法人和其他组织认为行政机关政府信息公开工作具体行政行为侵犯其合法权益，提起行政诉讼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件。</w:t>
      </w:r>
    </w:p>
    <w:p w14:paraId="7AB1C3A2">
      <w:pPr>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（三）政府信息管理</w:t>
      </w:r>
    </w:p>
    <w:p w14:paraId="07DB1D00">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法定时限及时发布并实时更新法定主动公开内容。明确责任，各部门分管政府信息公开工作的领导人员是第一责任人，各行政机关政府信息公开工作机构是法定责任主体，负责推进协调政府信息公开平台建设和管理工作。将政府信息管理工作，作为推进、指导、协调、监督的重要内容。</w:t>
      </w:r>
    </w:p>
    <w:p w14:paraId="646E8490">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（四）政府信息公开平台建设</w:t>
      </w:r>
    </w:p>
    <w:p w14:paraId="17E5D4D2">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一是设立政府信息公开专栏，在政府门户网站信息公开专栏设置财政预决算</w:t>
      </w:r>
      <w:r>
        <w:rPr>
          <w:rFonts w:hint="eastAsia" w:ascii="仿宋_GB2312" w:hAnsi="仿宋_GB2312" w:eastAsia="仿宋_GB2312" w:cs="仿宋_GB2312"/>
          <w:color w:val="000000" w:themeColor="text1"/>
          <w:sz w:val="32"/>
          <w:szCs w:val="32"/>
          <w:lang w:eastAsia="zh-CN"/>
          <w14:textFill>
            <w14:solidFill>
              <w14:schemeClr w14:val="tx1"/>
            </w14:solidFill>
          </w14:textFill>
        </w:rPr>
        <w:t>平台、优化营商环境、</w:t>
      </w:r>
      <w:r>
        <w:rPr>
          <w:rFonts w:hint="eastAsia" w:ascii="仿宋_GB2312" w:hAnsi="仿宋_GB2312" w:eastAsia="仿宋_GB2312" w:cs="仿宋_GB2312"/>
          <w:color w:val="000000" w:themeColor="text1"/>
          <w:sz w:val="32"/>
          <w:szCs w:val="32"/>
          <w14:textFill>
            <w14:solidFill>
              <w14:schemeClr w14:val="tx1"/>
            </w14:solidFill>
          </w14:textFill>
        </w:rPr>
        <w:t>基层政务公开标准化规范化</w:t>
      </w:r>
      <w:bookmarkStart w:id="10" w:name="_GoBack"/>
      <w:bookmarkEnd w:id="10"/>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个专栏，方便群众浏览、知晓；</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是及时维护更新微信公众号、微博</w:t>
      </w:r>
      <w:r>
        <w:rPr>
          <w:rFonts w:hint="eastAsia" w:ascii="仿宋_GB2312" w:hAnsi="仿宋_GB2312" w:eastAsia="仿宋_GB2312" w:cs="仿宋_GB2312"/>
          <w:color w:val="000000" w:themeColor="text1"/>
          <w:sz w:val="32"/>
          <w:szCs w:val="32"/>
          <w:lang w:eastAsia="zh-CN"/>
          <w14:textFill>
            <w14:solidFill>
              <w14:schemeClr w14:val="tx1"/>
            </w14:solidFill>
          </w14:textFill>
        </w:rPr>
        <w:t>、抖音等政务新媒体；三</w:t>
      </w:r>
      <w:r>
        <w:rPr>
          <w:rFonts w:hint="eastAsia" w:ascii="仿宋_GB2312" w:hAnsi="仿宋_GB2312" w:eastAsia="仿宋_GB2312" w:cs="仿宋_GB2312"/>
          <w:color w:val="000000" w:themeColor="text1"/>
          <w:sz w:val="32"/>
          <w:szCs w:val="32"/>
          <w14:textFill>
            <w14:solidFill>
              <w14:schemeClr w14:val="tx1"/>
            </w14:solidFill>
          </w14:textFill>
        </w:rPr>
        <w:t>是完善基层标准化规范化建设，全区已建设标准化规范化区级专区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处、街道专区3处、村居</w:t>
      </w:r>
      <w:r>
        <w:rPr>
          <w:rFonts w:hint="eastAsia" w:ascii="仿宋_GB2312" w:hAnsi="仿宋_GB2312" w:eastAsia="仿宋_GB2312" w:cs="仿宋_GB2312"/>
          <w:color w:val="000000" w:themeColor="text1"/>
          <w:sz w:val="32"/>
          <w:szCs w:val="32"/>
          <w:lang w:eastAsia="zh-CN"/>
          <w14:textFill>
            <w14:solidFill>
              <w14:schemeClr w14:val="tx1"/>
            </w14:solidFill>
          </w14:textFill>
        </w:rPr>
        <w:t>（社区）</w:t>
      </w:r>
      <w:r>
        <w:rPr>
          <w:rFonts w:hint="eastAsia" w:ascii="仿宋_GB2312" w:hAnsi="仿宋_GB2312" w:eastAsia="仿宋_GB2312" w:cs="仿宋_GB2312"/>
          <w:color w:val="000000" w:themeColor="text1"/>
          <w:sz w:val="32"/>
          <w:szCs w:val="32"/>
          <w14:textFill>
            <w14:solidFill>
              <w14:schemeClr w14:val="tx1"/>
            </w14:solidFill>
          </w14:textFill>
        </w:rPr>
        <w:t>专区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10余</w:t>
      </w:r>
      <w:r>
        <w:rPr>
          <w:rFonts w:hint="eastAsia" w:ascii="仿宋_GB2312" w:hAnsi="仿宋_GB2312" w:eastAsia="仿宋_GB2312" w:cs="仿宋_GB2312"/>
          <w:color w:val="000000" w:themeColor="text1"/>
          <w:sz w:val="32"/>
          <w:szCs w:val="32"/>
          <w14:textFill>
            <w14:solidFill>
              <w14:schemeClr w14:val="tx1"/>
            </w14:solidFill>
          </w14:textFill>
        </w:rPr>
        <w:t>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7D60A5C9">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11420" cy="3449320"/>
            <wp:effectExtent l="0" t="0" r="17780" b="17780"/>
            <wp:docPr id="4" name="图片 4" descr="政务公开专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政务公开专区"/>
                    <pic:cNvPicPr>
                      <a:picLocks noChangeAspect="1"/>
                    </pic:cNvPicPr>
                  </pic:nvPicPr>
                  <pic:blipFill>
                    <a:blip r:embed="rId7"/>
                    <a:srcRect l="24" t="4846" r="-197" b="5325"/>
                    <a:stretch>
                      <a:fillRect/>
                    </a:stretch>
                  </pic:blipFill>
                  <pic:spPr>
                    <a:xfrm>
                      <a:off x="0" y="0"/>
                      <a:ext cx="5011420" cy="3449320"/>
                    </a:xfrm>
                    <a:prstGeom prst="rect">
                      <a:avLst/>
                    </a:prstGeom>
                    <a:noFill/>
                    <a:ln>
                      <a:noFill/>
                    </a:ln>
                  </pic:spPr>
                </pic:pic>
              </a:graphicData>
            </a:graphic>
          </wp:inline>
        </w:drawing>
      </w:r>
    </w:p>
    <w:p w14:paraId="14FD054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（五）监督保障</w:t>
      </w:r>
    </w:p>
    <w:p w14:paraId="6C2023C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4874CB" w:themeColor="accent1"/>
          <w:sz w:val="32"/>
          <w:szCs w:val="32"/>
          <w14:textFill>
            <w14:solidFill>
              <w14:schemeClr w14:val="accent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w:t>
      </w:r>
      <w:r>
        <w:rPr>
          <w:rFonts w:hint="eastAsia" w:ascii="仿宋_GB2312" w:hAnsi="仿宋_GB2312" w:eastAsia="仿宋_GB2312" w:cs="仿宋_GB2312"/>
          <w:color w:val="000000" w:themeColor="text1"/>
          <w:sz w:val="32"/>
          <w:szCs w:val="32"/>
          <w14:textFill>
            <w14:solidFill>
              <w14:schemeClr w14:val="tx1"/>
            </w14:solidFill>
          </w14:textFill>
        </w:rPr>
        <w:t>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检查工作</w:t>
      </w:r>
      <w:r>
        <w:rPr>
          <w:rFonts w:hint="eastAsia" w:ascii="仿宋_GB2312" w:hAnsi="仿宋_GB2312" w:eastAsia="仿宋_GB2312" w:cs="仿宋_GB2312"/>
          <w:color w:val="000000" w:themeColor="text1"/>
          <w:sz w:val="32"/>
          <w:szCs w:val="32"/>
          <w14:textFill>
            <w14:solidFill>
              <w14:schemeClr w14:val="tx1"/>
            </w14:solidFill>
          </w14:textFill>
        </w:rPr>
        <w:t>实效。</w:t>
      </w:r>
      <w:r>
        <w:rPr>
          <w:rFonts w:hint="eastAsia" w:ascii="仿宋_GB2312" w:hAnsi="仿宋_GB2312" w:eastAsia="仿宋_GB2312" w:cs="仿宋_GB2312"/>
          <w:color w:val="000000" w:themeColor="text1"/>
          <w:sz w:val="32"/>
          <w:szCs w:val="32"/>
          <w14:textFill>
            <w14:solidFill>
              <w14:schemeClr w14:val="tx1"/>
            </w14:solidFill>
          </w14:textFill>
        </w:rPr>
        <w:t>根据《2024年山东省政务公开效能监测实施方案》要求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将政务公开工作纳入考核，加大政务公开工作自查自纠力度，把政务公开工作落到实处，确保政务公开工作高质量、高标准、严要求开展。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强化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工作队伍建设。</w:t>
      </w:r>
      <w:r>
        <w:rPr>
          <w:rFonts w:hint="eastAsia" w:ascii="仿宋_GB2312" w:hAnsi="仿宋_GB2312" w:eastAsia="仿宋_GB2312" w:cs="仿宋_GB2312"/>
          <w:color w:val="000000"/>
          <w:kern w:val="0"/>
          <w:sz w:val="32"/>
          <w:szCs w:val="32"/>
          <w:lang w:val="en-US" w:eastAsia="zh-CN"/>
        </w:rPr>
        <w:t>进一步</w:t>
      </w:r>
      <w:r>
        <w:rPr>
          <w:rFonts w:hint="eastAsia" w:ascii="仿宋_GB2312" w:hAnsi="仿宋_GB2312" w:eastAsia="仿宋_GB2312" w:cs="仿宋_GB2312"/>
          <w:color w:val="000000"/>
          <w:kern w:val="0"/>
          <w:sz w:val="32"/>
          <w:szCs w:val="32"/>
          <w:lang w:eastAsia="zh-CN"/>
        </w:rPr>
        <w:t>适应新常态、新思路，积极对上沟通的同时重视与下对接，强化主管单位工作人员理论知识学习和业务技能培训，提升专业素养，</w:t>
      </w:r>
      <w:r>
        <w:rPr>
          <w:rFonts w:hint="eastAsia" w:ascii="仿宋_GB2312" w:hAnsi="微软雅黑" w:eastAsia="仿宋_GB2312" w:cs="仿宋_GB2312"/>
          <w:i w:val="0"/>
          <w:caps w:val="0"/>
          <w:color w:val="000000"/>
          <w:spacing w:val="0"/>
          <w:sz w:val="32"/>
          <w:szCs w:val="32"/>
          <w:shd w:val="clear" w:color="auto" w:fill="FFFFFF"/>
        </w:rPr>
        <w:t>打造一支综合素质高、具有丰富</w:t>
      </w:r>
      <w:r>
        <w:rPr>
          <w:rFonts w:hint="eastAsia" w:ascii="仿宋_GB2312" w:hAnsi="微软雅黑" w:eastAsia="仿宋_GB2312" w:cs="仿宋_GB2312"/>
          <w:i w:val="0"/>
          <w:caps w:val="0"/>
          <w:color w:val="000000"/>
          <w:spacing w:val="0"/>
          <w:sz w:val="32"/>
          <w:szCs w:val="32"/>
          <w:shd w:val="clear" w:color="auto" w:fill="FFFFFF"/>
          <w:lang w:eastAsia="zh-CN"/>
        </w:rPr>
        <w:t>政务公开</w:t>
      </w:r>
      <w:r>
        <w:rPr>
          <w:rFonts w:hint="eastAsia" w:ascii="仿宋_GB2312" w:hAnsi="微软雅黑" w:eastAsia="仿宋_GB2312" w:cs="仿宋_GB2312"/>
          <w:i w:val="0"/>
          <w:caps w:val="0"/>
          <w:color w:val="000000"/>
          <w:spacing w:val="0"/>
          <w:sz w:val="32"/>
          <w:szCs w:val="32"/>
          <w:shd w:val="clear" w:color="auto" w:fill="FFFFFF"/>
        </w:rPr>
        <w:t>工作经验的</w:t>
      </w:r>
      <w:r>
        <w:rPr>
          <w:rFonts w:hint="eastAsia" w:ascii="仿宋_GB2312" w:hAnsi="微软雅黑" w:eastAsia="仿宋_GB2312" w:cs="仿宋_GB2312"/>
          <w:i w:val="0"/>
          <w:caps w:val="0"/>
          <w:color w:val="000000"/>
          <w:spacing w:val="0"/>
          <w:sz w:val="32"/>
          <w:szCs w:val="32"/>
          <w:shd w:val="clear" w:color="auto" w:fill="FFFFFF"/>
          <w:lang w:eastAsia="zh-CN"/>
        </w:rPr>
        <w:t>政务公开</w:t>
      </w:r>
      <w:r>
        <w:rPr>
          <w:rFonts w:hint="eastAsia" w:ascii="仿宋_GB2312" w:hAnsi="微软雅黑" w:eastAsia="仿宋_GB2312" w:cs="仿宋_GB2312"/>
          <w:i w:val="0"/>
          <w:caps w:val="0"/>
          <w:color w:val="000000"/>
          <w:spacing w:val="0"/>
          <w:sz w:val="32"/>
          <w:szCs w:val="32"/>
          <w:shd w:val="clear" w:color="auto" w:fill="FFFFFF"/>
        </w:rPr>
        <w:t>队伍</w:t>
      </w:r>
      <w:r>
        <w:rPr>
          <w:rFonts w:hint="eastAsia" w:ascii="仿宋_GB2312" w:hAnsi="微软雅黑" w:eastAsia="仿宋_GB2312" w:cs="仿宋_GB2312"/>
          <w:i w:val="0"/>
          <w:caps w:val="0"/>
          <w:color w:val="000000"/>
          <w:spacing w:val="0"/>
          <w:sz w:val="32"/>
          <w:szCs w:val="32"/>
          <w:shd w:val="clear" w:color="auto" w:fill="FFFFFF"/>
          <w:lang w:eastAsia="zh-CN"/>
        </w:rPr>
        <w:t>。三</w:t>
      </w:r>
      <w:r>
        <w:rPr>
          <w:rFonts w:hint="eastAsia" w:ascii="仿宋_GB2312" w:hAnsi="仿宋_GB2312" w:eastAsia="仿宋_GB2312" w:cs="仿宋_GB2312"/>
          <w:color w:val="000000" w:themeColor="text1"/>
          <w:sz w:val="32"/>
          <w:szCs w:val="32"/>
          <w14:textFill>
            <w14:solidFill>
              <w14:schemeClr w14:val="tx1"/>
            </w14:solidFill>
          </w14:textFill>
        </w:rPr>
        <w:t>是</w:t>
      </w:r>
      <w:r>
        <w:rPr>
          <w:rFonts w:hint="eastAsia" w:ascii="仿宋_GB2312" w:hAnsi="仿宋_GB2312" w:eastAsia="仿宋_GB2312" w:cs="仿宋_GB2312"/>
          <w:color w:val="000000" w:themeColor="text1"/>
          <w:kern w:val="0"/>
          <w:sz w:val="32"/>
          <w:szCs w:val="32"/>
          <w14:textFill>
            <w14:solidFill>
              <w14:schemeClr w14:val="tx1"/>
            </w14:solidFill>
          </w14:textFill>
        </w:rPr>
        <w:t>建立常态化巡查机制</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严格落实</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政府网站和</w:t>
      </w:r>
      <w:r>
        <w:rPr>
          <w:rFonts w:hint="eastAsia" w:ascii="仿宋_GB2312" w:hAnsi="仿宋_GB2312" w:eastAsia="仿宋_GB2312" w:cs="仿宋_GB2312"/>
          <w:color w:val="000000" w:themeColor="text1"/>
          <w:kern w:val="0"/>
          <w:sz w:val="32"/>
          <w:szCs w:val="32"/>
          <w14:textFill>
            <w14:solidFill>
              <w14:schemeClr w14:val="tx1"/>
            </w14:solidFill>
          </w14:textFill>
        </w:rPr>
        <w:t>政务新媒体内容更新、整合到位等工作情况，对检查发现的问题及时组织溯源整改，确保</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信息上传及时、</w:t>
      </w:r>
      <w:r>
        <w:rPr>
          <w:rFonts w:hint="eastAsia" w:ascii="仿宋_GB2312" w:hAnsi="仿宋_GB2312" w:eastAsia="仿宋_GB2312" w:cs="仿宋_GB2312"/>
          <w:color w:val="000000" w:themeColor="text1"/>
          <w:kern w:val="0"/>
          <w:sz w:val="32"/>
          <w:szCs w:val="32"/>
          <w14:textFill>
            <w14:solidFill>
              <w14:schemeClr w14:val="tx1"/>
            </w14:solidFill>
          </w14:textFill>
        </w:rPr>
        <w:t>内容准确，坚决杜绝空白栏目、</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文字表述错误</w:t>
      </w:r>
      <w:r>
        <w:rPr>
          <w:rFonts w:hint="eastAsia" w:ascii="仿宋_GB2312" w:hAnsi="仿宋_GB2312" w:eastAsia="仿宋_GB2312" w:cs="仿宋_GB2312"/>
          <w:color w:val="000000" w:themeColor="text1"/>
          <w:kern w:val="0"/>
          <w:sz w:val="32"/>
          <w:szCs w:val="32"/>
          <w14:textFill>
            <w14:solidFill>
              <w14:schemeClr w14:val="tx1"/>
            </w14:solidFill>
          </w14:textFill>
        </w:rPr>
        <w:t>等问题。</w:t>
      </w:r>
    </w:p>
    <w:p w14:paraId="07225E24">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themeColor="text1"/>
          <w14:textFill>
            <w14:solidFill>
              <w14:schemeClr w14:val="tx1"/>
            </w14:solidFill>
          </w14:textFill>
        </w:rPr>
      </w:pPr>
      <w:r>
        <w:rPr>
          <w:rFonts w:hint="eastAsia" w:ascii="黑体" w:hAnsi="宋体" w:eastAsia="黑体" w:cs="黑体"/>
          <w:color w:val="000000" w:themeColor="text1"/>
          <w:spacing w:val="0"/>
          <w:sz w:val="31"/>
          <w:szCs w:val="31"/>
          <w14:textFill>
            <w14:solidFill>
              <w14:schemeClr w14:val="tx1"/>
            </w14:solidFill>
          </w14:textFill>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955"/>
        <w:gridCol w:w="1290"/>
        <w:gridCol w:w="1335"/>
        <w:gridCol w:w="2550"/>
      </w:tblGrid>
      <w:tr w14:paraId="17361E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FC35EC6">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第二十条第（一）项</w:t>
            </w:r>
          </w:p>
        </w:tc>
      </w:tr>
      <w:tr w14:paraId="3E5E956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02C8CF3">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信息内容</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CE99FA8">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本年制</w:t>
            </w:r>
          </w:p>
          <w:p w14:paraId="2963A8C9">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发件数</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D4BC543">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本年废</w:t>
            </w:r>
          </w:p>
          <w:p w14:paraId="7ABED91B">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止件数</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7AF60D5">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现行有效件数</w:t>
            </w:r>
          </w:p>
        </w:tc>
      </w:tr>
      <w:tr w14:paraId="226FB7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 w:hRule="atLeast"/>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E530A88">
            <w:pPr>
              <w:jc w:val="center"/>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规章</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4C84C164">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E19D77C">
            <w:pPr>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DC5371C">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w:t>
            </w:r>
          </w:p>
        </w:tc>
      </w:tr>
      <w:tr w14:paraId="428C49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3D24D74">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行政规范性文件</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8CBD4CF">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61A8C66">
            <w:pPr>
              <w:jc w:val="center"/>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3D2C6B6">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r>
      <w:tr w14:paraId="6755EBF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78E3BE4">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第二十条第（五）项</w:t>
            </w:r>
          </w:p>
        </w:tc>
      </w:tr>
      <w:tr w14:paraId="3C478C5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9BAA794">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8556621">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本年处理决定数量</w:t>
            </w:r>
          </w:p>
        </w:tc>
      </w:tr>
      <w:tr w14:paraId="4AADE5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8AF821D">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行政许可</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29C3F02">
            <w:pPr>
              <w:jc w:val="center"/>
              <w:rPr>
                <w:rFonts w:hint="default" w:ascii="黑体" w:hAnsi="黑体" w:eastAsia="黑体" w:cs="黑体"/>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24330</w:t>
            </w:r>
          </w:p>
        </w:tc>
      </w:tr>
      <w:tr w14:paraId="0DDE7C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2729563">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第二十条第（六）项</w:t>
            </w:r>
          </w:p>
        </w:tc>
      </w:tr>
      <w:tr w14:paraId="48FA54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D446953">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B99A7D6">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本年处理决定数量</w:t>
            </w:r>
          </w:p>
        </w:tc>
      </w:tr>
      <w:tr w14:paraId="48EF15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7D50CABC">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行政处罚</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7983F74">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275</w:t>
            </w:r>
          </w:p>
        </w:tc>
      </w:tr>
      <w:tr w14:paraId="7B4CE0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618D550">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行政强制</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EA07D31">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r>
      <w:tr w14:paraId="76C3F5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1533F4A3">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第二十条第（八）项</w:t>
            </w:r>
          </w:p>
        </w:tc>
      </w:tr>
      <w:tr w14:paraId="7AB31A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620B22BF">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24DBE684">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本年收费金额（单位：万元）</w:t>
            </w:r>
          </w:p>
        </w:tc>
      </w:tr>
      <w:tr w14:paraId="0617B4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0B1EE7AE">
            <w:pPr>
              <w:jc w:val="center"/>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行政事业性收费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14:paraId="561BF1E4">
            <w:pPr>
              <w:jc w:val="center"/>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95</w:t>
            </w:r>
          </w:p>
        </w:tc>
      </w:tr>
    </w:tbl>
    <w:p w14:paraId="29223C4F">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textAlignment w:val="auto"/>
        <w:rPr>
          <w:rFonts w:hint="eastAsia" w:ascii="黑体" w:hAnsi="宋体" w:eastAsia="黑体" w:cs="黑体"/>
          <w:color w:val="000000" w:themeColor="text1"/>
          <w:spacing w:val="0"/>
          <w:sz w:val="31"/>
          <w:szCs w:val="31"/>
          <w14:textFill>
            <w14:solidFill>
              <w14:schemeClr w14:val="tx1"/>
            </w14:solidFill>
          </w14:textFill>
        </w:rPr>
      </w:pPr>
    </w:p>
    <w:p w14:paraId="0F1F162A">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themeColor="text1"/>
          <w14:textFill>
            <w14:solidFill>
              <w14:schemeClr w14:val="tx1"/>
            </w14:solidFill>
          </w14:textFill>
        </w:rPr>
      </w:pPr>
      <w:r>
        <w:rPr>
          <w:rFonts w:hint="eastAsia" w:ascii="黑体" w:hAnsi="宋体" w:eastAsia="黑体" w:cs="黑体"/>
          <w:color w:val="000000" w:themeColor="text1"/>
          <w:spacing w:val="0"/>
          <w:sz w:val="31"/>
          <w:szCs w:val="31"/>
          <w14:textFill>
            <w14:solidFill>
              <w14:schemeClr w14:val="tx1"/>
            </w14:solidFill>
          </w14:textFill>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630"/>
        <w:gridCol w:w="840"/>
        <w:gridCol w:w="2668"/>
        <w:gridCol w:w="540"/>
        <w:gridCol w:w="553"/>
        <w:gridCol w:w="553"/>
        <w:gridCol w:w="700"/>
        <w:gridCol w:w="673"/>
        <w:gridCol w:w="553"/>
        <w:gridCol w:w="806"/>
      </w:tblGrid>
      <w:tr w14:paraId="296FBA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1335111">
            <w:pPr>
              <w:pStyle w:val="2"/>
              <w:keepNext w:val="0"/>
              <w:keepLines w:val="0"/>
              <w:pageBreakBefore w:val="0"/>
              <w:widowControl/>
              <w:suppressLineNumbers w:val="0"/>
              <w:kinsoku/>
              <w:wordWrap w:val="0"/>
              <w:overflowPunct/>
              <w:topLinePunct w:val="0"/>
              <w:autoSpaceDE/>
              <w:autoSpaceDN/>
              <w:bidi w:val="0"/>
              <w:adjustRightInd/>
              <w:snapToGrid/>
              <w:spacing w:beforeAutospacing="0" w:line="580" w:lineRule="exact"/>
              <w:jc w:val="center"/>
              <w:textAlignment w:val="auto"/>
              <w:rPr>
                <w:color w:val="000000" w:themeColor="text1"/>
                <w14:textFill>
                  <w14:solidFill>
                    <w14:schemeClr w14:val="tx1"/>
                  </w14:solidFill>
                </w14:textFill>
              </w:rPr>
            </w:pPr>
            <w:r>
              <w:rPr>
                <w:rFonts w:hint="eastAsia" w:ascii="楷体" w:hAnsi="楷体" w:eastAsia="楷体" w:cs="楷体"/>
                <w:color w:val="000000" w:themeColor="text1"/>
                <w:sz w:val="21"/>
                <w:szCs w:val="21"/>
                <w14:textFill>
                  <w14:solidFill>
                    <w14:schemeClr w14:val="tx1"/>
                  </w14:solidFill>
                </w14:textFill>
              </w:rPr>
              <w:t>（本列数据的勾稽关系为：第一项加第二项之和，等于第三项加第四项之和）</w:t>
            </w:r>
          </w:p>
        </w:tc>
        <w:tc>
          <w:tcPr>
            <w:tcW w:w="4545"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2974465">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申请人情况</w:t>
            </w:r>
          </w:p>
        </w:tc>
      </w:tr>
      <w:tr w14:paraId="048763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6B4B022">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5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BD31F43">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自然人</w:t>
            </w:r>
          </w:p>
        </w:tc>
        <w:tc>
          <w:tcPr>
            <w:tcW w:w="313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152743">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1C2744E">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总计</w:t>
            </w:r>
          </w:p>
        </w:tc>
      </w:tr>
      <w:tr w14:paraId="5F99EE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5"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BDE4E37">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5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4BB97E5">
            <w:pPr>
              <w:jc w:val="center"/>
              <w:rPr>
                <w:rFonts w:hint="eastAsia" w:ascii="黑体" w:hAnsi="黑体" w:eastAsia="黑体" w:cs="黑体"/>
                <w:color w:val="000000" w:themeColor="text1"/>
                <w14:textFill>
                  <w14:solidFill>
                    <w14:schemeClr w14:val="tx1"/>
                  </w14:solidFill>
                </w14:textFill>
              </w:rPr>
            </w:pP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8EA81B">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商业企业</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465B34">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科研机构</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586382">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社会公益组织</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7C7F77E">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法律服务机构</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2827466">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其他</w:t>
            </w:r>
          </w:p>
        </w:tc>
        <w:tc>
          <w:tcPr>
            <w:tcW w:w="8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6500C3E">
            <w:pPr>
              <w:jc w:val="center"/>
              <w:rPr>
                <w:rFonts w:hint="eastAsia" w:ascii="黑体" w:hAnsi="黑体" w:eastAsia="黑体" w:cs="黑体"/>
                <w:color w:val="000000" w:themeColor="text1"/>
                <w14:textFill>
                  <w14:solidFill>
                    <w14:schemeClr w14:val="tx1"/>
                  </w14:solidFill>
                </w14:textFill>
              </w:rPr>
            </w:pPr>
          </w:p>
        </w:tc>
      </w:tr>
      <w:tr w14:paraId="4F9E609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DFC0090">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w:t>
            </w:r>
            <w:bookmarkStart w:id="0" w:name="_Hlk66973412"/>
            <w:r>
              <w:rPr>
                <w:rFonts w:hint="eastAsia" w:ascii="黑体" w:hAnsi="黑体" w:eastAsia="黑体" w:cs="黑体"/>
                <w:color w:val="000000" w:themeColor="text1"/>
                <w14:textFill>
                  <w14:solidFill>
                    <w14:schemeClr w14:val="tx1"/>
                  </w14:solidFill>
                </w14:textFill>
              </w:rPr>
              <w:t>本年新收政府信息公开申请数量</w:t>
            </w:r>
            <w:bookmarkEnd w:id="0"/>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89E0F4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38</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35AD0F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color w:val="000000" w:themeColor="text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3</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1DA738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FF7BF9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2B82F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A1A83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color w:val="000000" w:themeColor="text1"/>
                <w14:textFill>
                  <w14:solidFill>
                    <w14:schemeClr w14:val="tx1"/>
                  </w14:solidFill>
                </w14:textFill>
              </w:rPr>
            </w:pPr>
            <w:r>
              <w:rPr>
                <w:rFonts w:hint="eastAsia" w:ascii="仿宋_GB2312" w:hAnsi="sans-serif" w:eastAsia="仿宋_GB2312" w:cs="仿宋_GB2312"/>
                <w:color w:val="000000" w:themeColor="text1"/>
                <w:sz w:val="21"/>
                <w:szCs w:val="21"/>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B2963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color w:val="000000" w:themeColor="text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41</w:t>
            </w:r>
          </w:p>
        </w:tc>
      </w:tr>
      <w:tr w14:paraId="532EF9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C5B5718">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二、上年结转政府信息公开申请数量</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DBA7AD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6E5CC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B8EBD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5683D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0E2AC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0480E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600F4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w:t>
            </w:r>
          </w:p>
        </w:tc>
      </w:tr>
      <w:tr w14:paraId="73218C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A5BD5D6">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三、本年度办理结果</w:t>
            </w: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6BF5D58">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（一）予以公开</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85D4B9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23</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7D0E52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1</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FCFFCB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3DD67A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2135CF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AD098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1F7F31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24</w:t>
            </w:r>
          </w:p>
        </w:tc>
      </w:tr>
      <w:tr w14:paraId="361511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A73BEBA">
            <w:pPr>
              <w:jc w:val="center"/>
              <w:rPr>
                <w:rFonts w:hint="eastAsia" w:ascii="黑体" w:hAnsi="黑体" w:eastAsia="黑体" w:cs="黑体"/>
                <w:color w:val="000000" w:themeColor="text1"/>
                <w14:textFill>
                  <w14:solidFill>
                    <w14:schemeClr w14:val="tx1"/>
                  </w14:solidFill>
                </w14:textFill>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EC444D">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（二）部分公开（</w:t>
            </w:r>
            <w:bookmarkStart w:id="1" w:name="_Hlk66973981"/>
            <w:r>
              <w:rPr>
                <w:rFonts w:hint="eastAsia" w:ascii="黑体" w:hAnsi="黑体" w:eastAsia="黑体" w:cs="黑体"/>
                <w:color w:val="000000" w:themeColor="text1"/>
                <w14:textFill>
                  <w14:solidFill>
                    <w14:schemeClr w14:val="tx1"/>
                  </w14:solidFill>
                </w14:textFill>
              </w:rPr>
              <w:t>区分处理的，只计这一情形，不计其他情形</w:t>
            </w:r>
            <w:bookmarkEnd w:id="1"/>
            <w:r>
              <w:rPr>
                <w:rFonts w:hint="eastAsia" w:ascii="黑体" w:hAnsi="黑体" w:eastAsia="黑体" w:cs="黑体"/>
                <w:color w:val="000000" w:themeColor="text1"/>
                <w14:textFill>
                  <w14:solidFill>
                    <w14:schemeClr w14:val="tx1"/>
                  </w14:solidFill>
                </w14:textFill>
              </w:rPr>
              <w:t>）</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2BB39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3</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05B6AC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46C215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D8CDF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9F8297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0E3FC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0EACF7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3</w:t>
            </w:r>
          </w:p>
        </w:tc>
      </w:tr>
      <w:tr w14:paraId="76C963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341328">
            <w:pPr>
              <w:jc w:val="center"/>
              <w:rPr>
                <w:rFonts w:hint="eastAsia" w:ascii="黑体" w:hAnsi="黑体" w:eastAsia="黑体" w:cs="黑体"/>
                <w:color w:val="000000" w:themeColor="text1"/>
                <w14:textFill>
                  <w14:solidFill>
                    <w14:schemeClr w14:val="tx1"/>
                  </w14:solidFill>
                </w14:textFill>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6C04BD6">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（三）不予公开</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1EBDBDA">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1.属于国家秘密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69AE69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3991F9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6BBFB5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A0F19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E2B9F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7DE34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7C6F19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78F287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E4CA21">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88C824D">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143C651">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bookmarkStart w:id="2" w:name="_Hlk66974104"/>
            <w:r>
              <w:rPr>
                <w:rFonts w:hint="eastAsia" w:ascii="仿宋_GB2312" w:hAnsi="仿宋_GB2312" w:eastAsia="仿宋_GB2312" w:cs="仿宋_GB2312"/>
                <w:color w:val="000000" w:themeColor="text1"/>
                <w14:textFill>
                  <w14:solidFill>
                    <w14:schemeClr w14:val="tx1"/>
                  </w14:solidFill>
                </w14:textFill>
              </w:rPr>
              <w:t>其他法律行政法规禁止公开</w:t>
            </w:r>
            <w:bookmarkEnd w:id="2"/>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704F55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5C688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ADF199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504E14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33D98B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787DFB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14F6C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7334C8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4B6DB9A">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9AE065">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D4C5AFE">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3.危及“三安全一稳定”</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513B0F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E0188B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F690A8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05A11E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BE6348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49CB33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01E2D9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0087C48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33602A4">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CD4D6A">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821F96">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w:t>
            </w:r>
            <w:bookmarkStart w:id="3" w:name="_Hlk66974290"/>
            <w:r>
              <w:rPr>
                <w:rFonts w:hint="eastAsia" w:ascii="仿宋_GB2312" w:hAnsi="仿宋_GB2312" w:eastAsia="仿宋_GB2312" w:cs="仿宋_GB2312"/>
                <w:color w:val="000000" w:themeColor="text1"/>
                <w14:textFill>
                  <w14:solidFill>
                    <w14:schemeClr w14:val="tx1"/>
                  </w14:solidFill>
                </w14:textFill>
              </w:rPr>
              <w:t>保护第三方合法权益</w:t>
            </w:r>
            <w:bookmarkEnd w:id="3"/>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B3EA3A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F88F3B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960DB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A3D9D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432D5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4F76D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78B352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606A51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A6B2F7C">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19445F">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169A3D9">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5.属于三类内部事务信息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7D896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39BBF2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7E8DDA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F6AA2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73500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01AEC5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7D5E97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w:t>
            </w:r>
          </w:p>
        </w:tc>
      </w:tr>
      <w:tr w14:paraId="5C91571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E04AB1B">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1247BFF">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3A2ACB">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6.</w:t>
            </w:r>
            <w:bookmarkStart w:id="4" w:name="_Hlk66974555"/>
            <w:r>
              <w:rPr>
                <w:rFonts w:hint="eastAsia" w:ascii="仿宋_GB2312" w:hAnsi="仿宋_GB2312" w:eastAsia="仿宋_GB2312" w:cs="仿宋_GB2312"/>
                <w:color w:val="000000" w:themeColor="text1"/>
                <w14:textFill>
                  <w14:solidFill>
                    <w14:schemeClr w14:val="tx1"/>
                  </w14:solidFill>
                </w14:textFill>
              </w:rPr>
              <w:t>属于四类过程性信息</w:t>
            </w:r>
            <w:bookmarkEnd w:id="4"/>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E04114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08F8A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8893D1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ECCAA0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E5CF09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53601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27F62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43435A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51D2CC3">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A11147">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E867DA5">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7.属于行政执法案卷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A95BF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8FCC15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A9832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CFDDB3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EB34E9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E8062C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907EC3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3ED4C0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719AA62">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98E6B62">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3EE71D">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8.</w:t>
            </w:r>
            <w:bookmarkStart w:id="5" w:name="_Hlk66975211"/>
            <w:r>
              <w:rPr>
                <w:rFonts w:hint="eastAsia" w:ascii="仿宋_GB2312" w:hAnsi="仿宋_GB2312" w:eastAsia="仿宋_GB2312" w:cs="仿宋_GB2312"/>
                <w:color w:val="000000" w:themeColor="text1"/>
                <w14:textFill>
                  <w14:solidFill>
                    <w14:schemeClr w14:val="tx1"/>
                  </w14:solidFill>
                </w14:textFill>
              </w:rPr>
              <w:t>属于行政查询事项</w:t>
            </w:r>
            <w:bookmarkEnd w:id="5"/>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6AF1B3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CA86E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6FE92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95202A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7E811B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222DB6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D8F8BB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60D6BB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098A03B">
            <w:pPr>
              <w:jc w:val="center"/>
              <w:rPr>
                <w:rFonts w:hint="eastAsia" w:ascii="黑体" w:hAnsi="黑体" w:eastAsia="黑体" w:cs="黑体"/>
                <w:color w:val="000000" w:themeColor="text1"/>
                <w14:textFill>
                  <w14:solidFill>
                    <w14:schemeClr w14:val="tx1"/>
                  </w14:solidFill>
                </w14:textFill>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E58DAD">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（四）无法提供</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30B72E">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1.本机关不掌握相关政府信息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07196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11</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7FAB73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2A630E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EFFA79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C21C0D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148D14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35FE2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11</w:t>
            </w:r>
          </w:p>
        </w:tc>
      </w:tr>
      <w:tr w14:paraId="027ED1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ABBF7E">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3B372B">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1D7274">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bookmarkStart w:id="6" w:name="_Hlk66975392"/>
            <w:r>
              <w:rPr>
                <w:rFonts w:hint="eastAsia" w:ascii="仿宋_GB2312" w:hAnsi="仿宋_GB2312" w:eastAsia="仿宋_GB2312" w:cs="仿宋_GB2312"/>
                <w:color w:val="000000" w:themeColor="text1"/>
                <w14:textFill>
                  <w14:solidFill>
                    <w14:schemeClr w14:val="tx1"/>
                  </w14:solidFill>
                </w14:textFill>
              </w:rPr>
              <w:t>没有现成信息需要另行制作</w:t>
            </w:r>
            <w:bookmarkEnd w:id="6"/>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DEF7B7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319DB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BD43B7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4BA771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BAA788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47EDC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BAC3FE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683862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AACE1E">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6F91B21">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4461CF">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bookmarkStart w:id="7" w:name="_Hlk66975466"/>
            <w:r>
              <w:rPr>
                <w:rFonts w:hint="eastAsia" w:ascii="仿宋_GB2312" w:hAnsi="仿宋_GB2312" w:eastAsia="仿宋_GB2312" w:cs="仿宋_GB2312"/>
                <w:color w:val="000000" w:themeColor="text1"/>
                <w14:textFill>
                  <w14:solidFill>
                    <w14:schemeClr w14:val="tx1"/>
                  </w14:solidFill>
                </w14:textFill>
              </w:rPr>
              <w:t>补正后申请内容仍不明确</w:t>
            </w:r>
            <w:bookmarkEnd w:id="7"/>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07B3ED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719481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A02B4D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986AA3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1C5CF1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13B13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DA261F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5AA67B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2C1C27">
            <w:pPr>
              <w:jc w:val="center"/>
              <w:rPr>
                <w:rFonts w:hint="eastAsia" w:ascii="黑体" w:hAnsi="黑体" w:eastAsia="黑体" w:cs="黑体"/>
                <w:color w:val="000000" w:themeColor="text1"/>
                <w14:textFill>
                  <w14:solidFill>
                    <w14:schemeClr w14:val="tx1"/>
                  </w14:solidFill>
                </w14:textFill>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8778A5B">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（五）不予处理</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23FB30">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bookmarkStart w:id="8" w:name="_Hlk66975537"/>
            <w:r>
              <w:rPr>
                <w:rFonts w:hint="eastAsia" w:ascii="仿宋_GB2312" w:hAnsi="仿宋_GB2312" w:eastAsia="仿宋_GB2312" w:cs="仿宋_GB2312"/>
                <w:color w:val="000000" w:themeColor="text1"/>
                <w14:textFill>
                  <w14:solidFill>
                    <w14:schemeClr w14:val="tx1"/>
                  </w14:solidFill>
                </w14:textFill>
              </w:rPr>
              <w:t>信访举报投诉类申请</w:t>
            </w:r>
            <w:bookmarkEnd w:id="8"/>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2F6C3A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E813E6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C9696F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8CE936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A1B735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61B95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CDA480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5BE8A1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1B56E0">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D0FE938">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6CC9811">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142D48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F9585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3F0D78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90881A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68E65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9A893B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D0BBC7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4F11C4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ECDE59">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719AF03">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C3D8E0">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3.要求提供公开出版物</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6FA6B4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BA0CCD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560382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4649D5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D28888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D12D61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32049C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68FBDC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7ACB766">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7CAA96">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B2A39DB">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4.无正当理由大量反复申请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F825F7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304E92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D34B01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3D152F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4E25E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508329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876BDD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3CF741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B47551F">
            <w:pPr>
              <w:jc w:val="center"/>
              <w:rPr>
                <w:rFonts w:hint="eastAsia" w:ascii="黑体" w:hAnsi="黑体" w:eastAsia="黑体" w:cs="黑体"/>
                <w:color w:val="000000" w:themeColor="text1"/>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F61F3A6">
            <w:pPr>
              <w:jc w:val="center"/>
              <w:rPr>
                <w:rFonts w:hint="eastAsia" w:ascii="黑体" w:hAnsi="黑体" w:eastAsia="黑体" w:cs="黑体"/>
                <w:color w:val="000000" w:themeColor="text1"/>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F0774FA">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5.要求行政机关确认或重新出具已获取信息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1654AE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34FA6D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49A130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1C4BF1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CCF60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45BF76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74FE52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02631B1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9D756D">
            <w:pPr>
              <w:jc w:val="center"/>
              <w:rPr>
                <w:rFonts w:hint="eastAsia" w:ascii="黑体" w:hAnsi="黑体" w:eastAsia="黑体" w:cs="黑体"/>
                <w:color w:val="000000" w:themeColor="text1"/>
                <w14:textFill>
                  <w14:solidFill>
                    <w14:schemeClr w14:val="tx1"/>
                  </w14:solidFill>
                </w14:textFill>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DD1305A">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（六）其他处理</w:t>
            </w: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6DC8873F">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1.申请人无正当理由逾期不补正、行政机关不再处理其政府信息公开申请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C139A3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D25B45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B3B48A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EDE62F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587BBF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911751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0FBE68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374F252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C6D4EA3">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C835847">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58A6616F">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2.申请人逾期未按收费通知要求缴纳费用、行政机关不再处理其政府信息公开申请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EF67CA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2C7869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DB253E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3AB5452">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E6E879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C6607D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56BE6BB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68DCEF8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C156FB9">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B151A9A">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color w:val="000000" w:themeColor="text1"/>
                <w:sz w:val="24"/>
                <w:szCs w:val="24"/>
                <w14:textFill>
                  <w14:solidFill>
                    <w14:schemeClr w14:val="tx1"/>
                  </w14:solidFill>
                </w14:textFill>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14:paraId="27792756">
            <w:pPr>
              <w:jc w:val="center"/>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3.其他</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36BF7F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30403E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81DBB43">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F2D48A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736EC5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20F53B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233126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r>
      <w:tr w14:paraId="41C3CB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EC66FDD">
            <w:pPr>
              <w:jc w:val="center"/>
              <w:rPr>
                <w:rFonts w:hint="eastAsia" w:ascii="黑体" w:hAnsi="黑体" w:eastAsia="黑体" w:cs="黑体"/>
                <w:color w:val="000000" w:themeColor="text1"/>
                <w14:textFill>
                  <w14:solidFill>
                    <w14:schemeClr w14:val="tx1"/>
                  </w14:solidFill>
                </w14:textFill>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F2A24D2">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（七）总计</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A53146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37</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8BA0B2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3</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41408B9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8F4B7B4">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55122E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A565390">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456F04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40</w:t>
            </w:r>
          </w:p>
        </w:tc>
      </w:tr>
      <w:tr w14:paraId="27F645E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67F3480">
            <w:pPr>
              <w:jc w:val="center"/>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四、结转下年度继续办理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5A1F2D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3</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8B69F3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12B5C5AC">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7D96007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3E43AC5A">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610CBE08">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2372C8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3</w:t>
            </w:r>
          </w:p>
        </w:tc>
      </w:tr>
    </w:tbl>
    <w:p w14:paraId="7BBF5492">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themeColor="text1"/>
          <w14:textFill>
            <w14:solidFill>
              <w14:schemeClr w14:val="tx1"/>
            </w14:solidFill>
          </w14:textFill>
        </w:rPr>
      </w:pPr>
      <w:r>
        <w:rPr>
          <w:rFonts w:hint="eastAsia" w:ascii="黑体" w:hAnsi="宋体" w:eastAsia="黑体" w:cs="黑体"/>
          <w:color w:val="000000" w:themeColor="text1"/>
          <w:spacing w:val="0"/>
          <w:sz w:val="31"/>
          <w:szCs w:val="31"/>
          <w14:textFill>
            <w14:solidFill>
              <w14:schemeClr w14:val="tx1"/>
            </w14:solidFill>
          </w14:textFill>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15"/>
        <w:gridCol w:w="570"/>
        <w:gridCol w:w="598"/>
        <w:gridCol w:w="570"/>
        <w:gridCol w:w="419"/>
        <w:gridCol w:w="543"/>
        <w:gridCol w:w="584"/>
        <w:gridCol w:w="584"/>
        <w:gridCol w:w="584"/>
        <w:gridCol w:w="598"/>
        <w:gridCol w:w="584"/>
        <w:gridCol w:w="584"/>
        <w:gridCol w:w="585"/>
        <w:gridCol w:w="585"/>
        <w:gridCol w:w="613"/>
      </w:tblGrid>
      <w:tr w14:paraId="3282CF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01763EF6">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行政复议</w:t>
            </w:r>
          </w:p>
        </w:tc>
        <w:tc>
          <w:tcPr>
            <w:tcW w:w="6000"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F4D7780">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行政诉讼</w:t>
            </w:r>
          </w:p>
        </w:tc>
      </w:tr>
      <w:tr w14:paraId="7030CF1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21369D8E">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w:t>
            </w:r>
          </w:p>
          <w:p w14:paraId="4AE1E376">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维持</w:t>
            </w:r>
          </w:p>
        </w:tc>
        <w:tc>
          <w:tcPr>
            <w:tcW w:w="585"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14:paraId="55ECB781">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结果纠正</w:t>
            </w:r>
          </w:p>
        </w:tc>
        <w:tc>
          <w:tcPr>
            <w:tcW w:w="61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30559BF9">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其他结果</w:t>
            </w:r>
          </w:p>
        </w:tc>
        <w:tc>
          <w:tcPr>
            <w:tcW w:w="58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FBA8FCD">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尚未</w:t>
            </w:r>
          </w:p>
          <w:p w14:paraId="4440BE34">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审结</w:t>
            </w:r>
          </w:p>
        </w:tc>
        <w:tc>
          <w:tcPr>
            <w:tcW w:w="42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CC56240">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总</w:t>
            </w:r>
          </w:p>
          <w:p w14:paraId="2CCCE256">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计</w:t>
            </w:r>
          </w:p>
        </w:tc>
        <w:tc>
          <w:tcPr>
            <w:tcW w:w="297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7099198">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未经复议直接起诉</w:t>
            </w:r>
          </w:p>
        </w:tc>
        <w:tc>
          <w:tcPr>
            <w:tcW w:w="303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2993526">
            <w:pPr>
              <w:jc w:val="center"/>
              <w:rPr>
                <w:rFonts w:hint="eastAsia" w:ascii="黑体" w:hAnsi="黑体" w:eastAsia="黑体" w:cs="黑体"/>
                <w:color w:val="000000" w:themeColor="text1"/>
                <w:sz w:val="20"/>
                <w:szCs w:val="20"/>
                <w14:textFill>
                  <w14:solidFill>
                    <w14:schemeClr w14:val="tx1"/>
                  </w14:solidFill>
                </w14:textFill>
              </w:rPr>
            </w:pPr>
            <w:bookmarkStart w:id="9" w:name="_Hlk67039688"/>
            <w:r>
              <w:rPr>
                <w:rFonts w:hint="eastAsia" w:ascii="黑体" w:hAnsi="黑体" w:eastAsia="黑体" w:cs="黑体"/>
                <w:color w:val="000000" w:themeColor="text1"/>
                <w:sz w:val="20"/>
                <w:szCs w:val="20"/>
                <w14:textFill>
                  <w14:solidFill>
                    <w14:schemeClr w14:val="tx1"/>
                  </w14:solidFill>
                </w14:textFill>
              </w:rPr>
              <w:t>复议后起诉</w:t>
            </w:r>
            <w:bookmarkEnd w:id="9"/>
          </w:p>
        </w:tc>
      </w:tr>
      <w:tr w14:paraId="402978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23544C96">
            <w:pPr>
              <w:jc w:val="center"/>
              <w:rPr>
                <w:rFonts w:hint="eastAsia" w:ascii="黑体" w:hAnsi="黑体" w:eastAsia="黑体" w:cs="黑体"/>
                <w:color w:val="000000" w:themeColor="text1"/>
                <w:sz w:val="20"/>
                <w:szCs w:val="20"/>
                <w14:textFill>
                  <w14:solidFill>
                    <w14:schemeClr w14:val="tx1"/>
                  </w14:solidFill>
                </w14:textFill>
              </w:rPr>
            </w:pPr>
          </w:p>
        </w:tc>
        <w:tc>
          <w:tcPr>
            <w:tcW w:w="585"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14:paraId="169ECFE4">
            <w:pPr>
              <w:jc w:val="center"/>
              <w:rPr>
                <w:rFonts w:hint="eastAsia" w:ascii="黑体" w:hAnsi="黑体" w:eastAsia="黑体" w:cs="黑体"/>
                <w:color w:val="000000" w:themeColor="text1"/>
                <w:sz w:val="20"/>
                <w:szCs w:val="20"/>
                <w14:textFill>
                  <w14:solidFill>
                    <w14:schemeClr w14:val="tx1"/>
                  </w14:solidFill>
                </w14:textFill>
              </w:rPr>
            </w:pPr>
          </w:p>
        </w:tc>
        <w:tc>
          <w:tcPr>
            <w:tcW w:w="61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33CFAA13">
            <w:pPr>
              <w:jc w:val="center"/>
              <w:rPr>
                <w:rFonts w:hint="eastAsia" w:ascii="黑体" w:hAnsi="黑体" w:eastAsia="黑体" w:cs="黑体"/>
                <w:color w:val="000000" w:themeColor="text1"/>
                <w:sz w:val="20"/>
                <w:szCs w:val="20"/>
                <w14:textFill>
                  <w14:solidFill>
                    <w14:schemeClr w14:val="tx1"/>
                  </w14:solidFill>
                </w14:textFill>
              </w:rPr>
            </w:pPr>
          </w:p>
        </w:tc>
        <w:tc>
          <w:tcPr>
            <w:tcW w:w="58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953156E">
            <w:pPr>
              <w:jc w:val="center"/>
              <w:rPr>
                <w:rFonts w:hint="eastAsia" w:ascii="黑体" w:hAnsi="黑体" w:eastAsia="黑体" w:cs="黑体"/>
                <w:color w:val="000000" w:themeColor="text1"/>
                <w:sz w:val="20"/>
                <w:szCs w:val="20"/>
                <w14:textFill>
                  <w14:solidFill>
                    <w14:schemeClr w14:val="tx1"/>
                  </w14:solidFill>
                </w14:textFill>
              </w:rPr>
            </w:pPr>
          </w:p>
        </w:tc>
        <w:tc>
          <w:tcPr>
            <w:tcW w:w="42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AAFACBB">
            <w:pPr>
              <w:jc w:val="center"/>
              <w:rPr>
                <w:rFonts w:hint="eastAsia" w:ascii="黑体" w:hAnsi="黑体" w:eastAsia="黑体" w:cs="黑体"/>
                <w:color w:val="000000" w:themeColor="text1"/>
                <w:sz w:val="20"/>
                <w:szCs w:val="20"/>
                <w14:textFill>
                  <w14:solidFill>
                    <w14:schemeClr w14:val="tx1"/>
                  </w14:solidFill>
                </w14:textFill>
              </w:rPr>
            </w:pP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14:paraId="46100E0F">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结果维持</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25D2E29B">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D6B1D94">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其他</w:t>
            </w:r>
          </w:p>
          <w:p w14:paraId="04BDDEF7">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F622EC0">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尚未</w:t>
            </w:r>
          </w:p>
          <w:p w14:paraId="395BFF40">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B92D195">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总计</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3B15BFE">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结果维持</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61C2210">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w:t>
            </w:r>
          </w:p>
          <w:p w14:paraId="6DA93BF9">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EB982A3">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其他</w:t>
            </w:r>
          </w:p>
          <w:p w14:paraId="0D0302B8">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A0C46C9">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尚未审结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C414CDC">
            <w:pPr>
              <w:jc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color w:val="000000" w:themeColor="text1"/>
                <w:sz w:val="20"/>
                <w:szCs w:val="20"/>
                <w14:textFill>
                  <w14:solidFill>
                    <w14:schemeClr w14:val="tx1"/>
                  </w14:solidFill>
                </w14:textFill>
              </w:rPr>
              <w:t>总计</w:t>
            </w:r>
          </w:p>
        </w:tc>
      </w:tr>
      <w:tr w14:paraId="44813D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25"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6C13B2F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4</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14:paraId="58A94D0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w:t>
            </w:r>
          </w:p>
        </w:tc>
        <w:tc>
          <w:tcPr>
            <w:tcW w:w="615" w:type="dxa"/>
            <w:tcBorders>
              <w:top w:val="nil"/>
              <w:left w:val="nil"/>
              <w:bottom w:val="single" w:color="auto" w:sz="6" w:space="0"/>
              <w:right w:val="single" w:color="auto" w:sz="6" w:space="0"/>
            </w:tcBorders>
            <w:noWrap w:val="0"/>
            <w:tcMar>
              <w:left w:w="105" w:type="dxa"/>
              <w:bottom w:w="0" w:type="dxa"/>
              <w:right w:w="105" w:type="dxa"/>
            </w:tcMar>
            <w:vAlign w:val="center"/>
          </w:tcPr>
          <w:p w14:paraId="12084369">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14:paraId="7EEA1A67">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420" w:type="dxa"/>
            <w:tcBorders>
              <w:top w:val="nil"/>
              <w:left w:val="nil"/>
              <w:bottom w:val="single" w:color="auto" w:sz="6" w:space="0"/>
              <w:right w:val="single" w:color="auto" w:sz="6" w:space="0"/>
            </w:tcBorders>
            <w:noWrap w:val="0"/>
            <w:tcMar>
              <w:left w:w="105" w:type="dxa"/>
              <w:bottom w:w="0" w:type="dxa"/>
              <w:right w:w="105" w:type="dxa"/>
            </w:tcMar>
            <w:vAlign w:val="center"/>
          </w:tcPr>
          <w:p w14:paraId="0A93D946">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6</w:t>
            </w: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14:paraId="2A13152B">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0602F7B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1A7D306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2BE11E65">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34500E7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44DAA691">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6E0F44E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7456B2AF">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167C969D">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2E4100AE">
            <w:pPr>
              <w:pStyle w:val="2"/>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ascii="仿宋_GB2312" w:hAnsi="sans-serif" w:eastAsia="仿宋_GB2312" w:cs="仿宋_GB2312"/>
                <w:color w:val="000000" w:themeColor="text1"/>
                <w:sz w:val="21"/>
                <w:szCs w:val="21"/>
                <w:lang w:val="en-US" w:eastAsia="zh-CN"/>
                <w14:textFill>
                  <w14:solidFill>
                    <w14:schemeClr w14:val="tx1"/>
                  </w14:solidFill>
                </w14:textFill>
              </w:rPr>
            </w:pPr>
            <w:r>
              <w:rPr>
                <w:rFonts w:hint="eastAsia" w:ascii="仿宋_GB2312" w:hAnsi="sans-serif" w:eastAsia="仿宋_GB2312" w:cs="仿宋_GB2312"/>
                <w:color w:val="000000" w:themeColor="text1"/>
                <w:sz w:val="21"/>
                <w:szCs w:val="21"/>
                <w:lang w:val="en-US" w:eastAsia="zh-CN"/>
                <w14:textFill>
                  <w14:solidFill>
                    <w14:schemeClr w14:val="tx1"/>
                  </w14:solidFill>
                </w14:textFill>
              </w:rPr>
              <w:t>2</w:t>
            </w:r>
          </w:p>
        </w:tc>
      </w:tr>
    </w:tbl>
    <w:p w14:paraId="31CB0E96">
      <w:pPr>
        <w:pStyle w:val="2"/>
        <w:keepNext w:val="0"/>
        <w:keepLines w:val="0"/>
        <w:pageBreakBefore w:val="0"/>
        <w:widowControl/>
        <w:suppressLineNumbers w:val="0"/>
        <w:kinsoku/>
        <w:overflowPunct/>
        <w:topLinePunct w:val="0"/>
        <w:autoSpaceDE/>
        <w:autoSpaceDN/>
        <w:bidi w:val="0"/>
        <w:adjustRightInd/>
        <w:snapToGrid/>
        <w:spacing w:beforeAutospacing="0" w:line="580" w:lineRule="exact"/>
        <w:textAlignment w:val="auto"/>
      </w:pPr>
    </w:p>
    <w:p w14:paraId="1003547C">
      <w:pPr>
        <w:ind w:firstLine="640" w:firstLineChars="200"/>
        <w:rPr>
          <w:rFonts w:hint="eastAsia" w:ascii="黑体" w:hAnsi="黑体" w:eastAsia="黑体" w:cs="黑体"/>
          <w:sz w:val="32"/>
          <w:szCs w:val="32"/>
        </w:rPr>
      </w:pPr>
      <w:r>
        <w:rPr>
          <w:rFonts w:hint="eastAsia" w:ascii="黑体" w:hAnsi="黑体" w:eastAsia="黑体" w:cs="黑体"/>
          <w:sz w:val="32"/>
          <w:szCs w:val="32"/>
        </w:rPr>
        <w:t>五、政府信息公开工作存在的主要问题及改进情况</w:t>
      </w:r>
    </w:p>
    <w:p w14:paraId="2C4BE1AB">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1.存在的主要问题</w:t>
      </w:r>
    </w:p>
    <w:p w14:paraId="2FFF7DB1">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rPr>
        <w:t>缺少教育、</w:t>
      </w:r>
      <w:r>
        <w:rPr>
          <w:rFonts w:hint="eastAsia" w:ascii="仿宋_GB2312" w:hAnsi="仿宋_GB2312" w:eastAsia="仿宋_GB2312" w:cs="仿宋_GB2312"/>
          <w:sz w:val="32"/>
          <w:szCs w:val="32"/>
          <w:lang w:eastAsia="zh-CN"/>
        </w:rPr>
        <w:t>保险、</w:t>
      </w:r>
      <w:r>
        <w:rPr>
          <w:rFonts w:hint="eastAsia" w:ascii="仿宋_GB2312" w:hAnsi="仿宋_GB2312" w:eastAsia="仿宋_GB2312" w:cs="仿宋_GB2312"/>
          <w:sz w:val="32"/>
          <w:szCs w:val="32"/>
        </w:rPr>
        <w:t>卫生、交通等</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可发布、解读的相关惠企政策文件数量较少且政策解读形式不够丰富</w:t>
      </w:r>
      <w:r>
        <w:rPr>
          <w:rFonts w:hint="eastAsia" w:ascii="仿宋_GB2312" w:hAnsi="仿宋_GB2312" w:eastAsia="仿宋_GB2312" w:cs="仿宋_GB2312"/>
          <w:sz w:val="32"/>
          <w:szCs w:val="32"/>
        </w:rPr>
        <w:t>。</w:t>
      </w:r>
    </w:p>
    <w:p w14:paraId="511E4343">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2.改进情况</w:t>
      </w:r>
    </w:p>
    <w:p w14:paraId="416BFDC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一是规范提升公开质量，指导各部门按照标准上传信息，严格要求各部门单位发布本部门单位文件时同步发布文件解读。二是深入探索创新举措。政策</w:t>
      </w:r>
      <w:r>
        <w:rPr>
          <w:rFonts w:hint="eastAsia" w:ascii="仿宋_GB2312" w:hAnsi="仿宋_GB2312" w:eastAsia="仿宋_GB2312" w:cs="仿宋_GB2312"/>
          <w:color w:val="000000"/>
          <w:sz w:val="32"/>
          <w:szCs w:val="32"/>
          <w:lang w:val="en-US" w:eastAsia="zh-CN"/>
        </w:rPr>
        <w:t>文件解读要</w:t>
      </w:r>
      <w:r>
        <w:rPr>
          <w:rFonts w:hint="eastAsia" w:ascii="仿宋_GB2312" w:hAnsi="仿宋_GB2312" w:eastAsia="仿宋_GB2312" w:cs="仿宋_GB2312"/>
          <w:color w:val="000000"/>
          <w:sz w:val="32"/>
          <w:szCs w:val="32"/>
          <w:lang w:eastAsia="zh-CN"/>
        </w:rPr>
        <w:t>综合运用客观数据、图文图表、音频动漫等</w:t>
      </w:r>
      <w:r>
        <w:rPr>
          <w:rFonts w:hint="eastAsia" w:ascii="仿宋_GB2312" w:hAnsi="仿宋_GB2312" w:eastAsia="仿宋_GB2312" w:cs="仿宋_GB2312"/>
          <w:color w:val="000000"/>
          <w:sz w:val="32"/>
          <w:szCs w:val="32"/>
          <w:lang w:val="en-US" w:eastAsia="zh-CN"/>
        </w:rPr>
        <w:t>介质</w:t>
      </w:r>
      <w:r>
        <w:rPr>
          <w:rFonts w:hint="eastAsia" w:ascii="仿宋_GB2312" w:hAnsi="仿宋_GB2312" w:eastAsia="仿宋_GB2312" w:cs="仿宋_GB2312"/>
          <w:color w:val="000000"/>
          <w:sz w:val="32"/>
          <w:szCs w:val="32"/>
          <w:lang w:eastAsia="zh-CN"/>
        </w:rPr>
        <w:t>，制作多样化解读材料。</w:t>
      </w:r>
    </w:p>
    <w:p w14:paraId="190DCF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六、其他需要报告的事项</w:t>
      </w:r>
    </w:p>
    <w:p w14:paraId="169032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（一）本年度政府信息公开申请未达到《政府信息公开信息处理费管理办法》（国办函〔2020〕109号）所规定的信息处理费收费标准，故未收取信息处理费。</w:t>
      </w:r>
    </w:p>
    <w:p w14:paraId="2E3409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4874CB" w:themeColor="accent1"/>
          <w:sz w:val="32"/>
          <w:szCs w:val="32"/>
          <w14:textFill>
            <w14:solidFill>
              <w14:schemeClr w14:val="accent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（二）落实上级政务公开重点工作情况。根据《2024年山东省政务公开效能监测实施方案》要求，将各部门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主动公开、公共企事业单位、依申请公开、解读回应、公众参与、监督保障等</w:t>
      </w:r>
      <w:r>
        <w:rPr>
          <w:rFonts w:hint="eastAsia" w:ascii="仿宋_GB2312" w:hAnsi="仿宋_GB2312" w:eastAsia="仿宋_GB2312" w:cs="仿宋_GB2312"/>
          <w:color w:val="000000" w:themeColor="text1"/>
          <w:sz w:val="32"/>
          <w:szCs w:val="32"/>
          <w14:textFill>
            <w14:solidFill>
              <w14:schemeClr w14:val="tx1"/>
            </w14:solidFill>
          </w14:textFill>
        </w:rPr>
        <w:t>纳入日常</w:t>
      </w:r>
      <w:r>
        <w:rPr>
          <w:rFonts w:hint="eastAsia" w:ascii="仿宋_GB2312" w:hAnsi="仿宋_GB2312" w:eastAsia="仿宋_GB2312" w:cs="仿宋_GB2312"/>
          <w:color w:val="000000" w:themeColor="text1"/>
          <w:sz w:val="32"/>
          <w:szCs w:val="32"/>
          <w:lang w:eastAsia="zh-CN"/>
          <w14:textFill>
            <w14:solidFill>
              <w14:schemeClr w14:val="tx1"/>
            </w14:solidFill>
          </w14:textFill>
        </w:rPr>
        <w:t>监管</w:t>
      </w:r>
      <w:r>
        <w:rPr>
          <w:rFonts w:hint="eastAsia" w:ascii="仿宋_GB2312" w:hAnsi="仿宋_GB2312" w:eastAsia="仿宋_GB2312" w:cs="仿宋_GB2312"/>
          <w:color w:val="000000" w:themeColor="text1"/>
          <w:sz w:val="32"/>
          <w:szCs w:val="32"/>
          <w14:textFill>
            <w14:solidFill>
              <w14:schemeClr w14:val="tx1"/>
            </w14:solidFill>
          </w14:textFill>
        </w:rPr>
        <w:t>范围，推进政务公开工作常态化开展，确保责任公开事项落实到位。及时公开财政信息、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社会公益事业建设</w:t>
      </w:r>
      <w:r>
        <w:rPr>
          <w:rFonts w:hint="eastAsia" w:ascii="仿宋_GB2312" w:hAnsi="仿宋_GB2312" w:eastAsia="仿宋_GB2312" w:cs="仿宋_GB2312"/>
          <w:color w:val="000000" w:themeColor="text1"/>
          <w:sz w:val="32"/>
          <w:szCs w:val="32"/>
          <w14:textFill>
            <w14:solidFill>
              <w14:schemeClr w14:val="tx1"/>
            </w14:solidFill>
          </w14:textFill>
        </w:rPr>
        <w:t>等领域信息，畅通群众获取政府信息的渠道。</w:t>
      </w:r>
    </w:p>
    <w:p w14:paraId="346108B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4874CB" w:themeColor="accent1"/>
          <w:sz w:val="32"/>
          <w:szCs w:val="32"/>
          <w14:textFill>
            <w14:solidFill>
              <w14:schemeClr w14:val="accent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ascii="仿宋_GB2312" w:hAnsi="宋体" w:eastAsia="仿宋_GB2312" w:cs="仿宋_GB2312"/>
          <w:color w:val="000000" w:themeColor="text1"/>
          <w:sz w:val="32"/>
          <w:szCs w:val="32"/>
          <w14:textFill>
            <w14:solidFill>
              <w14:schemeClr w14:val="tx1"/>
            </w14:solidFill>
          </w14:textFill>
        </w:rPr>
        <w:t>2024年</w:t>
      </w:r>
      <w:r>
        <w:rPr>
          <w:rFonts w:hint="eastAsia" w:ascii="仿宋_GB2312" w:hAnsi="宋体" w:eastAsia="仿宋_GB2312" w:cs="仿宋_GB2312"/>
          <w:color w:val="000000" w:themeColor="text1"/>
          <w:sz w:val="32"/>
          <w:szCs w:val="32"/>
          <w14:textFill>
            <w14:solidFill>
              <w14:schemeClr w14:val="tx1"/>
            </w14:solidFill>
          </w14:textFill>
        </w:rPr>
        <w:t>全</w:t>
      </w:r>
      <w:r>
        <w:rPr>
          <w:rFonts w:hint="eastAsia" w:ascii="仿宋_GB2312" w:hAnsi="宋体" w:eastAsia="仿宋_GB2312" w:cs="仿宋_GB2312"/>
          <w:sz w:val="32"/>
          <w:szCs w:val="32"/>
        </w:rPr>
        <w:t>年接到市人大常委会交办的人大代表建议办理工作0件，</w:t>
      </w:r>
      <w:r>
        <w:rPr>
          <w:rFonts w:hint="eastAsia" w:ascii="仿宋_GB2312" w:hAnsi="宋体" w:eastAsia="仿宋_GB2312" w:cs="仿宋_GB2312"/>
          <w:spacing w:val="0"/>
          <w:sz w:val="31"/>
          <w:szCs w:val="31"/>
          <w:shd w:val="clear" w:fill="FFFFFF"/>
        </w:rPr>
        <w:t>收到市政协十一届三次会议提案</w:t>
      </w:r>
      <w:r>
        <w:rPr>
          <w:rFonts w:hint="eastAsia" w:ascii="仿宋_GB2312" w:hAnsi="宋体" w:eastAsia="仿宋_GB2312" w:cs="仿宋_GB2312"/>
          <w:spacing w:val="0"/>
          <w:sz w:val="31"/>
          <w:szCs w:val="31"/>
          <w:shd w:val="clear" w:fill="FFFFFF"/>
          <w:lang w:val="en-US" w:eastAsia="zh-CN"/>
        </w:rPr>
        <w:t>21</w:t>
      </w:r>
      <w:r>
        <w:rPr>
          <w:rFonts w:hint="eastAsia" w:ascii="仿宋_GB2312" w:hAnsi="宋体" w:eastAsia="仿宋_GB2312" w:cs="仿宋_GB2312"/>
          <w:spacing w:val="0"/>
          <w:sz w:val="31"/>
          <w:szCs w:val="31"/>
          <w:shd w:val="clear" w:fill="FFFFFF"/>
        </w:rPr>
        <w:t>件</w:t>
      </w:r>
      <w:r>
        <w:rPr>
          <w:rFonts w:hint="eastAsia" w:ascii="仿宋_GB2312" w:hAnsi="宋体" w:eastAsia="仿宋_GB2312" w:cs="仿宋_GB2312"/>
          <w:spacing w:val="0"/>
          <w:sz w:val="31"/>
          <w:szCs w:val="31"/>
          <w:shd w:val="clear" w:fill="FFFFFF"/>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其中，区政法委接办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3件</w:t>
      </w:r>
      <w:r>
        <w:rPr>
          <w:rFonts w:hint="eastAsia" w:ascii="仿宋_GB2312" w:hAnsi="宋体" w:eastAsia="仿宋_GB2312" w:cs="仿宋_GB2312"/>
          <w:spacing w:val="0"/>
          <w:sz w:val="31"/>
          <w:szCs w:val="31"/>
          <w:shd w:val="clear" w:fill="FFFFFF"/>
          <w:lang w:eastAsia="zh-CN"/>
        </w:rPr>
        <w:t>）</w:t>
      </w:r>
      <w:r>
        <w:rPr>
          <w:rFonts w:hint="eastAsia" w:ascii="仿宋_GB2312" w:hAnsi="宋体" w:eastAsia="仿宋_GB2312" w:cs="仿宋_GB2312"/>
          <w:spacing w:val="0"/>
          <w:sz w:val="31"/>
          <w:szCs w:val="31"/>
          <w:shd w:val="clear" w:fill="FFFFFF"/>
        </w:rPr>
        <w:t>，均已在规定时限内答复完毕，</w:t>
      </w:r>
      <w:r>
        <w:rPr>
          <w:rFonts w:hint="eastAsia" w:ascii="仿宋_GB2312" w:hAnsi="宋体" w:eastAsia="仿宋_GB2312" w:cs="仿宋_GB2312"/>
          <w:sz w:val="31"/>
          <w:szCs w:val="31"/>
        </w:rPr>
        <w:t>办复率100%。</w:t>
      </w:r>
    </w:p>
    <w:p w14:paraId="16E8D80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4874CB" w:themeColor="accent1"/>
          <w:sz w:val="32"/>
          <w:szCs w:val="32"/>
          <w:lang w:val="en-US" w:eastAsia="zh-CN"/>
          <w14:textFill>
            <w14:solidFill>
              <w14:schemeClr w14:val="accent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本行政机关年度政务公开工作创新情况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auto"/>
          <w:spacing w:val="0"/>
          <w:sz w:val="32"/>
          <w:szCs w:val="32"/>
          <w:u w:val="none"/>
        </w:rPr>
        <w:t>充分利用网络媒体、微信群、公众号等宣传阵地，</w:t>
      </w:r>
      <w:r>
        <w:rPr>
          <w:rFonts w:hint="eastAsia" w:ascii="仿宋_GB2312" w:hAnsi="仿宋_GB2312" w:eastAsia="仿宋_GB2312" w:cs="仿宋_GB2312"/>
          <w:i w:val="0"/>
          <w:iCs w:val="0"/>
          <w:caps w:val="0"/>
          <w:color w:val="auto"/>
          <w:spacing w:val="0"/>
          <w:sz w:val="32"/>
          <w:szCs w:val="32"/>
          <w:u w:val="none"/>
          <w:lang w:val="en-US" w:eastAsia="zh-CN"/>
        </w:rPr>
        <w:t>围绕社会热点、群众关心关注的问题进行公开</w:t>
      </w: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进一步密切政府与企业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群众的沟通联系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6A8276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（五）本行政机关政府信息公开工作年度报告数据统计需要说明的事项。本报告中所列数据的统计时限为202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w:t>
      </w:r>
    </w:p>
    <w:p w14:paraId="19F6E4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（六）本行政机关认为需要报告的其他事项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3640DA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eastAsia" w:ascii="仿宋_GB2312" w:hAnsi="仿宋_GB2312" w:eastAsia="仿宋_GB2312" w:cs="仿宋_GB2312"/>
          <w:sz w:val="32"/>
          <w:szCs w:val="32"/>
        </w:rPr>
        <w:t>（七）其他有关文件专门要求通过政府信息公开工作年度报告予以报告的事项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F08324"/>
    <w:multiLevelType w:val="singleLevel"/>
    <w:tmpl w:val="69F08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85768"/>
    <w:rsid w:val="01C14567"/>
    <w:rsid w:val="04BE14F4"/>
    <w:rsid w:val="0FA85F08"/>
    <w:rsid w:val="10896104"/>
    <w:rsid w:val="15D8055B"/>
    <w:rsid w:val="162C7EF9"/>
    <w:rsid w:val="1671080F"/>
    <w:rsid w:val="17A006E8"/>
    <w:rsid w:val="1B0E4A1F"/>
    <w:rsid w:val="1B7C5E2D"/>
    <w:rsid w:val="1CEB1412"/>
    <w:rsid w:val="20E35CBE"/>
    <w:rsid w:val="228B057A"/>
    <w:rsid w:val="235F1ED6"/>
    <w:rsid w:val="25127FB3"/>
    <w:rsid w:val="26E01966"/>
    <w:rsid w:val="2F490DCB"/>
    <w:rsid w:val="313873D4"/>
    <w:rsid w:val="33431B71"/>
    <w:rsid w:val="345143E7"/>
    <w:rsid w:val="35777745"/>
    <w:rsid w:val="391E1C49"/>
    <w:rsid w:val="3D282C7D"/>
    <w:rsid w:val="3FCE3493"/>
    <w:rsid w:val="424262E2"/>
    <w:rsid w:val="44746C5F"/>
    <w:rsid w:val="4C0C4717"/>
    <w:rsid w:val="509203FA"/>
    <w:rsid w:val="553276FE"/>
    <w:rsid w:val="55BD0103"/>
    <w:rsid w:val="56C6275B"/>
    <w:rsid w:val="56CF59E9"/>
    <w:rsid w:val="5BE67F37"/>
    <w:rsid w:val="5C2C666D"/>
    <w:rsid w:val="654978D2"/>
    <w:rsid w:val="66114E5D"/>
    <w:rsid w:val="68F81CDA"/>
    <w:rsid w:val="6BB050E4"/>
    <w:rsid w:val="6E9879FD"/>
    <w:rsid w:val="71B1670A"/>
    <w:rsid w:val="72354580"/>
    <w:rsid w:val="726E24EF"/>
    <w:rsid w:val="72DD69A1"/>
    <w:rsid w:val="79156B43"/>
    <w:rsid w:val="7A570902"/>
    <w:rsid w:val="7B102CAB"/>
    <w:rsid w:val="7BC6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315" w:lineRule="atLeast"/>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2161</Words>
  <Characters>2279</Characters>
  <Lines>0</Lines>
  <Paragraphs>0</Paragraphs>
  <TotalTime>287</TotalTime>
  <ScaleCrop>false</ScaleCrop>
  <LinksUpToDate>false</LinksUpToDate>
  <CharactersWithSpaces>2279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2025-01-21T02:46:00Z</dcterms:created>
  <dc:creator>Administrator</dc:creator>
  <cp:lastModifiedBy>Administrator</cp:lastModifiedBy>
  <cp:lastPrinted>2025-02-08T07:26:44Z</cp:lastPrinted>
  <dcterms:modified xsi:type="dcterms:W3CDTF">2025-02-08T08:56:50Z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eyJoZGlkIjoiM2U0NDUzNjg0YjI3NGU4ZjBmOWM1ODA0NDFiNjY5MDgifQ==</vt:lpwstr>
  </property>
  <property fmtid="{D5CDD505-2E9C-101B-9397-08002B2CF9AE}" pid="4" name="ICV">
    <vt:lpwstr>F338BBB23B084456B22D43D10641582E_12</vt:lpwstr>
  </property>
</Properties>
</file>