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17B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枣庄高新区</w:t>
      </w:r>
      <w:r>
        <w:rPr>
          <w:rFonts w:hint="eastAsia" w:ascii="方正小标宋简体" w:hAnsi="方正小标宋简体" w:eastAsia="方正小标宋简体" w:cs="方正小标宋简体"/>
          <w:sz w:val="44"/>
          <w:szCs w:val="44"/>
          <w:lang w:eastAsia="zh-CN"/>
        </w:rPr>
        <w:t>党政综合办公室</w:t>
      </w:r>
      <w:r>
        <w:rPr>
          <w:rFonts w:hint="eastAsia" w:ascii="方正小标宋简体" w:hAnsi="方正小标宋简体" w:eastAsia="方正小标宋简体" w:cs="方正小标宋简体"/>
          <w:sz w:val="44"/>
          <w:szCs w:val="44"/>
        </w:rPr>
        <w:t>2024年政府</w:t>
      </w:r>
    </w:p>
    <w:p w14:paraId="4EFDCA9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14:paraId="18FD517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14:paraId="2B8A63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w:t>
      </w:r>
      <w:r>
        <w:rPr>
          <w:rFonts w:hint="eastAsia" w:ascii="仿宋_GB2312" w:hAnsi="仿宋_GB2312" w:eastAsia="仿宋_GB2312" w:cs="仿宋_GB2312"/>
          <w:sz w:val="32"/>
          <w:szCs w:val="32"/>
          <w:lang w:val="en-US" w:eastAsia="zh-CN"/>
        </w:rPr>
        <w:t>（国务院令第711号，以下简称《条例》）、《国务院办公厅政府信息与政务公开办公室关于印发&lt;中华人民共和国政府信息公开工作年度报告格式&gt;的通知》（国办公开办函〔2021〕30号）</w:t>
      </w:r>
      <w:r>
        <w:rPr>
          <w:rFonts w:hint="eastAsia" w:ascii="仿宋_GB2312" w:hAnsi="仿宋_GB2312" w:eastAsia="仿宋_GB2312" w:cs="仿宋_GB2312"/>
          <w:sz w:val="32"/>
          <w:szCs w:val="32"/>
        </w:rPr>
        <w:t>和省、市有关工作要求，由枣庄高新区</w:t>
      </w:r>
      <w:r>
        <w:rPr>
          <w:rFonts w:hint="eastAsia" w:ascii="仿宋_GB2312" w:hAnsi="仿宋_GB2312" w:eastAsia="仿宋_GB2312" w:cs="仿宋_GB2312"/>
          <w:sz w:val="32"/>
          <w:szCs w:val="32"/>
          <w:lang w:eastAsia="zh-CN"/>
        </w:rPr>
        <w:t>党政综合办公室</w:t>
      </w:r>
      <w:r>
        <w:rPr>
          <w:rFonts w:hint="eastAsia" w:ascii="仿宋_GB2312" w:hAnsi="仿宋_GB2312" w:eastAsia="仿宋_GB2312" w:cs="仿宋_GB2312"/>
          <w:sz w:val="32"/>
          <w:szCs w:val="32"/>
        </w:rPr>
        <w:t>编制。全文包括202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w:t>
      </w:r>
      <w:r>
        <w:rPr>
          <w:rFonts w:ascii="仿宋_GB2312" w:hAnsi="宋体" w:eastAsia="仿宋_GB2312" w:cs="仿宋_GB2312"/>
          <w:i w:val="0"/>
          <w:iCs w:val="0"/>
          <w:caps w:val="0"/>
          <w:color w:val="000000"/>
          <w:spacing w:val="0"/>
          <w:sz w:val="31"/>
          <w:szCs w:val="31"/>
          <w:shd w:val="clear" w:fill="FFFFFF"/>
        </w:rPr>
        <w:t>开工作要点落实情况，主动公开政府信息情况，回应解读情况，依申请公开情况，政府信息公开行政复议、行政诉讼和投诉情况，存在的主要问题及改进措施等。</w:t>
      </w:r>
      <w:r>
        <w:rPr>
          <w:rFonts w:hint="eastAsia" w:ascii="仿宋_GB2312" w:hAnsi="仿宋_GB2312" w:eastAsia="仿宋_GB2312" w:cs="仿宋_GB2312"/>
          <w:sz w:val="32"/>
          <w:szCs w:val="32"/>
        </w:rPr>
        <w:t>本报告所列数据的统计时限自202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年12月31日。本报告全文将在枣庄高新区官网（http://www.zzctp.gov.cn/）“政府信息公开年报”专栏公布。如对本报告有疑问，请与枣庄高新区</w:t>
      </w:r>
      <w:r>
        <w:rPr>
          <w:rFonts w:hint="eastAsia" w:ascii="仿宋_GB2312" w:hAnsi="仿宋_GB2312" w:eastAsia="仿宋_GB2312" w:cs="仿宋_GB2312"/>
          <w:sz w:val="32"/>
          <w:szCs w:val="32"/>
          <w:lang w:eastAsia="zh-CN"/>
        </w:rPr>
        <w:t>党政综合办公室</w:t>
      </w:r>
      <w:r>
        <w:rPr>
          <w:rFonts w:hint="eastAsia" w:ascii="仿宋_GB2312" w:hAnsi="仿宋_GB2312" w:eastAsia="仿宋_GB2312" w:cs="仿宋_GB2312"/>
          <w:sz w:val="32"/>
          <w:szCs w:val="32"/>
        </w:rPr>
        <w:t>信息科联系（联系电话:0632-8626577，电子邮箱:gxqzwgkb@163.com）。</w:t>
      </w:r>
    </w:p>
    <w:p w14:paraId="08D40E9F">
      <w:pPr>
        <w:ind w:firstLine="640" w:firstLineChars="200"/>
        <w:rPr>
          <w:rFonts w:hint="eastAsia" w:ascii="黑体" w:hAnsi="黑体" w:eastAsia="黑体" w:cs="黑体"/>
          <w:sz w:val="32"/>
          <w:szCs w:val="32"/>
        </w:rPr>
      </w:pPr>
      <w:r>
        <w:rPr>
          <w:rFonts w:hint="eastAsia" w:ascii="黑体" w:hAnsi="黑体" w:eastAsia="黑体" w:cs="黑体"/>
          <w:sz w:val="32"/>
          <w:szCs w:val="32"/>
        </w:rPr>
        <w:t>—、总体情况</w:t>
      </w:r>
    </w:p>
    <w:p w14:paraId="3F926E4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年，枣庄高新区认真贯彻落实国家、省、市关于政务公开各项工作部署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努力提高服务大局、服务基层、服务群众的能力，不断提升我区政务公开规范化水平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，主要内容</w:t>
      </w:r>
      <w:r>
        <w:rPr>
          <w:rFonts w:hint="eastAsia" w:ascii="仿宋_GB2312" w:hAnsi="仿宋_GB2312" w:eastAsia="仿宋_GB2312" w:cs="仿宋_GB2312"/>
          <w:sz w:val="32"/>
          <w:szCs w:val="32"/>
        </w:rPr>
        <w:t>包括主动公开政府信息情况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依申请公开情况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w:t>
      </w:r>
      <w:r>
        <w:rPr>
          <w:rFonts w:hint="eastAsia" w:ascii="仿宋_GB2312" w:hAnsi="仿宋_GB2312" w:eastAsia="仿宋_GB2312" w:cs="仿宋_GB2312"/>
          <w:sz w:val="32"/>
          <w:szCs w:val="32"/>
          <w:lang w:eastAsia="zh-CN"/>
        </w:rPr>
        <w:t>管理情况、政府信息公开平台建设情况、监督保障情况</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themeColor="text1"/>
          <w:sz w:val="32"/>
          <w:szCs w:val="32"/>
          <w14:textFill>
            <w14:solidFill>
              <w14:schemeClr w14:val="tx1"/>
            </w14:solidFill>
          </w14:textFill>
        </w:rPr>
        <w:t>现将我区202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年度政府信息公开工作情况报告如下：</w:t>
      </w:r>
    </w:p>
    <w:p w14:paraId="6B867851">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（一）主动公开工作情况</w:t>
      </w:r>
    </w:p>
    <w:p w14:paraId="3A885FC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会议公开方面，202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年共召开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次区级领导干部办公会议。其中，采取</w:t>
      </w:r>
      <w:r>
        <w:rPr>
          <w:rFonts w:hint="eastAsia" w:ascii="仿宋_GB2312" w:hAnsi="仿宋_GB2312" w:eastAsia="仿宋_GB2312" w:cs="仿宋_GB2312"/>
          <w:color w:val="000000" w:themeColor="text1"/>
          <w:sz w:val="32"/>
          <w:szCs w:val="32"/>
          <w:lang w:eastAsia="zh-CN"/>
          <w14:textFill>
            <w14:solidFill>
              <w14:schemeClr w14:val="tx1"/>
            </w14:solidFill>
          </w14:textFill>
        </w:rPr>
        <w:t>新闻稿、</w:t>
      </w:r>
      <w:r>
        <w:rPr>
          <w:rFonts w:hint="eastAsia" w:ascii="仿宋_GB2312" w:hAnsi="仿宋_GB2312" w:eastAsia="仿宋_GB2312" w:cs="仿宋_GB2312"/>
          <w:color w:val="000000" w:themeColor="text1"/>
          <w:sz w:val="32"/>
          <w:szCs w:val="32"/>
          <w14:textFill>
            <w14:solidFill>
              <w14:schemeClr w14:val="tx1"/>
            </w14:solidFill>
          </w14:textFill>
        </w:rPr>
        <w:t>广播电视</w:t>
      </w: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和新媒体等形式向社会公开了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次区级领导干部办公会议。</w:t>
      </w:r>
    </w:p>
    <w:p w14:paraId="041C42BF">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政策文件方面，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主动公开管委会文件、管委会办公室文件和规范性文件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配发解读材料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件。其中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负责人解读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音频动漫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、图片解读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1件、简明问答2件、媒体解读1件、专家解读2件、文字解读1件。</w:t>
      </w:r>
    </w:p>
    <w:p w14:paraId="7D196880">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166360" cy="2979420"/>
            <wp:effectExtent l="0" t="0" r="15240" b="11430"/>
            <wp:docPr id="5" name="图片 5" descr="搜狗截图25年01月17日163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搜狗截图25年01月17日1637_2"/>
                    <pic:cNvPicPr>
                      <a:picLocks noChangeAspect="1"/>
                    </pic:cNvPicPr>
                  </pic:nvPicPr>
                  <pic:blipFill>
                    <a:blip r:embed="rId4"/>
                    <a:stretch>
                      <a:fillRect/>
                    </a:stretch>
                  </pic:blipFill>
                  <pic:spPr>
                    <a:xfrm>
                      <a:off x="0" y="0"/>
                      <a:ext cx="5166360" cy="2979420"/>
                    </a:xfrm>
                    <a:prstGeom prst="rect">
                      <a:avLst/>
                    </a:prstGeom>
                  </pic:spPr>
                </pic:pic>
              </a:graphicData>
            </a:graphic>
          </wp:inline>
        </w:drawing>
      </w:r>
    </w:p>
    <w:p w14:paraId="089EBDE3">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869815" cy="2752725"/>
            <wp:effectExtent l="0" t="0" r="6985" b="9525"/>
            <wp:docPr id="4" name="图片 4" descr="搜狗截图25年01月17日15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25年01月17日1546_1"/>
                    <pic:cNvPicPr>
                      <a:picLocks noChangeAspect="1"/>
                    </pic:cNvPicPr>
                  </pic:nvPicPr>
                  <pic:blipFill>
                    <a:blip r:embed="rId5"/>
                    <a:stretch>
                      <a:fillRect/>
                    </a:stretch>
                  </pic:blipFill>
                  <pic:spPr>
                    <a:xfrm>
                      <a:off x="0" y="0"/>
                      <a:ext cx="4869815" cy="2752725"/>
                    </a:xfrm>
                    <a:prstGeom prst="rect">
                      <a:avLst/>
                    </a:prstGeom>
                  </pic:spPr>
                </pic:pic>
              </a:graphicData>
            </a:graphic>
          </wp:inline>
        </w:drawing>
      </w:r>
    </w:p>
    <w:p w14:paraId="3538D8E4">
      <w:pPr>
        <w:pStyle w:val="2"/>
        <w:keepNext w:val="0"/>
        <w:keepLines w:val="0"/>
        <w:widowControl/>
        <w:suppressLineNumbers w:val="0"/>
        <w:spacing w:line="420" w:lineRule="atLeast"/>
        <w:ind w:left="0" w:firstLine="615"/>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eastAsia="仿宋_GB2312" w:cs="仿宋_GB2312"/>
          <w:color w:val="000000" w:themeColor="text1"/>
          <w:spacing w:val="0"/>
          <w:sz w:val="31"/>
          <w:szCs w:val="31"/>
          <w14:textFill>
            <w14:solidFill>
              <w14:schemeClr w14:val="tx1"/>
            </w14:solidFill>
          </w14:textFill>
        </w:rPr>
        <w:t>其他信息方面，及时更新</w:t>
      </w:r>
      <w:r>
        <w:rPr>
          <w:rFonts w:hint="eastAsia" w:ascii="仿宋_GB2312" w:eastAsia="仿宋_GB2312" w:cs="仿宋_GB2312"/>
          <w:color w:val="000000" w:themeColor="text1"/>
          <w:spacing w:val="0"/>
          <w:sz w:val="31"/>
          <w:szCs w:val="31"/>
          <w:lang w:eastAsia="zh-CN"/>
          <w14:textFill>
            <w14:solidFill>
              <w14:schemeClr w14:val="tx1"/>
            </w14:solidFill>
          </w14:textFill>
        </w:rPr>
        <w:t>《条例》第二十条和第二十一条规定的主动公开政府信息</w:t>
      </w:r>
      <w:r>
        <w:rPr>
          <w:rFonts w:hint="eastAsia" w:ascii="仿宋_GB2312" w:eastAsia="仿宋_GB2312" w:cs="仿宋_GB2312"/>
          <w:color w:val="000000" w:themeColor="text1"/>
          <w:spacing w:val="0"/>
          <w:sz w:val="31"/>
          <w:szCs w:val="31"/>
          <w:lang w:val="en-US" w:eastAsia="zh-CN"/>
          <w14:textFill>
            <w14:solidFill>
              <w14:schemeClr w14:val="tx1"/>
            </w14:solidFill>
          </w14:textFill>
        </w:rPr>
        <w:t>200余条</w:t>
      </w:r>
      <w:r>
        <w:rPr>
          <w:rFonts w:ascii="仿宋_GB2312" w:eastAsia="仿宋_GB2312" w:cs="仿宋_GB2312"/>
          <w:color w:val="000000" w:themeColor="text1"/>
          <w:spacing w:val="0"/>
          <w:sz w:val="31"/>
          <w:szCs w:val="31"/>
          <w14:textFill>
            <w14:solidFill>
              <w14:schemeClr w14:val="tx1"/>
            </w14:solidFill>
          </w14:textFill>
        </w:rPr>
        <w:t>；</w:t>
      </w:r>
      <w:r>
        <w:rPr>
          <w:rFonts w:hint="eastAsia" w:ascii="仿宋_GB2312" w:eastAsia="仿宋_GB2312" w:cs="仿宋_GB2312"/>
          <w:color w:val="000000" w:themeColor="text1"/>
          <w:spacing w:val="0"/>
          <w:sz w:val="31"/>
          <w:szCs w:val="31"/>
          <w:lang w:eastAsia="zh-CN"/>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收到互动交流信件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件，按时回复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件。</w:t>
      </w:r>
    </w:p>
    <w:p w14:paraId="030AFB56">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（二）依申请公开办理情况</w:t>
      </w:r>
    </w:p>
    <w:p w14:paraId="10AC1B1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1.收到和处理政府信息公开申请情况</w:t>
      </w:r>
    </w:p>
    <w:p w14:paraId="588D201E">
      <w:pPr>
        <w:ind w:firstLine="640" w:firstLineChars="200"/>
        <w:rPr>
          <w:rFonts w:hint="eastAsia" w:ascii="仿宋_GB2312" w:eastAsia="仿宋_GB2312"/>
          <w:color w:val="000000"/>
          <w:sz w:val="32"/>
          <w:szCs w:val="32"/>
          <w:shd w:val="clear" w:color="auto" w:fill="FFFFFF"/>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枣庄高新区</w:t>
      </w:r>
      <w:r>
        <w:rPr>
          <w:rFonts w:hint="eastAsia" w:ascii="仿宋_GB2312" w:hAnsi="仿宋_GB2312" w:eastAsia="仿宋_GB2312" w:cs="仿宋_GB2312"/>
          <w:color w:val="000000" w:themeColor="text1"/>
          <w:sz w:val="32"/>
          <w:szCs w:val="32"/>
          <w:lang w:eastAsia="zh-CN"/>
          <w14:textFill>
            <w14:solidFill>
              <w14:schemeClr w14:val="tx1"/>
            </w14:solidFill>
          </w14:textFill>
        </w:rPr>
        <w:t>党政综合办公室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认真执行《中华</w:t>
      </w:r>
      <w:r>
        <w:rPr>
          <w:rFonts w:hint="eastAsia" w:ascii="仿宋_GB2312" w:eastAsia="仿宋_GB2312"/>
          <w:color w:val="000000"/>
          <w:sz w:val="32"/>
          <w:szCs w:val="32"/>
          <w:shd w:val="clear" w:color="auto" w:fill="FFFFFF"/>
          <w:lang w:val="en-US" w:eastAsia="zh-CN"/>
        </w:rPr>
        <w:t>人民共和国政府信息公开条例》，严格规范依申请公开办理流程，</w:t>
      </w:r>
      <w:r>
        <w:rPr>
          <w:rFonts w:hint="default" w:ascii="仿宋_GB2312" w:hAnsi="黑体" w:eastAsia="仿宋_GB2312"/>
          <w:sz w:val="32"/>
          <w:szCs w:val="32"/>
          <w:lang w:val="en-US" w:eastAsia="zh-CN"/>
        </w:rPr>
        <w:t>进一步拓展受理渠道，保障公民、法人和其他组织依法获取政府信息。</w:t>
      </w:r>
      <w:r>
        <w:rPr>
          <w:rFonts w:hint="eastAsia" w:ascii="仿宋_GB2312" w:eastAsia="仿宋_GB2312"/>
          <w:color w:val="000000"/>
          <w:sz w:val="32"/>
          <w:szCs w:val="32"/>
          <w:shd w:val="clear" w:color="auto" w:fill="FFFFFF"/>
          <w:lang w:val="en-US" w:eastAsia="zh-CN"/>
        </w:rPr>
        <w:t>2024年</w:t>
      </w:r>
      <w:r>
        <w:rPr>
          <w:rFonts w:hint="eastAsia" w:ascii="仿宋_GB2312" w:hAnsi="仿宋_GB2312" w:eastAsia="仿宋_GB2312" w:cs="仿宋_GB2312"/>
          <w:color w:val="000000" w:themeColor="text1"/>
          <w:sz w:val="32"/>
          <w:szCs w:val="32"/>
          <w14:textFill>
            <w14:solidFill>
              <w14:schemeClr w14:val="tx1"/>
            </w14:solidFill>
          </w14:textFill>
        </w:rPr>
        <w:t>处理市政府协查函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处理依申请公开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eastAsia="仿宋_GB2312"/>
          <w:color w:val="000000"/>
          <w:sz w:val="32"/>
          <w:szCs w:val="32"/>
          <w:shd w:val="clear" w:color="auto" w:fill="FFFFFF"/>
          <w:lang w:val="en-US" w:eastAsia="zh-CN"/>
        </w:rPr>
        <w:t>处理申请数量较2023年呈下降趋势</w:t>
      </w:r>
      <w:bookmarkStart w:id="10" w:name="_GoBack"/>
      <w:bookmarkEnd w:id="10"/>
      <w:r>
        <w:rPr>
          <w:rFonts w:hint="eastAsia" w:ascii="仿宋_GB2312" w:eastAsia="仿宋_GB2312"/>
          <w:color w:val="000000"/>
          <w:sz w:val="32"/>
          <w:szCs w:val="32"/>
          <w:shd w:val="clear" w:color="auto" w:fill="FFFFFF"/>
          <w:lang w:val="en-US" w:eastAsia="zh-CN"/>
        </w:rPr>
        <w:t>。</w:t>
      </w:r>
    </w:p>
    <w:p w14:paraId="7EBAD6F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0ADA10C8">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2.政府信息公开行政复议、行政诉讼情况</w:t>
      </w:r>
    </w:p>
    <w:p w14:paraId="33B64AB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年，因政府信息公开被申请行政复议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件，因公民、法人和其他组织认为行政机关政府信息公开工作具体行政行为侵犯其合法权益，提起行政诉讼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件。</w:t>
      </w:r>
    </w:p>
    <w:p w14:paraId="7B068D33">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14:paraId="061919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将政府信息管理工作，作为推进、指导、协调、监督的重要内容。</w:t>
      </w:r>
    </w:p>
    <w:p w14:paraId="646E8490">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14:paraId="17E5D4D2">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一是设立政府信息公开专栏，在政府门户网站信息公开专栏设置财政预决算</w:t>
      </w:r>
      <w:r>
        <w:rPr>
          <w:rFonts w:hint="eastAsia" w:ascii="仿宋_GB2312" w:hAnsi="仿宋_GB2312" w:eastAsia="仿宋_GB2312" w:cs="仿宋_GB2312"/>
          <w:color w:val="000000" w:themeColor="text1"/>
          <w:sz w:val="32"/>
          <w:szCs w:val="32"/>
          <w:lang w:eastAsia="zh-CN"/>
          <w14:textFill>
            <w14:solidFill>
              <w14:schemeClr w14:val="tx1"/>
            </w14:solidFill>
          </w14:textFill>
        </w:rPr>
        <w:t>平台、优化营商环境、</w:t>
      </w:r>
      <w:r>
        <w:rPr>
          <w:rFonts w:hint="eastAsia" w:ascii="仿宋_GB2312" w:hAnsi="仿宋_GB2312" w:eastAsia="仿宋_GB2312" w:cs="仿宋_GB2312"/>
          <w:color w:val="000000" w:themeColor="text1"/>
          <w:sz w:val="32"/>
          <w:szCs w:val="32"/>
          <w14:textFill>
            <w14:solidFill>
              <w14:schemeClr w14:val="tx1"/>
            </w14:solidFill>
          </w14:textFill>
        </w:rPr>
        <w:t>基层政务公开标准化规范化等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个专栏，方便群众浏览、知晓；</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是及时维护更新微信公众号、微博</w:t>
      </w:r>
      <w:r>
        <w:rPr>
          <w:rFonts w:hint="eastAsia" w:ascii="仿宋_GB2312" w:hAnsi="仿宋_GB2312" w:eastAsia="仿宋_GB2312" w:cs="仿宋_GB2312"/>
          <w:color w:val="000000" w:themeColor="text1"/>
          <w:sz w:val="32"/>
          <w:szCs w:val="32"/>
          <w:lang w:eastAsia="zh-CN"/>
          <w14:textFill>
            <w14:solidFill>
              <w14:schemeClr w14:val="tx1"/>
            </w14:solidFill>
          </w14:textFill>
        </w:rPr>
        <w:t>、抖音等政务新媒体；三</w:t>
      </w:r>
      <w:r>
        <w:rPr>
          <w:rFonts w:hint="eastAsia" w:ascii="仿宋_GB2312" w:hAnsi="仿宋_GB2312" w:eastAsia="仿宋_GB2312" w:cs="仿宋_GB2312"/>
          <w:color w:val="000000" w:themeColor="text1"/>
          <w:sz w:val="32"/>
          <w:szCs w:val="32"/>
          <w14:textFill>
            <w14:solidFill>
              <w14:schemeClr w14:val="tx1"/>
            </w14:solidFill>
          </w14:textFill>
        </w:rPr>
        <w:t>是完善基层标准化规范化建设，全区已建设标准化规范化区级专区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处、街道专区3处、村居</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专区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10余</w:t>
      </w:r>
      <w:r>
        <w:rPr>
          <w:rFonts w:hint="eastAsia" w:ascii="仿宋_GB2312" w:hAnsi="仿宋_GB2312" w:eastAsia="仿宋_GB2312" w:cs="仿宋_GB2312"/>
          <w:color w:val="000000" w:themeColor="text1"/>
          <w:sz w:val="32"/>
          <w:szCs w:val="32"/>
          <w14:textFill>
            <w14:solidFill>
              <w14:schemeClr w14:val="tx1"/>
            </w14:solidFill>
          </w14:textFill>
        </w:rPr>
        <w:t>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C5D270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11420" cy="3449320"/>
            <wp:effectExtent l="0" t="0" r="17780" b="17780"/>
            <wp:docPr id="2" name="图片 3" descr="政务公开专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政务公开专区"/>
                    <pic:cNvPicPr>
                      <a:picLocks noChangeAspect="1"/>
                    </pic:cNvPicPr>
                  </pic:nvPicPr>
                  <pic:blipFill>
                    <a:blip r:embed="rId6"/>
                    <a:srcRect l="24" t="4846" r="-197" b="5325"/>
                    <a:stretch>
                      <a:fillRect/>
                    </a:stretch>
                  </pic:blipFill>
                  <pic:spPr>
                    <a:xfrm>
                      <a:off x="0" y="0"/>
                      <a:ext cx="5011420" cy="3449320"/>
                    </a:xfrm>
                    <a:prstGeom prst="rect">
                      <a:avLst/>
                    </a:prstGeom>
                    <a:noFill/>
                    <a:ln>
                      <a:noFill/>
                    </a:ln>
                  </pic:spPr>
                </pic:pic>
              </a:graphicData>
            </a:graphic>
          </wp:inline>
        </w:drawing>
      </w:r>
    </w:p>
    <w:p w14:paraId="48547EAD">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14:paraId="1A5580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强化工作队伍建设，</w:t>
      </w:r>
      <w:r>
        <w:rPr>
          <w:rFonts w:hint="eastAsia" w:ascii="仿宋_GB2312" w:hAnsi="仿宋_GB2312" w:eastAsia="仿宋_GB2312" w:cs="仿宋_GB2312"/>
          <w:color w:val="000000"/>
          <w:kern w:val="0"/>
          <w:sz w:val="32"/>
          <w:szCs w:val="32"/>
          <w:lang w:val="en-US" w:eastAsia="zh-CN"/>
        </w:rPr>
        <w:t>进一步</w:t>
      </w:r>
      <w:r>
        <w:rPr>
          <w:rFonts w:hint="eastAsia" w:ascii="仿宋_GB2312" w:hAnsi="仿宋_GB2312" w:eastAsia="仿宋_GB2312" w:cs="仿宋_GB2312"/>
          <w:color w:val="000000"/>
          <w:kern w:val="0"/>
          <w:sz w:val="32"/>
          <w:szCs w:val="32"/>
          <w:lang w:eastAsia="zh-CN"/>
        </w:rPr>
        <w:t>适应新常态、新思路，积极对上沟通的同时重视与下对接，强化主管单位工作人员理论知识学习和业务技能培训，提升专业素养，</w:t>
      </w:r>
      <w:r>
        <w:rPr>
          <w:rFonts w:hint="eastAsia" w:ascii="仿宋_GB2312" w:hAnsi="微软雅黑" w:eastAsia="仿宋_GB2312" w:cs="仿宋_GB2312"/>
          <w:i w:val="0"/>
          <w:caps w:val="0"/>
          <w:color w:val="000000"/>
          <w:spacing w:val="0"/>
          <w:sz w:val="32"/>
          <w:szCs w:val="32"/>
          <w:shd w:val="clear" w:color="auto" w:fill="FFFFFF"/>
        </w:rPr>
        <w:t>打造一支综合素质高、具有丰富</w:t>
      </w:r>
      <w:r>
        <w:rPr>
          <w:rFonts w:hint="eastAsia" w:ascii="仿宋_GB2312" w:hAnsi="微软雅黑" w:eastAsia="仿宋_GB2312" w:cs="仿宋_GB2312"/>
          <w:i w:val="0"/>
          <w:caps w:val="0"/>
          <w:color w:val="000000"/>
          <w:spacing w:val="0"/>
          <w:sz w:val="32"/>
          <w:szCs w:val="32"/>
          <w:shd w:val="clear" w:color="auto" w:fill="FFFFFF"/>
          <w:lang w:eastAsia="zh-CN"/>
        </w:rPr>
        <w:t>政务公开</w:t>
      </w:r>
      <w:r>
        <w:rPr>
          <w:rFonts w:hint="eastAsia" w:ascii="仿宋_GB2312" w:hAnsi="微软雅黑" w:eastAsia="仿宋_GB2312" w:cs="仿宋_GB2312"/>
          <w:i w:val="0"/>
          <w:caps w:val="0"/>
          <w:color w:val="000000"/>
          <w:spacing w:val="0"/>
          <w:sz w:val="32"/>
          <w:szCs w:val="32"/>
          <w:shd w:val="clear" w:color="auto" w:fill="FFFFFF"/>
        </w:rPr>
        <w:t>工作经验的</w:t>
      </w:r>
      <w:r>
        <w:rPr>
          <w:rFonts w:hint="eastAsia" w:ascii="仿宋_GB2312" w:hAnsi="微软雅黑" w:eastAsia="仿宋_GB2312" w:cs="仿宋_GB2312"/>
          <w:i w:val="0"/>
          <w:caps w:val="0"/>
          <w:color w:val="000000"/>
          <w:spacing w:val="0"/>
          <w:sz w:val="32"/>
          <w:szCs w:val="32"/>
          <w:shd w:val="clear" w:color="auto" w:fill="FFFFFF"/>
          <w:lang w:eastAsia="zh-CN"/>
        </w:rPr>
        <w:t>政务公开</w:t>
      </w:r>
      <w:r>
        <w:rPr>
          <w:rFonts w:hint="eastAsia" w:ascii="仿宋_GB2312" w:hAnsi="微软雅黑" w:eastAsia="仿宋_GB2312" w:cs="仿宋_GB2312"/>
          <w:i w:val="0"/>
          <w:caps w:val="0"/>
          <w:color w:val="000000"/>
          <w:spacing w:val="0"/>
          <w:sz w:val="32"/>
          <w:szCs w:val="32"/>
          <w:shd w:val="clear" w:color="auto" w:fill="FFFFFF"/>
        </w:rPr>
        <w:t>队伍</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kern w:val="0"/>
          <w:sz w:val="32"/>
          <w:szCs w:val="32"/>
          <w14:textFill>
            <w14:solidFill>
              <w14:schemeClr w14:val="tx1"/>
            </w14:solidFill>
          </w14:textFill>
        </w:rPr>
        <w:t>建立常态化巡查机制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严格落实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政府网站和</w:t>
      </w:r>
      <w:r>
        <w:rPr>
          <w:rFonts w:hint="eastAsia" w:ascii="仿宋_GB2312" w:hAnsi="仿宋_GB2312" w:eastAsia="仿宋_GB2312" w:cs="仿宋_GB2312"/>
          <w:color w:val="000000" w:themeColor="text1"/>
          <w:kern w:val="0"/>
          <w:sz w:val="32"/>
          <w:szCs w:val="32"/>
          <w14:textFill>
            <w14:solidFill>
              <w14:schemeClr w14:val="tx1"/>
            </w14:solidFill>
          </w14:textFill>
        </w:rPr>
        <w:t>政务新媒体内容更新、整合到位等工作情况，对检查发现的问题及时组织溯源整改，确保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信息上传及时、</w:t>
      </w:r>
      <w:r>
        <w:rPr>
          <w:rFonts w:hint="eastAsia" w:ascii="仿宋_GB2312" w:hAnsi="仿宋_GB2312" w:eastAsia="仿宋_GB2312" w:cs="仿宋_GB2312"/>
          <w:color w:val="000000" w:themeColor="text1"/>
          <w:kern w:val="0"/>
          <w:sz w:val="32"/>
          <w:szCs w:val="32"/>
          <w14:textFill>
            <w14:solidFill>
              <w14:schemeClr w14:val="tx1"/>
            </w14:solidFill>
          </w14:textFill>
        </w:rPr>
        <w:t>内容准确，坚决杜绝空白栏目、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文字表述错误</w:t>
      </w:r>
      <w:r>
        <w:rPr>
          <w:rFonts w:hint="eastAsia" w:ascii="仿宋_GB2312" w:hAnsi="仿宋_GB2312" w:eastAsia="仿宋_GB2312" w:cs="仿宋_GB2312"/>
          <w:color w:val="000000" w:themeColor="text1"/>
          <w:kern w:val="0"/>
          <w:sz w:val="32"/>
          <w:szCs w:val="32"/>
          <w14:textFill>
            <w14:solidFill>
              <w14:schemeClr w14:val="tx1"/>
            </w14:solidFill>
          </w14:textFill>
        </w:rPr>
        <w:t>等问题。</w:t>
      </w:r>
    </w:p>
    <w:p w14:paraId="66A317E8">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14:paraId="4153C1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2F39C46">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14:paraId="211643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6B1D26F">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B26147E">
            <w:pPr>
              <w:jc w:val="center"/>
              <w:rPr>
                <w:rFonts w:hint="eastAsia" w:ascii="黑体" w:hAnsi="黑体" w:eastAsia="黑体" w:cs="黑体"/>
                <w:sz w:val="24"/>
                <w:szCs w:val="24"/>
              </w:rPr>
            </w:pPr>
            <w:r>
              <w:rPr>
                <w:rFonts w:hint="eastAsia" w:ascii="黑体" w:hAnsi="黑体" w:eastAsia="黑体" w:cs="黑体"/>
                <w:sz w:val="24"/>
                <w:szCs w:val="24"/>
              </w:rPr>
              <w:t>本年制</w:t>
            </w:r>
          </w:p>
          <w:p w14:paraId="5DC41B40">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EAD4AED">
            <w:pPr>
              <w:jc w:val="center"/>
              <w:rPr>
                <w:rFonts w:hint="eastAsia" w:ascii="黑体" w:hAnsi="黑体" w:eastAsia="黑体" w:cs="黑体"/>
                <w:sz w:val="24"/>
                <w:szCs w:val="24"/>
              </w:rPr>
            </w:pPr>
            <w:r>
              <w:rPr>
                <w:rFonts w:hint="eastAsia" w:ascii="黑体" w:hAnsi="黑体" w:eastAsia="黑体" w:cs="黑体"/>
                <w:sz w:val="24"/>
                <w:szCs w:val="24"/>
              </w:rPr>
              <w:t>本年废</w:t>
            </w:r>
          </w:p>
          <w:p w14:paraId="40E4484B">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1E4AE38">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14:paraId="5254DD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0DF0DF5">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5AD60E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59B3A3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6FF86E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14:paraId="4608C1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EE816EE">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196A8C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9E5F9A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A52151E">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7B12DA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E26111B">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14:paraId="302664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5D7C13E">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185DC58">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14:paraId="38259A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64BA6EF">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4CC2F3D">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0</w:t>
            </w:r>
          </w:p>
        </w:tc>
      </w:tr>
      <w:tr w14:paraId="133916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624B28F">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14:paraId="4C9BE0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53BE964">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3B0C6E50">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14:paraId="5F2164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EC7E735">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698E0D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31EC00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2903583">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DA597C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5990BF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03D7321">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14:paraId="184059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6D98100">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85C3275">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14:paraId="067D53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61B19B3">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DE1F789">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14:paraId="25FCD9BA">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rPr>
          <w:rFonts w:hint="eastAsia" w:ascii="黑体" w:hAnsi="宋体" w:eastAsia="黑体" w:cs="黑体"/>
          <w:color w:val="FF0000"/>
          <w:spacing w:val="0"/>
          <w:sz w:val="31"/>
          <w:szCs w:val="31"/>
        </w:rPr>
      </w:pPr>
    </w:p>
    <w:p w14:paraId="10BB3FFF">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themeColor="text1"/>
          <w14:textFill>
            <w14:solidFill>
              <w14:schemeClr w14:val="tx1"/>
            </w14:solidFill>
          </w14:textFill>
        </w:rPr>
      </w:pPr>
      <w:r>
        <w:rPr>
          <w:rFonts w:hint="eastAsia" w:ascii="黑体" w:hAnsi="宋体" w:eastAsia="黑体" w:cs="黑体"/>
          <w:color w:val="000000" w:themeColor="text1"/>
          <w:spacing w:val="0"/>
          <w:sz w:val="31"/>
          <w:szCs w:val="31"/>
          <w14:textFill>
            <w14:solidFill>
              <w14:schemeClr w14:val="tx1"/>
            </w14:solidFill>
          </w14:textFill>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668"/>
        <w:gridCol w:w="540"/>
        <w:gridCol w:w="553"/>
        <w:gridCol w:w="553"/>
        <w:gridCol w:w="700"/>
        <w:gridCol w:w="673"/>
        <w:gridCol w:w="553"/>
        <w:gridCol w:w="806"/>
      </w:tblGrid>
      <w:tr w14:paraId="07944A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BA063D">
            <w:pPr>
              <w:pStyle w:val="2"/>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C1F2ED">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申请人情况</w:t>
            </w:r>
          </w:p>
        </w:tc>
      </w:tr>
      <w:tr w14:paraId="6FF4CF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11ED4C">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35C2911">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AC1C86">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873B42">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总计</w:t>
            </w:r>
          </w:p>
        </w:tc>
      </w:tr>
      <w:tr w14:paraId="22F9EC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3311CD">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5D9C48">
            <w:pPr>
              <w:jc w:val="center"/>
              <w:rPr>
                <w:rFonts w:hint="eastAsia" w:ascii="黑体" w:hAnsi="黑体" w:eastAsia="黑体" w:cs="黑体"/>
                <w:color w:val="000000" w:themeColor="text1"/>
                <w14:textFill>
                  <w14:solidFill>
                    <w14:schemeClr w14:val="tx1"/>
                  </w14:solidFill>
                </w14:textFill>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5D819">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D69D21">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1C1974">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A35A8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C246D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1CC509">
            <w:pPr>
              <w:jc w:val="center"/>
              <w:rPr>
                <w:rFonts w:hint="eastAsia" w:ascii="黑体" w:hAnsi="黑体" w:eastAsia="黑体" w:cs="黑体"/>
                <w:color w:val="000000" w:themeColor="text1"/>
                <w14:textFill>
                  <w14:solidFill>
                    <w14:schemeClr w14:val="tx1"/>
                  </w14:solidFill>
                </w14:textFill>
              </w:rPr>
            </w:pPr>
          </w:p>
        </w:tc>
      </w:tr>
      <w:tr w14:paraId="2ED95A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3309A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w:t>
            </w:r>
            <w:bookmarkStart w:id="0" w:name="_Hlk66973412"/>
            <w:r>
              <w:rPr>
                <w:rFonts w:hint="eastAsia" w:ascii="黑体" w:hAnsi="黑体" w:eastAsia="黑体" w:cs="黑体"/>
                <w:color w:val="000000" w:themeColor="text1"/>
                <w14:textFill>
                  <w14:solidFill>
                    <w14:schemeClr w14:val="tx1"/>
                  </w14:solidFill>
                </w14:textFill>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EB676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CD4F6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59A0A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E8D49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0A9E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31F51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D419F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w:t>
            </w:r>
          </w:p>
        </w:tc>
      </w:tr>
      <w:tr w14:paraId="29F97E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93D9C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D6A45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6075C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D28F4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ADDB7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4F337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E5B17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ECB35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r>
      <w:tr w14:paraId="7A7620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86E092">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4DE86C">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3D6B3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06735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3A882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1EE49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FE379B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86629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3ED54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w:t>
            </w:r>
          </w:p>
        </w:tc>
      </w:tr>
      <w:tr w14:paraId="406D5C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B60A93">
            <w:pPr>
              <w:jc w:val="center"/>
              <w:rPr>
                <w:rFonts w:hint="eastAsia" w:ascii="黑体" w:hAnsi="黑体" w:eastAsia="黑体" w:cs="黑体"/>
                <w:color w:val="000000" w:themeColor="text1"/>
                <w14:textFill>
                  <w14:solidFill>
                    <w14:schemeClr w14:val="tx1"/>
                  </w14:solidFill>
                </w14:textFill>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690DA9">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（二）部分公开（</w:t>
            </w:r>
            <w:bookmarkStart w:id="1" w:name="_Hlk66973981"/>
            <w:r>
              <w:rPr>
                <w:rFonts w:hint="eastAsia" w:ascii="黑体" w:hAnsi="黑体" w:eastAsia="黑体" w:cs="黑体"/>
                <w:color w:val="000000" w:themeColor="text1"/>
                <w14:textFill>
                  <w14:solidFill>
                    <w14:schemeClr w14:val="tx1"/>
                  </w14:solidFill>
                </w14:textFill>
              </w:rPr>
              <w:t>区分处理的，只计这一情形，不计其他情形</w:t>
            </w:r>
            <w:bookmarkEnd w:id="1"/>
            <w:r>
              <w:rPr>
                <w:rFonts w:hint="eastAsia" w:ascii="黑体" w:hAnsi="黑体" w:eastAsia="黑体" w:cs="黑体"/>
                <w:color w:val="000000" w:themeColor="text1"/>
                <w14:textFill>
                  <w14:solidFill>
                    <w14:schemeClr w14:val="tx1"/>
                  </w14:solidFill>
                </w14:textFill>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016C0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color w:val="000000" w:themeColor="text1"/>
                <w:lang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E7B13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6F0FB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05893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1D2D0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C70F5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3586B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color w:val="000000" w:themeColor="text1"/>
                <w:lang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1A7960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CBEBD1">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31D36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BB9204">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4D7A4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ED150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787E1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DEC42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9047E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82276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DBB0E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52DC43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E9DF57">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5A8B61">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2E9329">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bookmarkStart w:id="2" w:name="_Hlk66974104"/>
            <w:r>
              <w:rPr>
                <w:rFonts w:hint="eastAsia" w:ascii="仿宋_GB2312" w:hAnsi="仿宋_GB2312" w:eastAsia="仿宋_GB2312" w:cs="仿宋_GB2312"/>
                <w:color w:val="000000" w:themeColor="text1"/>
                <w14:textFill>
                  <w14:solidFill>
                    <w14:schemeClr w14:val="tx1"/>
                  </w14:solidFill>
                </w14:textFill>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C86FF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6CBBC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B5D07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9862B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44622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DB3D4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18EFE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552B0A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8C2028">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EE1EF5">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FA73C8">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F05E7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2E7AD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5B1E0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CBB51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F18FC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371DD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04C7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4648F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3D787A">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A86187">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D111A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bookmarkStart w:id="3" w:name="_Hlk66974290"/>
            <w:r>
              <w:rPr>
                <w:rFonts w:hint="eastAsia" w:ascii="仿宋_GB2312" w:hAnsi="仿宋_GB2312" w:eastAsia="仿宋_GB2312" w:cs="仿宋_GB2312"/>
                <w:color w:val="000000" w:themeColor="text1"/>
                <w14:textFill>
                  <w14:solidFill>
                    <w14:schemeClr w14:val="tx1"/>
                  </w14:solidFill>
                </w14:textFill>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1EA71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72205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2F338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9FE51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C4B2B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1E279B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76F91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393E4D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1A0237">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88ABA8">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98233D">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C6C94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73DEB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A0DD7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1C9B2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11DA1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120CC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3D511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4307C0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C16AC3">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A8AEF8">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7B8BB4">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bookmarkStart w:id="4" w:name="_Hlk66974555"/>
            <w:r>
              <w:rPr>
                <w:rFonts w:hint="eastAsia" w:ascii="仿宋_GB2312" w:hAnsi="仿宋_GB2312" w:eastAsia="仿宋_GB2312" w:cs="仿宋_GB2312"/>
                <w:color w:val="000000" w:themeColor="text1"/>
                <w14:textFill>
                  <w14:solidFill>
                    <w14:schemeClr w14:val="tx1"/>
                  </w14:solidFill>
                </w14:textFill>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7BEF6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2F165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71F13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965EFC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BF614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2E89D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FCEAAD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2EC265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2D3F50">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62368D">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FE3FC4">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F5185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41884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9D52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652485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40217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966E4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3625B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734C40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EBDB9B">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D708E25">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C4F6EE">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w:t>
            </w:r>
            <w:bookmarkStart w:id="5" w:name="_Hlk66975211"/>
            <w:r>
              <w:rPr>
                <w:rFonts w:hint="eastAsia" w:ascii="仿宋_GB2312" w:hAnsi="仿宋_GB2312" w:eastAsia="仿宋_GB2312" w:cs="仿宋_GB2312"/>
                <w:color w:val="000000" w:themeColor="text1"/>
                <w14:textFill>
                  <w14:solidFill>
                    <w14:schemeClr w14:val="tx1"/>
                  </w14:solidFill>
                </w14:textFill>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A5A1F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4C7EF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DC72B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5EEC9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0DFE7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E1142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89995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388FF1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4C5341">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A06C34">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EC68B3">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7AC2C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0BEC3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D2512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3876F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ACED7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D02E1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2EB3C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p>
        </w:tc>
      </w:tr>
      <w:tr w14:paraId="36A485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D5583C">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2AAC9B9">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2921C2">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bookmarkStart w:id="6" w:name="_Hlk66975392"/>
            <w:r>
              <w:rPr>
                <w:rFonts w:hint="eastAsia" w:ascii="仿宋_GB2312" w:hAnsi="仿宋_GB2312" w:eastAsia="仿宋_GB2312" w:cs="仿宋_GB2312"/>
                <w:color w:val="000000" w:themeColor="text1"/>
                <w14:textFill>
                  <w14:solidFill>
                    <w14:schemeClr w14:val="tx1"/>
                  </w14:solidFill>
                </w14:textFill>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1BE47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43AA7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FB287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3F5EC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0A3D5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CF78B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1CFE7A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7702B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B733CF">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C195B2">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E18D5A">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bookmarkStart w:id="7" w:name="_Hlk66975466"/>
            <w:r>
              <w:rPr>
                <w:rFonts w:hint="eastAsia" w:ascii="仿宋_GB2312" w:hAnsi="仿宋_GB2312" w:eastAsia="仿宋_GB2312" w:cs="仿宋_GB2312"/>
                <w:color w:val="000000" w:themeColor="text1"/>
                <w14:textFill>
                  <w14:solidFill>
                    <w14:schemeClr w14:val="tx1"/>
                  </w14:solidFill>
                </w14:textFill>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010DD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E6C35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6F474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36217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DF4AA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94916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8F36E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55011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A2DE07">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F124A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367438">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bookmarkStart w:id="8" w:name="_Hlk66975537"/>
            <w:r>
              <w:rPr>
                <w:rFonts w:hint="eastAsia" w:ascii="仿宋_GB2312" w:hAnsi="仿宋_GB2312" w:eastAsia="仿宋_GB2312" w:cs="仿宋_GB2312"/>
                <w:color w:val="000000" w:themeColor="text1"/>
                <w14:textFill>
                  <w14:solidFill>
                    <w14:schemeClr w14:val="tx1"/>
                  </w14:solidFill>
                </w14:textFill>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617CE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03F443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7AE42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A913D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27CC7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4DB8CC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B4016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10C264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56295B6">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296C23">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022AD9">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5F85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8A5BF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2CB7E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8C986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7534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92B9F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A8065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2F0076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D55C0A">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D94A81">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87252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09FCF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662AA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D6E1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56432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4CCE46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D42B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FC5D9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7EF116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1B657B">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566282">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59E712">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7837A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4BB754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D02C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F2829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95746C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0D178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DD003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54EA23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7F6177">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A83783">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FBE605">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7A6DE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6E627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E5250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1359E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632E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506E3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D835F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501541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FA92BC">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8F308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64B8E44D">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43E6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9AAC2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B52328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086E5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CC883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CE864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6C7E0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61551B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0B2D3EA">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C6772F">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4FD5B7D2">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A428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57E0A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E90F9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6718D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132F8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5FC97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48D6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175194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65C743">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6BA811">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6DF6F5B0">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87B70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53578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1D61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85F62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13836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6ED0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FBAA7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r>
      <w:tr w14:paraId="4DD44B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647B0C">
            <w:pPr>
              <w:jc w:val="center"/>
              <w:rPr>
                <w:rFonts w:hint="eastAsia" w:ascii="黑体" w:hAnsi="黑体" w:eastAsia="黑体" w:cs="黑体"/>
                <w:color w:val="000000" w:themeColor="text1"/>
                <w14:textFill>
                  <w14:solidFill>
                    <w14:schemeClr w14:val="tx1"/>
                  </w14:solidFill>
                </w14:textFill>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6B2DF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6FC1F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069B0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5B82F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F043A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310D9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8ADCC3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75FCF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w:t>
            </w:r>
          </w:p>
        </w:tc>
      </w:tr>
      <w:tr w14:paraId="5EC138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8D7B32">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ACEAB3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C3492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587CC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3D56F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D65A7B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665BA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2D977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w:t>
            </w:r>
          </w:p>
        </w:tc>
      </w:tr>
    </w:tbl>
    <w:p w14:paraId="1B7C4E67">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themeColor="text1"/>
          <w14:textFill>
            <w14:solidFill>
              <w14:schemeClr w14:val="tx1"/>
            </w14:solidFill>
          </w14:textFill>
        </w:rPr>
      </w:pPr>
      <w:r>
        <w:rPr>
          <w:rFonts w:hint="eastAsia" w:ascii="黑体" w:hAnsi="宋体" w:eastAsia="黑体" w:cs="黑体"/>
          <w:color w:val="000000" w:themeColor="text1"/>
          <w:spacing w:val="0"/>
          <w:sz w:val="31"/>
          <w:szCs w:val="31"/>
          <w14:textFill>
            <w14:solidFill>
              <w14:schemeClr w14:val="tx1"/>
            </w14:solidFill>
          </w14:textFill>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14:paraId="46497A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9F5418">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E8577DC">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行政诉讼</w:t>
            </w:r>
          </w:p>
        </w:tc>
      </w:tr>
      <w:tr w14:paraId="54FAF1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07EBC42">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p w14:paraId="7DC41B2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730A79AE">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2231CFA">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51B772D">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w:t>
            </w:r>
          </w:p>
          <w:p w14:paraId="30687C97">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AFED8DF">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w:t>
            </w:r>
          </w:p>
          <w:p w14:paraId="15806B84">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3372ED1">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F3876EA">
            <w:pPr>
              <w:jc w:val="center"/>
              <w:rPr>
                <w:rFonts w:hint="eastAsia" w:ascii="黑体" w:hAnsi="黑体" w:eastAsia="黑体" w:cs="黑体"/>
                <w:color w:val="000000" w:themeColor="text1"/>
                <w:sz w:val="20"/>
                <w:szCs w:val="20"/>
                <w14:textFill>
                  <w14:solidFill>
                    <w14:schemeClr w14:val="tx1"/>
                  </w14:solidFill>
                </w14:textFill>
              </w:rPr>
            </w:pPr>
            <w:bookmarkStart w:id="9" w:name="_Hlk67039688"/>
            <w:r>
              <w:rPr>
                <w:rFonts w:hint="eastAsia" w:ascii="黑体" w:hAnsi="黑体" w:eastAsia="黑体" w:cs="黑体"/>
                <w:color w:val="000000" w:themeColor="text1"/>
                <w:sz w:val="20"/>
                <w:szCs w:val="20"/>
                <w14:textFill>
                  <w14:solidFill>
                    <w14:schemeClr w14:val="tx1"/>
                  </w14:solidFill>
                </w14:textFill>
              </w:rPr>
              <w:t>复议后起诉</w:t>
            </w:r>
            <w:bookmarkEnd w:id="9"/>
          </w:p>
        </w:tc>
      </w:tr>
      <w:tr w14:paraId="2E23DB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3E28914B">
            <w:pPr>
              <w:jc w:val="center"/>
              <w:rPr>
                <w:rFonts w:hint="eastAsia" w:ascii="黑体" w:hAnsi="黑体" w:eastAsia="黑体" w:cs="黑体"/>
                <w:color w:val="000000" w:themeColor="text1"/>
                <w:sz w:val="20"/>
                <w:szCs w:val="20"/>
                <w14:textFill>
                  <w14:solidFill>
                    <w14:schemeClr w14:val="tx1"/>
                  </w14:solidFill>
                </w14:textFill>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2DEDE8E4">
            <w:pPr>
              <w:jc w:val="center"/>
              <w:rPr>
                <w:rFonts w:hint="eastAsia" w:ascii="黑体" w:hAnsi="黑体" w:eastAsia="黑体" w:cs="黑体"/>
                <w:color w:val="000000" w:themeColor="text1"/>
                <w:sz w:val="20"/>
                <w:szCs w:val="20"/>
                <w14:textFill>
                  <w14:solidFill>
                    <w14:schemeClr w14:val="tx1"/>
                  </w14:solidFill>
                </w14:textFill>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40D2F0E">
            <w:pPr>
              <w:jc w:val="center"/>
              <w:rPr>
                <w:rFonts w:hint="eastAsia" w:ascii="黑体" w:hAnsi="黑体" w:eastAsia="黑体" w:cs="黑体"/>
                <w:color w:val="000000" w:themeColor="text1"/>
                <w:sz w:val="20"/>
                <w:szCs w:val="20"/>
                <w14:textFill>
                  <w14:solidFill>
                    <w14:schemeClr w14:val="tx1"/>
                  </w14:solidFill>
                </w14:textFill>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813949C">
            <w:pPr>
              <w:jc w:val="center"/>
              <w:rPr>
                <w:rFonts w:hint="eastAsia" w:ascii="黑体" w:hAnsi="黑体" w:eastAsia="黑体" w:cs="黑体"/>
                <w:color w:val="000000" w:themeColor="text1"/>
                <w:sz w:val="20"/>
                <w:szCs w:val="20"/>
                <w14:textFill>
                  <w14:solidFill>
                    <w14:schemeClr w14:val="tx1"/>
                  </w14:solidFill>
                </w14:textFill>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E3B5F1A">
            <w:pPr>
              <w:jc w:val="center"/>
              <w:rPr>
                <w:rFonts w:hint="eastAsia" w:ascii="黑体" w:hAnsi="黑体" w:eastAsia="黑体" w:cs="黑体"/>
                <w:color w:val="000000" w:themeColor="text1"/>
                <w:sz w:val="20"/>
                <w:szCs w:val="20"/>
                <w14:textFill>
                  <w14:solidFill>
                    <w14:schemeClr w14:val="tx1"/>
                  </w14:solidFill>
                </w14:textFill>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3AC2AEEF">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9A4134D">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945779B">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w:t>
            </w:r>
          </w:p>
          <w:p w14:paraId="7FEFBBD9">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DBEFEC3">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w:t>
            </w:r>
          </w:p>
          <w:p w14:paraId="79D4B7F1">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51BF8BB">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1361093">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5E12B94">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p w14:paraId="0B59DBC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FF0D80C">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w:t>
            </w:r>
          </w:p>
          <w:p w14:paraId="5038522C">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AEE0F23">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BD3BD44">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总计</w:t>
            </w:r>
          </w:p>
        </w:tc>
      </w:tr>
      <w:tr w14:paraId="62F1BC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22B84EDC">
            <w:pPr>
              <w:jc w:val="center"/>
              <w:rPr>
                <w:rFonts w:hint="eastAsia" w:ascii="黑体" w:hAnsi="黑体" w:eastAsia="黑体" w:cs="黑体"/>
                <w:color w:val="000000" w:themeColor="text1"/>
                <w:sz w:val="20"/>
                <w:szCs w:val="20"/>
                <w:lang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2</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1FF8E859">
            <w:pPr>
              <w:jc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0</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14:paraId="21DEE062">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3AA3327D">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14:paraId="7E1ECC35">
            <w:pPr>
              <w:jc w:val="center"/>
              <w:rPr>
                <w:rFonts w:hint="eastAsia" w:ascii="黑体" w:hAnsi="黑体" w:eastAsia="黑体" w:cs="黑体"/>
                <w:color w:val="000000" w:themeColor="text1"/>
                <w:sz w:val="20"/>
                <w:szCs w:val="20"/>
                <w:lang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2</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63299E7D">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37AA0A22">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3F9859B8">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2AEB56F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0802E93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7A0E68F4">
            <w:pPr>
              <w:jc w:val="center"/>
              <w:rPr>
                <w:rFonts w:hint="eastAsia" w:ascii="黑体" w:hAnsi="黑体" w:eastAsia="黑体" w:cs="黑体"/>
                <w:color w:val="000000" w:themeColor="text1"/>
                <w:sz w:val="20"/>
                <w:szCs w:val="20"/>
                <w:lang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2</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B44A9A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0B0F26FA">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589C1771">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6805758F">
            <w:pPr>
              <w:jc w:val="center"/>
              <w:rPr>
                <w:rFonts w:hint="eastAsia" w:ascii="黑体" w:hAnsi="黑体" w:eastAsia="黑体" w:cs="黑体"/>
                <w:color w:val="000000" w:themeColor="text1"/>
                <w:sz w:val="20"/>
                <w:szCs w:val="20"/>
                <w:lang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2</w:t>
            </w:r>
          </w:p>
        </w:tc>
      </w:tr>
    </w:tbl>
    <w:p w14:paraId="1003547C">
      <w:pPr>
        <w:ind w:firstLine="640" w:firstLineChars="200"/>
        <w:rPr>
          <w:rFonts w:hint="eastAsia" w:ascii="黑体" w:hAnsi="黑体" w:eastAsia="黑体" w:cs="黑体"/>
          <w:sz w:val="32"/>
          <w:szCs w:val="32"/>
        </w:rPr>
      </w:pPr>
      <w:r>
        <w:rPr>
          <w:rFonts w:hint="eastAsia" w:ascii="黑体" w:hAnsi="黑体" w:eastAsia="黑体" w:cs="黑体"/>
          <w:sz w:val="32"/>
          <w:szCs w:val="32"/>
        </w:rPr>
        <w:t>五、政府信息公开工作存在的主要问题及改进情况</w:t>
      </w:r>
    </w:p>
    <w:p w14:paraId="2C4BE1AB">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14:paraId="2FFF7DB1">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rPr>
        <w:t>缺少教育、</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卫生、交通等</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可发布、解读的相关惠企政策文件数量较少且政策解读形式不够丰富</w:t>
      </w:r>
      <w:r>
        <w:rPr>
          <w:rFonts w:hint="eastAsia" w:ascii="仿宋_GB2312" w:hAnsi="仿宋_GB2312" w:eastAsia="仿宋_GB2312" w:cs="仿宋_GB2312"/>
          <w:sz w:val="32"/>
          <w:szCs w:val="32"/>
        </w:rPr>
        <w:t>。</w:t>
      </w:r>
    </w:p>
    <w:p w14:paraId="511E4343">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2.改进情况</w:t>
      </w:r>
    </w:p>
    <w:p w14:paraId="416BFD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一是规范提升公开质量，指导各部门按照标准上传信息，严格要求各部门单位发布本部门单位文件时同步发布文件解读。二是深入探索创新举措。政策</w:t>
      </w:r>
      <w:r>
        <w:rPr>
          <w:rFonts w:hint="eastAsia" w:ascii="仿宋_GB2312" w:hAnsi="仿宋_GB2312" w:eastAsia="仿宋_GB2312" w:cs="仿宋_GB2312"/>
          <w:color w:val="000000"/>
          <w:sz w:val="32"/>
          <w:szCs w:val="32"/>
          <w:lang w:val="en-US" w:eastAsia="zh-CN"/>
        </w:rPr>
        <w:t>文件解读要</w:t>
      </w:r>
      <w:r>
        <w:rPr>
          <w:rFonts w:hint="eastAsia" w:ascii="仿宋_GB2312" w:hAnsi="仿宋_GB2312" w:eastAsia="仿宋_GB2312" w:cs="仿宋_GB2312"/>
          <w:color w:val="000000"/>
          <w:sz w:val="32"/>
          <w:szCs w:val="32"/>
          <w:lang w:eastAsia="zh-CN"/>
        </w:rPr>
        <w:t>综合运用客观数据、图文图表、音频动漫等</w:t>
      </w:r>
      <w:r>
        <w:rPr>
          <w:rFonts w:hint="eastAsia" w:ascii="仿宋_GB2312" w:hAnsi="仿宋_GB2312" w:eastAsia="仿宋_GB2312" w:cs="仿宋_GB2312"/>
          <w:color w:val="000000"/>
          <w:sz w:val="32"/>
          <w:szCs w:val="32"/>
          <w:lang w:val="en-US" w:eastAsia="zh-CN"/>
        </w:rPr>
        <w:t>介质</w:t>
      </w:r>
      <w:r>
        <w:rPr>
          <w:rFonts w:hint="eastAsia" w:ascii="仿宋_GB2312" w:hAnsi="仿宋_GB2312" w:eastAsia="仿宋_GB2312" w:cs="仿宋_GB2312"/>
          <w:color w:val="000000"/>
          <w:sz w:val="32"/>
          <w:szCs w:val="32"/>
          <w:lang w:eastAsia="zh-CN"/>
        </w:rPr>
        <w:t>，制作多样化解读材料。</w:t>
      </w:r>
    </w:p>
    <w:p w14:paraId="7AE1D2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0F514C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（一）本年度政府信息公开申请未达到《政府信息公开信息处理费管理办法》（国办函〔2020〕109号）所规定的信息处理费收费标准，故未收取信息处理费。</w:t>
      </w:r>
    </w:p>
    <w:p w14:paraId="47F3A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（二）落实上级政务公开重点工作情况。根据《2024年山东省政务公开效能监测实施方案》要求，将各部门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主动公开、公共企事业单位、依申请公开、解读回应、公众参与、监督保障等</w:t>
      </w:r>
      <w:r>
        <w:rPr>
          <w:rFonts w:hint="eastAsia" w:ascii="仿宋_GB2312" w:hAnsi="仿宋_GB2312" w:eastAsia="仿宋_GB2312" w:cs="仿宋_GB2312"/>
          <w:color w:val="000000" w:themeColor="text1"/>
          <w:sz w:val="32"/>
          <w:szCs w:val="32"/>
          <w14:textFill>
            <w14:solidFill>
              <w14:schemeClr w14:val="tx1"/>
            </w14:solidFill>
          </w14:textFill>
        </w:rPr>
        <w:t>纳入日常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color w:val="000000" w:themeColor="text1"/>
          <w:sz w:val="32"/>
          <w:szCs w:val="32"/>
          <w14:textFill>
            <w14:solidFill>
              <w14:schemeClr w14:val="tx1"/>
            </w14:solidFill>
          </w14:textFill>
        </w:rPr>
        <w:t>范围，推进政务公开工作常态化开展，确保责任公开事项落实到位。</w:t>
      </w:r>
    </w:p>
    <w:p w14:paraId="147E4C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全年接到市人大常委会交办的人大代表建议办理工作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件，收到市政协十一届</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次会议提案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6E8D80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874CB" w:themeColor="accent1"/>
          <w:sz w:val="32"/>
          <w:szCs w:val="32"/>
          <w:lang w:val="en-US" w:eastAsia="zh-CN"/>
          <w14:textFill>
            <w14:solidFill>
              <w14:schemeClr w14:val="accent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本行政机关年度政务公开工作创新情况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u w:val="none"/>
        </w:rPr>
        <w:t>充分利用网络媒体、微信群、公众号等宣传阵地，</w:t>
      </w:r>
      <w:r>
        <w:rPr>
          <w:rFonts w:hint="eastAsia" w:ascii="仿宋_GB2312" w:hAnsi="仿宋_GB2312" w:eastAsia="仿宋_GB2312" w:cs="仿宋_GB2312"/>
          <w:i w:val="0"/>
          <w:iCs w:val="0"/>
          <w:caps w:val="0"/>
          <w:color w:val="auto"/>
          <w:spacing w:val="0"/>
          <w:sz w:val="32"/>
          <w:szCs w:val="32"/>
          <w:u w:val="none"/>
          <w:lang w:val="en-US" w:eastAsia="zh-CN"/>
        </w:rPr>
        <w:t>围绕社会热点、群众关心关注的问题进行公开</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进一步密切政府与企业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群众的沟通联系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46D30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（五）本行政机关政府信息公开工作年度报告数据统计需要说明的事项。本报告中所列数据的统计时限为202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年1月1日至202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年12月31日。</w:t>
      </w:r>
    </w:p>
    <w:p w14:paraId="2F23B2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（六）本行政机关认为需要报告的其他事项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w:t>
      </w:r>
    </w:p>
    <w:p w14:paraId="56862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（七）其他有关文件专门要求通过政府信息公开工作年度报告予以报告的事项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2CA9"/>
    <w:rsid w:val="03D770D3"/>
    <w:rsid w:val="0512093A"/>
    <w:rsid w:val="08500A81"/>
    <w:rsid w:val="0B377064"/>
    <w:rsid w:val="0C090E55"/>
    <w:rsid w:val="0DBB7A24"/>
    <w:rsid w:val="0DE1223E"/>
    <w:rsid w:val="105E4FFE"/>
    <w:rsid w:val="109776BD"/>
    <w:rsid w:val="14BB6070"/>
    <w:rsid w:val="14BE79B9"/>
    <w:rsid w:val="163B0AEA"/>
    <w:rsid w:val="1A644C32"/>
    <w:rsid w:val="1C042D27"/>
    <w:rsid w:val="1D58370D"/>
    <w:rsid w:val="1FE81CE3"/>
    <w:rsid w:val="21307981"/>
    <w:rsid w:val="22BA533A"/>
    <w:rsid w:val="2E3E6332"/>
    <w:rsid w:val="2FE85327"/>
    <w:rsid w:val="31BB2D43"/>
    <w:rsid w:val="34180979"/>
    <w:rsid w:val="38247ED8"/>
    <w:rsid w:val="404C5909"/>
    <w:rsid w:val="436B75AE"/>
    <w:rsid w:val="447204FB"/>
    <w:rsid w:val="45772094"/>
    <w:rsid w:val="470E26B6"/>
    <w:rsid w:val="4F035942"/>
    <w:rsid w:val="4FB216C3"/>
    <w:rsid w:val="51D15020"/>
    <w:rsid w:val="51EB6781"/>
    <w:rsid w:val="525F0847"/>
    <w:rsid w:val="54A83213"/>
    <w:rsid w:val="583E09E4"/>
    <w:rsid w:val="5DB3434D"/>
    <w:rsid w:val="64033FC2"/>
    <w:rsid w:val="66A93DE9"/>
    <w:rsid w:val="6BDB5825"/>
    <w:rsid w:val="724D0AFE"/>
    <w:rsid w:val="72836ABF"/>
    <w:rsid w:val="736F5B76"/>
    <w:rsid w:val="742835D1"/>
    <w:rsid w:val="75636D61"/>
    <w:rsid w:val="77902CDE"/>
    <w:rsid w:val="79AB567A"/>
    <w:rsid w:val="7AAC6929"/>
    <w:rsid w:val="7C611475"/>
    <w:rsid w:val="7E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15" w:lineRule="atLeast"/>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1601</Words>
  <Characters>1702</Characters>
  <Lines>0</Lines>
  <Paragraphs>0</Paragraphs>
  <TotalTime>25</TotalTime>
  <ScaleCrop>false</ScaleCrop>
  <LinksUpToDate>false</LinksUpToDate>
  <CharactersWithSpaces>1702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2025-01-15T07:55:00Z</dcterms:created>
  <dc:creator>Administrator</dc:creator>
  <cp:lastModifiedBy>Administrator</cp:lastModifiedBy>
  <cp:lastPrinted>2025-01-23T07:21:00Z</cp:lastPrinted>
  <dcterms:modified xsi:type="dcterms:W3CDTF">2025-02-05T08:45:36Z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eyJoZGlkIjoiM2U0NDUzNjg0YjI3NGU4ZjBmOWM1ODA0NDFiNjY5MDgifQ==</vt:lpwstr>
  </property>
  <property fmtid="{D5CDD505-2E9C-101B-9397-08002B2CF9AE}" pid="4" name="ICV">
    <vt:lpwstr>F852C83E380541398DA21EF7A8797F61_12</vt:lpwstr>
  </property>
</Properties>
</file>