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25525">
      <w:pPr>
        <w:keepNext w:val="0"/>
        <w:keepLines w:val="0"/>
        <w:pageBreakBefore w:val="0"/>
        <w:kinsoku/>
        <w:overflowPunct/>
        <w:topLinePunct w:val="0"/>
        <w:autoSpaceDE/>
        <w:autoSpaceDN/>
        <w:bidi w:val="0"/>
        <w:adjustRightInd/>
        <w:snapToGrid/>
        <w:spacing w:afterAutospacing="0" w:line="58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枣庄高新区</w:t>
      </w: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张范</w:t>
      </w:r>
      <w:r>
        <w:rPr>
          <w:rFonts w:hint="eastAsia" w:ascii="方正小标宋简体" w:hAnsi="方正小标宋简体" w:eastAsia="方正小标宋简体" w:cs="方正小标宋简体"/>
          <w:i w:val="0"/>
          <w:iCs w:val="0"/>
          <w:caps w:val="0"/>
          <w:color w:val="000000"/>
          <w:spacing w:val="0"/>
          <w:sz w:val="44"/>
          <w:szCs w:val="44"/>
          <w:shd w:val="clear" w:fill="FFFFFF"/>
        </w:rPr>
        <w:t>街道</w:t>
      </w: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办事处</w:t>
      </w:r>
      <w:r>
        <w:rPr>
          <w:rFonts w:hint="eastAsia" w:ascii="方正小标宋简体" w:hAnsi="方正小标宋简体" w:eastAsia="方正小标宋简体" w:cs="方正小标宋简体"/>
          <w:i w:val="0"/>
          <w:iCs w:val="0"/>
          <w:caps w:val="0"/>
          <w:color w:val="000000"/>
          <w:spacing w:val="0"/>
          <w:sz w:val="44"/>
          <w:szCs w:val="44"/>
          <w:shd w:val="clear" w:fill="FFFFFF"/>
        </w:rPr>
        <w:t>202</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4</w:t>
      </w:r>
      <w:r>
        <w:rPr>
          <w:rFonts w:hint="eastAsia" w:ascii="方正小标宋简体" w:hAnsi="方正小标宋简体" w:eastAsia="方正小标宋简体" w:cs="方正小标宋简体"/>
          <w:i w:val="0"/>
          <w:iCs w:val="0"/>
          <w:caps w:val="0"/>
          <w:color w:val="000000"/>
          <w:spacing w:val="0"/>
          <w:sz w:val="44"/>
          <w:szCs w:val="44"/>
          <w:shd w:val="clear" w:fill="FFFFFF"/>
        </w:rPr>
        <w:t>年</w:t>
      </w:r>
    </w:p>
    <w:p w14:paraId="20388BB2">
      <w:pPr>
        <w:keepNext w:val="0"/>
        <w:keepLines w:val="0"/>
        <w:pageBreakBefore w:val="0"/>
        <w:kinsoku/>
        <w:overflowPunct/>
        <w:topLinePunct w:val="0"/>
        <w:autoSpaceDE/>
        <w:autoSpaceDN/>
        <w:bidi w:val="0"/>
        <w:adjustRightInd/>
        <w:snapToGrid/>
        <w:spacing w:afterAutospacing="0" w:line="58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政府信息公开工作年度报告</w:t>
      </w:r>
    </w:p>
    <w:p w14:paraId="4A046E6C">
      <w:pPr>
        <w:keepNext w:val="0"/>
        <w:keepLines w:val="0"/>
        <w:pageBreakBefore w:val="0"/>
        <w:kinsoku/>
        <w:overflowPunct/>
        <w:topLinePunct w:val="0"/>
        <w:autoSpaceDE/>
        <w:autoSpaceDN/>
        <w:bidi w:val="0"/>
        <w:adjustRightInd/>
        <w:snapToGrid/>
        <w:spacing w:afterAutospacing="0" w:line="580" w:lineRule="exact"/>
        <w:ind w:right="0"/>
        <w:textAlignment w:val="auto"/>
        <w:rPr>
          <w:rFonts w:hint="eastAsia" w:ascii="仿宋_GB2312" w:hAnsi="仿宋_GB2312" w:eastAsia="仿宋_GB2312" w:cs="仿宋_GB2312"/>
          <w:i w:val="0"/>
          <w:iCs w:val="0"/>
          <w:caps w:val="0"/>
          <w:color w:val="000000"/>
          <w:spacing w:val="0"/>
          <w:sz w:val="32"/>
          <w:szCs w:val="32"/>
          <w:shd w:val="clear" w:fill="FFFFFF"/>
        </w:rPr>
      </w:pPr>
    </w:p>
    <w:p w14:paraId="1656C4DC">
      <w:pPr>
        <w:keepNext w:val="0"/>
        <w:keepLines w:val="0"/>
        <w:pageBreakBefore w:val="0"/>
        <w:kinsoku/>
        <w:overflowPunct/>
        <w:topLinePunct w:val="0"/>
        <w:autoSpaceDE/>
        <w:autoSpaceDN/>
        <w:bidi w:val="0"/>
        <w:adjustRightInd/>
        <w:snapToGrid/>
        <w:spacing w:afterAutospacing="0" w:line="58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年以来，</w:t>
      </w:r>
      <w:r>
        <w:rPr>
          <w:rFonts w:hint="eastAsia" w:ascii="仿宋_GB2312" w:hAnsi="仿宋_GB2312" w:eastAsia="仿宋_GB2312" w:cs="仿宋_GB2312"/>
          <w:i w:val="0"/>
          <w:iCs w:val="0"/>
          <w:caps w:val="0"/>
          <w:color w:val="000000"/>
          <w:spacing w:val="0"/>
          <w:sz w:val="32"/>
          <w:szCs w:val="32"/>
          <w:shd w:val="clear" w:fill="FFFFFF"/>
          <w:lang w:eastAsia="zh-CN"/>
        </w:rPr>
        <w:t>张范</w:t>
      </w:r>
      <w:r>
        <w:rPr>
          <w:rFonts w:hint="eastAsia" w:ascii="仿宋_GB2312" w:hAnsi="仿宋_GB2312" w:eastAsia="仿宋_GB2312" w:cs="仿宋_GB2312"/>
          <w:i w:val="0"/>
          <w:iCs w:val="0"/>
          <w:caps w:val="0"/>
          <w:color w:val="000000"/>
          <w:spacing w:val="0"/>
          <w:sz w:val="32"/>
          <w:szCs w:val="32"/>
          <w:shd w:val="clear" w:fill="FFFFFF"/>
          <w:lang w:val="en-US" w:eastAsia="zh-CN"/>
        </w:rPr>
        <w:t>街道</w:t>
      </w:r>
      <w:r>
        <w:rPr>
          <w:rFonts w:hint="eastAsia" w:ascii="仿宋_GB2312" w:hAnsi="仿宋_GB2312" w:eastAsia="仿宋_GB2312" w:cs="仿宋_GB2312"/>
          <w:i w:val="0"/>
          <w:iCs w:val="0"/>
          <w:caps w:val="0"/>
          <w:color w:val="000000"/>
          <w:spacing w:val="0"/>
          <w:sz w:val="32"/>
          <w:szCs w:val="32"/>
          <w:shd w:val="clear" w:fill="FFFFFF"/>
        </w:rPr>
        <w:t>认真贯彻落实《中华人民共和国政府信息公开条例》（国务院令第711号，以下简称《条例》）精神，现依据《</w:t>
      </w:r>
      <w:r>
        <w:rPr>
          <w:rFonts w:hint="eastAsia" w:ascii="仿宋_GB2312" w:hAnsi="仿宋_GB2312" w:eastAsia="仿宋_GB2312" w:cs="仿宋_GB2312"/>
          <w:i w:val="0"/>
          <w:iCs w:val="0"/>
          <w:caps w:val="0"/>
          <w:color w:val="000000"/>
          <w:spacing w:val="0"/>
          <w:sz w:val="32"/>
          <w:szCs w:val="32"/>
          <w:shd w:val="clear" w:fill="FFFFFF"/>
          <w:lang w:val="en-US" w:eastAsia="zh-CN"/>
        </w:rPr>
        <w:t>条例</w:t>
      </w:r>
      <w:r>
        <w:rPr>
          <w:rFonts w:hint="eastAsia" w:ascii="仿宋_GB2312" w:hAnsi="仿宋_GB2312" w:eastAsia="仿宋_GB2312" w:cs="仿宋_GB2312"/>
          <w:i w:val="0"/>
          <w:iCs w:val="0"/>
          <w:caps w:val="0"/>
          <w:color w:val="000000"/>
          <w:spacing w:val="0"/>
          <w:sz w:val="32"/>
          <w:szCs w:val="32"/>
          <w:shd w:val="clear" w:fill="FFFFFF"/>
        </w:rPr>
        <w:t>》和《枣庄市人民政府办公室关于做好202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年政府信息公开工作年度报告编制和发布工作的通知》要求，编制本报告，本年度报告中所列数据的统计期限自202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年1月1日起至202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年12月31日止。</w:t>
      </w:r>
      <w:r>
        <w:rPr>
          <w:rFonts w:hint="eastAsia" w:ascii="仿宋_GB2312" w:hAnsi="仿宋_GB2312" w:eastAsia="仿宋_GB2312" w:cs="仿宋_GB2312"/>
          <w:sz w:val="32"/>
          <w:szCs w:val="32"/>
        </w:rPr>
        <w:t>本报告全文将在枣庄高新区官网（http://www.zzctp.gov.cn/）“政府信息公开年度报告”专栏公布。</w:t>
      </w:r>
      <w:r>
        <w:rPr>
          <w:rFonts w:hint="eastAsia" w:ascii="仿宋_GB2312" w:hAnsi="仿宋_GB2312" w:eastAsia="仿宋_GB2312" w:cs="仿宋_GB2312"/>
          <w:i w:val="0"/>
          <w:iCs w:val="0"/>
          <w:caps w:val="0"/>
          <w:color w:val="000000"/>
          <w:spacing w:val="0"/>
          <w:sz w:val="32"/>
          <w:szCs w:val="32"/>
          <w:shd w:val="clear" w:fill="FFFFFF"/>
        </w:rPr>
        <w:t>如对本报告有疑问，可与枣庄市高新区</w:t>
      </w:r>
      <w:r>
        <w:rPr>
          <w:rFonts w:hint="eastAsia" w:ascii="仿宋_GB2312" w:hAnsi="仿宋_GB2312" w:eastAsia="仿宋_GB2312" w:cs="仿宋_GB2312"/>
          <w:i w:val="0"/>
          <w:iCs w:val="0"/>
          <w:caps w:val="0"/>
          <w:color w:val="000000"/>
          <w:spacing w:val="0"/>
          <w:sz w:val="32"/>
          <w:szCs w:val="32"/>
          <w:shd w:val="clear" w:fill="FFFFFF"/>
          <w:lang w:eastAsia="zh-CN"/>
        </w:rPr>
        <w:t>张范</w:t>
      </w:r>
      <w:r>
        <w:rPr>
          <w:rFonts w:hint="eastAsia" w:ascii="仿宋_GB2312" w:hAnsi="仿宋_GB2312" w:eastAsia="仿宋_GB2312" w:cs="仿宋_GB2312"/>
          <w:i w:val="0"/>
          <w:iCs w:val="0"/>
          <w:caps w:val="0"/>
          <w:color w:val="000000"/>
          <w:spacing w:val="0"/>
          <w:sz w:val="32"/>
          <w:szCs w:val="32"/>
          <w:shd w:val="clear" w:fill="FFFFFF"/>
        </w:rPr>
        <w:t>街道办事处联系（联系电话:</w:t>
      </w:r>
      <w:r>
        <w:rPr>
          <w:rFonts w:hint="eastAsia" w:ascii="仿宋_GB2312" w:hAnsi="仿宋_GB2312" w:eastAsia="仿宋_GB2312" w:cs="仿宋_GB2312"/>
          <w:i w:val="0"/>
          <w:iCs w:val="0"/>
          <w:caps w:val="0"/>
          <w:spacing w:val="0"/>
          <w:sz w:val="32"/>
          <w:szCs w:val="32"/>
          <w:shd w:val="clear" w:fill="FFFFFF"/>
        </w:rPr>
        <w:t>0632-4612669</w:t>
      </w:r>
      <w:r>
        <w:rPr>
          <w:rFonts w:hint="eastAsia" w:ascii="仿宋_GB2312" w:hAnsi="仿宋_GB2312" w:eastAsia="仿宋_GB2312" w:cs="仿宋_GB2312"/>
          <w:i w:val="0"/>
          <w:iCs w:val="0"/>
          <w:caps w:val="0"/>
          <w:color w:val="000000"/>
          <w:spacing w:val="0"/>
          <w:sz w:val="32"/>
          <w:szCs w:val="32"/>
          <w:shd w:val="clear" w:fill="FFFFFF"/>
        </w:rPr>
        <w:t>，电子邮箱:</w:t>
      </w:r>
      <w:r>
        <w:rPr>
          <w:rFonts w:hint="eastAsia" w:ascii="仿宋_GB2312" w:hAnsi="仿宋_GB2312" w:eastAsia="仿宋_GB2312" w:cs="仿宋_GB2312"/>
          <w:i w:val="0"/>
          <w:iCs w:val="0"/>
          <w:caps w:val="0"/>
          <w:spacing w:val="0"/>
          <w:sz w:val="32"/>
          <w:szCs w:val="32"/>
          <w:shd w:val="clear" w:fill="FFFFFF"/>
        </w:rPr>
        <w:t>zfjddzb@163.com</w:t>
      </w:r>
      <w:r>
        <w:rPr>
          <w:rFonts w:hint="eastAsia" w:ascii="仿宋_GB2312" w:hAnsi="仿宋_GB2312" w:eastAsia="仿宋_GB2312" w:cs="仿宋_GB2312"/>
          <w:i w:val="0"/>
          <w:iCs w:val="0"/>
          <w:caps w:val="0"/>
          <w:color w:val="000000"/>
          <w:spacing w:val="0"/>
          <w:sz w:val="32"/>
          <w:szCs w:val="32"/>
          <w:shd w:val="clear" w:fill="FFFFFF"/>
        </w:rPr>
        <w:t xml:space="preserve"> ）具体包括以下事项：</w:t>
      </w:r>
    </w:p>
    <w:p w14:paraId="51F2552D">
      <w:pPr>
        <w:keepNext w:val="0"/>
        <w:keepLines w:val="0"/>
        <w:pageBreakBefore w:val="0"/>
        <w:kinsoku/>
        <w:overflowPunct/>
        <w:topLinePunct w:val="0"/>
        <w:autoSpaceDE/>
        <w:autoSpaceDN/>
        <w:bidi w:val="0"/>
        <w:adjustRightInd/>
        <w:snapToGrid/>
        <w:spacing w:afterAutospacing="0" w:line="58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—、总体情况</w:t>
      </w:r>
    </w:p>
    <w:p w14:paraId="0D5FEAB8">
      <w:pPr>
        <w:keepNext w:val="0"/>
        <w:keepLines w:val="0"/>
        <w:pageBreakBefore w:val="0"/>
        <w:kinsoku/>
        <w:overflowPunct/>
        <w:topLinePunct w:val="0"/>
        <w:autoSpaceDE/>
        <w:autoSpaceDN/>
        <w:bidi w:val="0"/>
        <w:adjustRightInd/>
        <w:snapToGrid/>
        <w:spacing w:afterAutospacing="0"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年以来，</w:t>
      </w:r>
      <w:r>
        <w:rPr>
          <w:rFonts w:hint="eastAsia" w:ascii="仿宋_GB2312" w:hAnsi="仿宋_GB2312" w:eastAsia="仿宋_GB2312" w:cs="仿宋_GB2312"/>
          <w:i w:val="0"/>
          <w:iCs w:val="0"/>
          <w:caps w:val="0"/>
          <w:color w:val="000000"/>
          <w:spacing w:val="0"/>
          <w:sz w:val="32"/>
          <w:szCs w:val="32"/>
          <w:shd w:val="clear" w:fill="FFFFFF"/>
          <w:lang w:val="en-US" w:eastAsia="zh-CN"/>
        </w:rPr>
        <w:t>高新区张范街道</w:t>
      </w:r>
      <w:r>
        <w:rPr>
          <w:rFonts w:hint="eastAsia" w:ascii="仿宋_GB2312" w:hAnsi="仿宋_GB2312" w:eastAsia="仿宋_GB2312" w:cs="仿宋_GB2312"/>
          <w:i w:val="0"/>
          <w:iCs w:val="0"/>
          <w:caps w:val="0"/>
          <w:color w:val="000000"/>
          <w:spacing w:val="0"/>
          <w:sz w:val="32"/>
          <w:szCs w:val="32"/>
          <w:shd w:val="clear" w:fill="FFFFFF"/>
        </w:rPr>
        <w:t>深入贯彻落实国家、</w:t>
      </w:r>
      <w:r>
        <w:rPr>
          <w:rFonts w:hint="eastAsia" w:ascii="仿宋_GB2312" w:hAnsi="仿宋_GB2312" w:eastAsia="仿宋_GB2312" w:cs="仿宋_GB2312"/>
          <w:i w:val="0"/>
          <w:iCs w:val="0"/>
          <w:caps w:val="0"/>
          <w:color w:val="000000"/>
          <w:spacing w:val="0"/>
          <w:sz w:val="32"/>
          <w:szCs w:val="32"/>
          <w:shd w:val="clear" w:fill="FFFFFF"/>
          <w:lang w:val="en-US" w:eastAsia="zh-CN"/>
        </w:rPr>
        <w:t>枣庄市</w:t>
      </w:r>
      <w:r>
        <w:rPr>
          <w:rFonts w:hint="eastAsia" w:ascii="仿宋_GB2312" w:hAnsi="仿宋_GB2312" w:eastAsia="仿宋_GB2312" w:cs="仿宋_GB2312"/>
          <w:i w:val="0"/>
          <w:iCs w:val="0"/>
          <w:caps w:val="0"/>
          <w:color w:val="000000"/>
          <w:spacing w:val="0"/>
          <w:sz w:val="32"/>
          <w:szCs w:val="32"/>
          <w:shd w:val="clear" w:fill="FFFFFF"/>
        </w:rPr>
        <w:t>和</w:t>
      </w:r>
      <w:r>
        <w:rPr>
          <w:rFonts w:hint="eastAsia" w:ascii="仿宋_GB2312" w:hAnsi="仿宋_GB2312" w:eastAsia="仿宋_GB2312" w:cs="仿宋_GB2312"/>
          <w:i w:val="0"/>
          <w:iCs w:val="0"/>
          <w:caps w:val="0"/>
          <w:color w:val="000000"/>
          <w:spacing w:val="0"/>
          <w:sz w:val="32"/>
          <w:szCs w:val="32"/>
          <w:shd w:val="clear" w:fill="FFFFFF"/>
          <w:lang w:val="en-US" w:eastAsia="zh-CN"/>
        </w:rPr>
        <w:t>高新区</w:t>
      </w:r>
      <w:r>
        <w:rPr>
          <w:rFonts w:hint="eastAsia" w:ascii="仿宋_GB2312" w:hAnsi="仿宋_GB2312" w:eastAsia="仿宋_GB2312" w:cs="仿宋_GB2312"/>
          <w:i w:val="0"/>
          <w:iCs w:val="0"/>
          <w:caps w:val="0"/>
          <w:color w:val="000000"/>
          <w:spacing w:val="0"/>
          <w:sz w:val="32"/>
          <w:szCs w:val="32"/>
          <w:shd w:val="clear" w:fill="FFFFFF"/>
        </w:rPr>
        <w:t>政务公开工作有关决策部署和要求，坚持以公开为常态、不公开为例外，大力推进生态环境领域政府信息公开工作，切实保障人民群众的环境知情权、参与权、监督权和表达权。</w:t>
      </w:r>
    </w:p>
    <w:p w14:paraId="4B9AB562">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（一）主动公开工作情况</w:t>
      </w:r>
    </w:p>
    <w:p w14:paraId="2E71EC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张范</w:t>
      </w:r>
      <w:r>
        <w:rPr>
          <w:rFonts w:hint="eastAsia" w:ascii="仿宋_GB2312" w:hAnsi="仿宋_GB2312" w:eastAsia="仿宋_GB2312" w:cs="仿宋_GB2312"/>
          <w:sz w:val="32"/>
          <w:szCs w:val="32"/>
        </w:rPr>
        <w:t>街道主</w:t>
      </w:r>
      <w:r>
        <w:rPr>
          <w:rFonts w:hint="default" w:ascii="仿宋_GB2312" w:hAnsi="仿宋_GB2312" w:eastAsia="仿宋_GB2312" w:cs="仿宋_GB2312"/>
          <w:sz w:val="32"/>
          <w:szCs w:val="32"/>
        </w:rPr>
        <w:t>动公开政府信息</w:t>
      </w:r>
      <w:r>
        <w:rPr>
          <w:rFonts w:hint="eastAsia" w:ascii="仿宋_GB2312" w:hAnsi="仿宋_GB2312" w:eastAsia="仿宋_GB2312" w:cs="仿宋_GB2312"/>
          <w:sz w:val="32"/>
          <w:szCs w:val="32"/>
          <w:lang w:val="en-US" w:eastAsia="zh-CN"/>
        </w:rPr>
        <w:t>372</w:t>
      </w:r>
      <w:r>
        <w:rPr>
          <w:rFonts w:hint="default"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通过政府门户网站公开政府信息</w:t>
      </w:r>
      <w:r>
        <w:rPr>
          <w:rFonts w:hint="eastAsia" w:ascii="仿宋_GB2312" w:hAnsi="仿宋_GB2312" w:eastAsia="仿宋_GB2312" w:cs="仿宋_GB2312"/>
          <w:sz w:val="32"/>
          <w:szCs w:val="32"/>
          <w:lang w:val="en-US" w:eastAsia="zh-CN"/>
        </w:rPr>
        <w:t>231</w:t>
      </w:r>
      <w:r>
        <w:rPr>
          <w:rFonts w:hint="eastAsia" w:ascii="仿宋_GB2312" w:hAnsi="仿宋_GB2312" w:eastAsia="仿宋_GB2312" w:cs="仿宋_GB2312"/>
          <w:sz w:val="32"/>
          <w:szCs w:val="32"/>
        </w:rPr>
        <w:t>条，通过</w:t>
      </w:r>
      <w:r>
        <w:rPr>
          <w:rFonts w:hint="eastAsia" w:ascii="仿宋_GB2312" w:hAnsi="仿宋_GB2312" w:eastAsia="仿宋_GB2312" w:cs="仿宋_GB2312"/>
          <w:sz w:val="32"/>
          <w:szCs w:val="32"/>
          <w:lang w:eastAsia="zh-CN"/>
        </w:rPr>
        <w:t>张范</w:t>
      </w:r>
      <w:r>
        <w:rPr>
          <w:rFonts w:hint="eastAsia" w:ascii="仿宋_GB2312" w:hAnsi="仿宋_GB2312" w:eastAsia="仿宋_GB2312" w:cs="仿宋_GB2312"/>
          <w:sz w:val="32"/>
          <w:szCs w:val="32"/>
        </w:rPr>
        <w:t>街道微信公众号发布信息</w:t>
      </w:r>
      <w:r>
        <w:rPr>
          <w:rFonts w:hint="eastAsia" w:ascii="仿宋_GB2312" w:hAnsi="仿宋_GB2312" w:eastAsia="仿宋_GB2312" w:cs="仿宋_GB2312"/>
          <w:sz w:val="32"/>
          <w:szCs w:val="32"/>
          <w:lang w:val="en-US" w:eastAsia="zh-CN"/>
        </w:rPr>
        <w:t>141条</w:t>
      </w:r>
      <w:r>
        <w:rPr>
          <w:rFonts w:hint="eastAsia" w:ascii="仿宋_GB2312" w:hAnsi="仿宋_GB2312" w:eastAsia="仿宋_GB2312" w:cs="仿宋_GB2312"/>
          <w:sz w:val="32"/>
          <w:szCs w:val="32"/>
        </w:rPr>
        <w:t>。</w:t>
      </w:r>
    </w:p>
    <w:p w14:paraId="168D1C2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7960" cy="2158365"/>
            <wp:effectExtent l="0" t="0" r="8890" b="13335"/>
            <wp:docPr id="1" name="图片 1" descr="2b951ac3100fe7d48e3938f6ed853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951ac3100fe7d48e3938f6ed8538c"/>
                    <pic:cNvPicPr>
                      <a:picLocks noChangeAspect="1"/>
                    </pic:cNvPicPr>
                  </pic:nvPicPr>
                  <pic:blipFill>
                    <a:blip r:embed="rId4"/>
                    <a:stretch>
                      <a:fillRect/>
                    </a:stretch>
                  </pic:blipFill>
                  <pic:spPr>
                    <a:xfrm>
                      <a:off x="0" y="0"/>
                      <a:ext cx="5267960" cy="2158365"/>
                    </a:xfrm>
                    <a:prstGeom prst="rect">
                      <a:avLst/>
                    </a:prstGeom>
                  </pic:spPr>
                </pic:pic>
              </a:graphicData>
            </a:graphic>
          </wp:inline>
        </w:drawing>
      </w:r>
    </w:p>
    <w:p w14:paraId="57029AF5">
      <w:pPr>
        <w:ind w:firstLine="640" w:firstLineChars="200"/>
        <w:rPr>
          <w:rFonts w:hint="eastAsia" w:ascii="楷体_GB2312" w:hAnsi="楷体_GB2312" w:eastAsia="楷体_GB2312" w:cs="楷体_GB2312"/>
          <w:sz w:val="32"/>
          <w:szCs w:val="32"/>
          <w:lang w:eastAsia="zh-CN"/>
        </w:rPr>
      </w:pPr>
      <w:bookmarkStart w:id="10" w:name="_GoBack"/>
      <w:r>
        <w:rPr>
          <w:rFonts w:hint="eastAsia" w:ascii="楷体_GB2312" w:hAnsi="楷体_GB2312" w:eastAsia="楷体_GB2312" w:cs="楷体_GB2312"/>
          <w:sz w:val="32"/>
          <w:szCs w:val="32"/>
          <w:lang w:eastAsia="zh-CN"/>
        </w:rPr>
        <w:drawing>
          <wp:inline distT="0" distB="0" distL="114300" distR="114300">
            <wp:extent cx="5267325" cy="2271395"/>
            <wp:effectExtent l="0" t="0" r="9525" b="14605"/>
            <wp:docPr id="3" name="图片 3" descr="5788e035bd84a6564322c918260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788e035bd84a6564322c9182601536"/>
                    <pic:cNvPicPr>
                      <a:picLocks noChangeAspect="1"/>
                    </pic:cNvPicPr>
                  </pic:nvPicPr>
                  <pic:blipFill>
                    <a:blip r:embed="rId5"/>
                    <a:stretch>
                      <a:fillRect/>
                    </a:stretch>
                  </pic:blipFill>
                  <pic:spPr>
                    <a:xfrm>
                      <a:off x="0" y="0"/>
                      <a:ext cx="5267325" cy="2271395"/>
                    </a:xfrm>
                    <a:prstGeom prst="rect">
                      <a:avLst/>
                    </a:prstGeom>
                  </pic:spPr>
                </pic:pic>
              </a:graphicData>
            </a:graphic>
          </wp:inline>
        </w:drawing>
      </w:r>
      <w:bookmarkEnd w:id="10"/>
    </w:p>
    <w:p w14:paraId="10DBAF53">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（二）依申请公开</w:t>
      </w:r>
    </w:p>
    <w:p w14:paraId="7B0576D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街道严格按照</w:t>
      </w:r>
      <w:r>
        <w:rPr>
          <w:rFonts w:hint="eastAsia" w:ascii="仿宋_GB2312" w:hAnsi="仿宋_GB2312" w:eastAsia="仿宋_GB2312" w:cs="仿宋_GB2312"/>
          <w:sz w:val="32"/>
          <w:szCs w:val="32"/>
          <w:lang w:eastAsia="zh-CN"/>
        </w:rPr>
        <w:t>《中华人民共和国政府信息公开条例》</w:t>
      </w:r>
      <w:r>
        <w:rPr>
          <w:rFonts w:hint="eastAsia" w:ascii="仿宋_GB2312" w:hAnsi="仿宋_GB2312" w:eastAsia="仿宋_GB2312" w:cs="仿宋_GB2312"/>
          <w:sz w:val="32"/>
          <w:szCs w:val="32"/>
        </w:rPr>
        <w:t>要求，依法妥善做好依申请公开工作，确保政府信息公开申请渠道畅通。</w:t>
      </w:r>
      <w:r>
        <w:rPr>
          <w:rFonts w:hint="eastAsia" w:ascii="仿宋_GB2312" w:hAnsi="仿宋_GB2312" w:eastAsia="仿宋_GB2312" w:cs="仿宋_GB2312"/>
          <w:sz w:val="32"/>
          <w:szCs w:val="32"/>
          <w:lang w:eastAsia="zh-CN"/>
        </w:rPr>
        <w:t>张范</w:t>
      </w:r>
      <w:r>
        <w:rPr>
          <w:rFonts w:hint="eastAsia" w:ascii="仿宋_GB2312" w:hAnsi="仿宋_GB2312" w:eastAsia="仿宋_GB2312" w:cs="仿宋_GB2312"/>
          <w:sz w:val="32"/>
          <w:szCs w:val="32"/>
        </w:rPr>
        <w:t>街道共收到依申请公开件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件（其中官网收到0件，信件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件），按时回复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，接收申请数量较</w:t>
      </w:r>
      <w:r>
        <w:rPr>
          <w:rFonts w:hint="eastAsia" w:ascii="仿宋_GB2312" w:hAnsi="仿宋_GB2312" w:eastAsia="仿宋_GB2312" w:cs="仿宋_GB2312"/>
          <w:sz w:val="32"/>
          <w:szCs w:val="32"/>
          <w:lang w:val="en-US" w:eastAsia="zh-CN"/>
        </w:rPr>
        <w:t>2023年降低3件</w:t>
      </w:r>
      <w:r>
        <w:rPr>
          <w:rFonts w:hint="eastAsia" w:ascii="仿宋_GB2312" w:hAnsi="仿宋_GB2312" w:eastAsia="仿宋_GB2312" w:cs="仿宋_GB2312"/>
          <w:sz w:val="32"/>
          <w:szCs w:val="32"/>
        </w:rPr>
        <w:t>。公开行政复议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件，政府信息公开行政诉讼总数0件。</w:t>
      </w:r>
    </w:p>
    <w:p w14:paraId="2EBE662F">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收费和减免情况</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根据财政部、国家发展改革委联合印发 </w:t>
      </w:r>
    </w:p>
    <w:p w14:paraId="5E85ABFC">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的《关于清理规范一批行政事业性收费有关政策的通知》规 </w:t>
      </w:r>
    </w:p>
    <w:p w14:paraId="4E84E2E0">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定，本年度依申请公开政府信息未收取任何费用，包括</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检索 </w:t>
      </w:r>
    </w:p>
    <w:p w14:paraId="407ADC7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1"/>
          <w:szCs w:val="31"/>
          <w:lang w:val="en-US" w:eastAsia="zh-CN" w:bidi="ar"/>
        </w:rPr>
        <w:t>费、复制费</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含案卷材料复制费</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、邮寄费。</w:t>
      </w:r>
    </w:p>
    <w:p w14:paraId="1D23D40F">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（三）政府信息管理</w:t>
      </w:r>
    </w:p>
    <w:p w14:paraId="66C8F2AC">
      <w:pPr>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严格按照法定时限发布并实时更新法定主动公开内容。明确责任，街道党政办为信息公开工作主管部门，并配备专职工作人员</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名，负责推进、协调街道办事处政府信息公开工作，不断增强工作透明度，切实保障群众的知情权、参与权和监督权。</w:t>
      </w:r>
    </w:p>
    <w:p w14:paraId="693483DE">
      <w:pPr>
        <w:ind w:firstLine="640" w:firstLineChars="200"/>
        <w:rPr>
          <w:rFonts w:hint="default" w:ascii="仿宋_GB2312" w:hAnsi="仿宋_GB2312" w:eastAsia="仿宋_GB2312" w:cs="仿宋_GB2312"/>
          <w:sz w:val="32"/>
          <w:szCs w:val="32"/>
        </w:rPr>
      </w:pPr>
      <w:r>
        <w:rPr>
          <w:rFonts w:hint="default" w:ascii="楷体_GB2312" w:hAnsi="楷体_GB2312" w:eastAsia="楷体_GB2312" w:cs="楷体_GB2312"/>
          <w:sz w:val="32"/>
          <w:szCs w:val="32"/>
        </w:rPr>
        <w:t>（四）政府信息公开平台建设</w:t>
      </w:r>
    </w:p>
    <w:p w14:paraId="43A3FE5F">
      <w:pPr>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default" w:ascii="仿宋_GB2312" w:hAnsi="仿宋_GB2312" w:eastAsia="仿宋_GB2312" w:cs="仿宋_GB2312"/>
          <w:sz w:val="32"/>
          <w:szCs w:val="32"/>
        </w:rPr>
        <w:t>利用政务新媒体“</w:t>
      </w:r>
      <w:r>
        <w:rPr>
          <w:rFonts w:hint="eastAsia" w:ascii="仿宋_GB2312" w:hAnsi="仿宋_GB2312" w:eastAsia="仿宋_GB2312" w:cs="仿宋_GB2312"/>
          <w:sz w:val="32"/>
          <w:szCs w:val="32"/>
          <w:lang w:val="en-US" w:eastAsia="zh-CN"/>
        </w:rPr>
        <w:t>枣庄高新区张范街道</w:t>
      </w:r>
      <w:r>
        <w:rPr>
          <w:rFonts w:hint="default" w:ascii="仿宋_GB2312" w:hAnsi="仿宋_GB2312" w:eastAsia="仿宋_GB2312" w:cs="仿宋_GB2312"/>
          <w:sz w:val="32"/>
          <w:szCs w:val="32"/>
        </w:rPr>
        <w:t>”公众号及时、准确地发布街道的工作动态；</w:t>
      </w:r>
      <w:r>
        <w:rPr>
          <w:rFonts w:hint="eastAsia" w:ascii="仿宋_GB2312" w:hAnsi="仿宋_GB2312" w:eastAsia="仿宋_GB2312" w:cs="仿宋_GB2312"/>
          <w:sz w:val="32"/>
          <w:szCs w:val="32"/>
          <w:lang w:eastAsia="zh-CN"/>
        </w:rPr>
        <w:t>二是建设标准化规范化区街道级专区1处；因地制宜、先行先试规划建设村居专区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处。三</w:t>
      </w:r>
      <w:r>
        <w:rPr>
          <w:rFonts w:hint="default" w:ascii="仿宋_GB2312" w:hAnsi="仿宋_GB2312" w:eastAsia="仿宋_GB2312" w:cs="仿宋_GB2312"/>
          <w:sz w:val="32"/>
          <w:szCs w:val="32"/>
        </w:rPr>
        <w:t>是依托高新区政府门户网站，把涉及群众切身利益的信息在网站公开，方便群众浏览、知晓，确保政府信息公开工作有效开展。</w:t>
      </w:r>
    </w:p>
    <w:p w14:paraId="15FFE13F">
      <w:pPr>
        <w:ind w:firstLine="640" w:firstLineChars="200"/>
        <w:rPr>
          <w:rFonts w:hint="default" w:ascii="仿宋_GB2312" w:hAnsi="仿宋_GB2312" w:eastAsia="仿宋_GB2312" w:cs="仿宋_GB2312"/>
          <w:sz w:val="32"/>
          <w:szCs w:val="32"/>
        </w:rPr>
      </w:pPr>
      <w:r>
        <w:rPr>
          <w:rFonts w:hint="eastAsia" w:ascii="楷体_GB2312" w:hAnsi="楷体_GB2312" w:eastAsia="楷体_GB2312" w:cs="楷体_GB2312"/>
          <w:sz w:val="32"/>
          <w:szCs w:val="32"/>
        </w:rPr>
        <w:t>（五）监督保障</w:t>
      </w:r>
    </w:p>
    <w:p w14:paraId="5A16F2C8">
      <w:pPr>
        <w:keepNext w:val="0"/>
        <w:keepLines w:val="0"/>
        <w:widowControl/>
        <w:suppressLineNumbers w:val="0"/>
        <w:ind w:firstLine="622" w:firstLineChars="200"/>
        <w:jc w:val="left"/>
      </w:pPr>
      <w:r>
        <w:rPr>
          <w:rFonts w:ascii="仿宋_GB2312" w:hAnsi="宋体" w:eastAsia="仿宋_GB2312" w:cs="仿宋_GB2312"/>
          <w:b/>
          <w:bCs/>
          <w:color w:val="000000"/>
          <w:kern w:val="0"/>
          <w:sz w:val="31"/>
          <w:szCs w:val="31"/>
          <w:lang w:val="en-US" w:eastAsia="zh-CN" w:bidi="ar"/>
        </w:rPr>
        <w:t>一是</w:t>
      </w:r>
      <w:r>
        <w:rPr>
          <w:rFonts w:hint="eastAsia" w:ascii="仿宋_GB2312" w:hAnsi="宋体" w:eastAsia="仿宋_GB2312" w:cs="仿宋_GB2312"/>
          <w:color w:val="000000"/>
          <w:kern w:val="0"/>
          <w:sz w:val="31"/>
          <w:szCs w:val="31"/>
          <w:lang w:val="en-US" w:eastAsia="zh-CN" w:bidi="ar"/>
        </w:rPr>
        <w:t xml:space="preserve">定期组织政务公开负责人员进行培训学习，提 </w:t>
      </w:r>
    </w:p>
    <w:p w14:paraId="28F53B61">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高工作人员业务能力和工作素养，进一步提升街道政务公开 </w:t>
      </w:r>
    </w:p>
    <w:p w14:paraId="0B930BD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1"/>
          <w:szCs w:val="31"/>
          <w:lang w:val="en-US" w:eastAsia="zh-CN" w:bidi="ar"/>
        </w:rPr>
        <w:t>工作的标准化与规范化程度。</w:t>
      </w:r>
      <w:r>
        <w:rPr>
          <w:rFonts w:hint="eastAsia" w:ascii="仿宋_GB2312" w:hAnsi="宋体" w:eastAsia="仿宋_GB2312" w:cs="仿宋_GB2312"/>
          <w:b/>
          <w:bCs/>
          <w:color w:val="000000"/>
          <w:kern w:val="0"/>
          <w:sz w:val="31"/>
          <w:szCs w:val="31"/>
          <w:lang w:val="en-US" w:eastAsia="zh-CN" w:bidi="ar"/>
        </w:rPr>
        <w:t>二是</w:t>
      </w:r>
      <w:r>
        <w:rPr>
          <w:rFonts w:hint="eastAsia" w:ascii="仿宋_GB2312" w:hAnsi="仿宋_GB2312" w:eastAsia="仿宋_GB2312" w:cs="仿宋_GB2312"/>
          <w:sz w:val="32"/>
          <w:szCs w:val="32"/>
        </w:rPr>
        <w:t>建立健全政务公开工作的运行基础。</w:t>
      </w:r>
      <w:r>
        <w:rPr>
          <w:rFonts w:hint="eastAsia" w:ascii="仿宋_GB2312" w:hAnsi="仿宋_GB2312" w:eastAsia="仿宋_GB2312" w:cs="仿宋_GB2312"/>
          <w:sz w:val="32"/>
          <w:szCs w:val="32"/>
          <w:lang w:val="en-US" w:eastAsia="zh-CN"/>
        </w:rPr>
        <w:t>把</w:t>
      </w:r>
      <w:r>
        <w:rPr>
          <w:rFonts w:hint="eastAsia" w:ascii="仿宋_GB2312" w:hAnsi="仿宋_GB2312" w:eastAsia="仿宋_GB2312" w:cs="仿宋_GB2312"/>
          <w:sz w:val="32"/>
          <w:szCs w:val="32"/>
        </w:rPr>
        <w:t>加强政务公开工作摆在更加突出的位置，细化政务公开工作任务，明确工作要点、职责范围、承办单位等内容，确保政务公开信息定期梳理、内容准确、发布及时。</w:t>
      </w:r>
    </w:p>
    <w:p w14:paraId="38056A26">
      <w:pPr>
        <w:keepNext w:val="0"/>
        <w:keepLines w:val="0"/>
        <w:pageBreakBefore w:val="0"/>
        <w:kinsoku/>
        <w:overflowPunct/>
        <w:topLinePunct w:val="0"/>
        <w:autoSpaceDE/>
        <w:autoSpaceDN/>
        <w:bidi w:val="0"/>
        <w:adjustRightInd/>
        <w:snapToGrid/>
        <w:spacing w:afterAutospacing="0" w:line="58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i w:val="0"/>
          <w:iCs w:val="0"/>
          <w:caps w:val="0"/>
          <w:color w:val="000000"/>
          <w:spacing w:val="0"/>
          <w:sz w:val="32"/>
          <w:szCs w:val="32"/>
          <w:shd w:val="clear" w:fill="FFFFFF"/>
          <w:lang w:val="en-US" w:eastAsia="zh-CN"/>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299"/>
        <w:gridCol w:w="1786"/>
        <w:gridCol w:w="1950"/>
        <w:gridCol w:w="2095"/>
      </w:tblGrid>
      <w:tr w14:paraId="22AB69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3C09D47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第二十条第（一）项</w:t>
            </w:r>
          </w:p>
        </w:tc>
      </w:tr>
      <w:tr w14:paraId="2546D5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95" w:hRule="atLeast"/>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4E42CF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786"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CA8295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本年制发件数</w:t>
            </w:r>
          </w:p>
        </w:tc>
        <w:tc>
          <w:tcPr>
            <w:tcW w:w="19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AF3CFA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本年废止件数</w:t>
            </w:r>
          </w:p>
        </w:tc>
        <w:tc>
          <w:tcPr>
            <w:tcW w:w="209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A3D6D7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现行有效件数</w:t>
            </w:r>
          </w:p>
        </w:tc>
      </w:tr>
      <w:tr w14:paraId="5F9FC9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 w:hRule="atLeast"/>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05C0A49">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规章</w:t>
            </w:r>
          </w:p>
        </w:tc>
        <w:tc>
          <w:tcPr>
            <w:tcW w:w="1786"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A9F01B5">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9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B8C8AF7">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209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B77395C">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14:paraId="599FC9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A20007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行政规范性文件</w:t>
            </w:r>
          </w:p>
        </w:tc>
        <w:tc>
          <w:tcPr>
            <w:tcW w:w="1786"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9BD63B0">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9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87ED32F">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209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DE81845">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14:paraId="39FFA8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28F177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第二十条第（五）项</w:t>
            </w:r>
          </w:p>
        </w:tc>
      </w:tr>
      <w:tr w14:paraId="2E80AE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E84E39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793AB6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14:paraId="28406C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5F040D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EECC8F7">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14:paraId="2E5212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5F1202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第二十条第（六）项</w:t>
            </w:r>
          </w:p>
        </w:tc>
      </w:tr>
      <w:tr w14:paraId="017C37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16BD14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3413613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14:paraId="369FEC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324692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2CEFE74">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14:paraId="0086C1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64B593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2D578D4">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14:paraId="4D834F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1527D4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第二十条第（八）项</w:t>
            </w:r>
          </w:p>
        </w:tc>
      </w:tr>
      <w:tr w14:paraId="5ED166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333E00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150752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本年收费金额（单位：万元）</w:t>
            </w:r>
          </w:p>
        </w:tc>
      </w:tr>
      <w:tr w14:paraId="7B2738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299"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89A2F3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5831"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317BF570">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bl>
    <w:p w14:paraId="736E1A8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仿宋_GB2312" w:hAnsi="仿宋_GB2312" w:eastAsia="仿宋_GB2312" w:cs="仿宋_GB2312"/>
          <w:color w:val="FF0000"/>
          <w:spacing w:val="0"/>
          <w:sz w:val="32"/>
          <w:szCs w:val="32"/>
        </w:rPr>
      </w:pPr>
    </w:p>
    <w:p w14:paraId="2F9457E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kern w:val="2"/>
          <w:sz w:val="32"/>
          <w:szCs w:val="32"/>
          <w:lang w:val="en-US" w:eastAsia="zh-CN" w:bidi="ar-SA"/>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850"/>
        <w:gridCol w:w="1170"/>
        <w:gridCol w:w="2223"/>
        <w:gridCol w:w="547"/>
        <w:gridCol w:w="556"/>
        <w:gridCol w:w="556"/>
        <w:gridCol w:w="666"/>
        <w:gridCol w:w="646"/>
        <w:gridCol w:w="556"/>
        <w:gridCol w:w="746"/>
      </w:tblGrid>
      <w:tr w14:paraId="7D47EE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809DEC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（本列数据的勾稽关系为：第一项加第二项之和，等于第三项加第四项之和）</w:t>
            </w:r>
          </w:p>
        </w:tc>
        <w:tc>
          <w:tcPr>
            <w:tcW w:w="4545" w:type="dxa"/>
            <w:gridSpan w:val="7"/>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3B9008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14:paraId="38E914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B28ABB3">
            <w:pPr>
              <w:jc w:val="center"/>
              <w:rPr>
                <w:rFonts w:hint="eastAsia" w:ascii="仿宋_GB2312" w:hAnsi="仿宋_GB2312" w:eastAsia="仿宋_GB2312" w:cs="仿宋_GB2312"/>
                <w:sz w:val="32"/>
                <w:szCs w:val="32"/>
              </w:rPr>
            </w:pPr>
          </w:p>
        </w:tc>
        <w:tc>
          <w:tcPr>
            <w:tcW w:w="5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707488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tc>
        <w:tc>
          <w:tcPr>
            <w:tcW w:w="3135"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37740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394623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14:paraId="23CA3A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25"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2BF7773">
            <w:pPr>
              <w:jc w:val="center"/>
              <w:rPr>
                <w:rFonts w:hint="eastAsia" w:ascii="仿宋_GB2312" w:hAnsi="仿宋_GB2312" w:eastAsia="仿宋_GB2312" w:cs="仿宋_GB2312"/>
                <w:sz w:val="32"/>
                <w:szCs w:val="32"/>
              </w:rPr>
            </w:pPr>
          </w:p>
        </w:tc>
        <w:tc>
          <w:tcPr>
            <w:tcW w:w="5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5393B0A">
            <w:pPr>
              <w:jc w:val="center"/>
              <w:rPr>
                <w:rFonts w:hint="eastAsia" w:ascii="仿宋_GB2312" w:hAnsi="仿宋_GB2312" w:eastAsia="仿宋_GB2312" w:cs="仿宋_GB2312"/>
                <w:sz w:val="32"/>
                <w:szCs w:val="32"/>
              </w:rPr>
            </w:pP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89330D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商业企业</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E9DCB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科研机构</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591F5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EF4D0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法律服务机构</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35B390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8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BBE2479">
            <w:pPr>
              <w:jc w:val="center"/>
              <w:rPr>
                <w:rFonts w:hint="eastAsia" w:ascii="仿宋_GB2312" w:hAnsi="仿宋_GB2312" w:eastAsia="仿宋_GB2312" w:cs="仿宋_GB2312"/>
                <w:sz w:val="32"/>
                <w:szCs w:val="32"/>
              </w:rPr>
            </w:pPr>
          </w:p>
        </w:tc>
      </w:tr>
      <w:tr w14:paraId="4748D8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9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CFF5E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bookmarkStart w:id="0" w:name="_Hlk66973412"/>
            <w:r>
              <w:rPr>
                <w:rFonts w:hint="eastAsia" w:ascii="仿宋_GB2312" w:hAnsi="仿宋_GB2312" w:eastAsia="仿宋_GB2312" w:cs="仿宋_GB2312"/>
                <w:sz w:val="32"/>
                <w:szCs w:val="32"/>
              </w:rPr>
              <w:t>本年新收政府信息公开申请数量</w:t>
            </w:r>
            <w:bookmarkEnd w:id="0"/>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3E45C41">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722DAB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B0B284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310FB4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CD5B2F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4DDF3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5C75ED2">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r>
      <w:tr w14:paraId="19BBFD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51B59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086E6AD">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4059EF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134E5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41D8F5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D10F9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37473E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BA5D1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445E39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2C553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三、本年度办理结果</w:t>
            </w: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DFFAD3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3D42C8D">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FAA932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1DB137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D3447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6CFDA4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6E01CC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464636">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r>
      <w:tr w14:paraId="6065CF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AE15C27">
            <w:pPr>
              <w:jc w:val="center"/>
              <w:rPr>
                <w:rFonts w:hint="eastAsia" w:ascii="仿宋_GB2312" w:hAnsi="仿宋_GB2312" w:eastAsia="仿宋_GB2312" w:cs="仿宋_GB2312"/>
                <w:sz w:val="32"/>
                <w:szCs w:val="32"/>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6EB920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w:t>
            </w:r>
            <w:bookmarkStart w:id="1" w:name="_Hlk66973981"/>
            <w:r>
              <w:rPr>
                <w:rFonts w:hint="eastAsia" w:ascii="仿宋_GB2312" w:hAnsi="仿宋_GB2312" w:eastAsia="仿宋_GB2312" w:cs="仿宋_GB2312"/>
                <w:sz w:val="32"/>
                <w:szCs w:val="32"/>
              </w:rPr>
              <w:t>区分处理的，只计这一情形，不计其他情形</w:t>
            </w:r>
            <w:bookmarkEnd w:id="1"/>
            <w:r>
              <w:rPr>
                <w:rFonts w:hint="eastAsia" w:ascii="仿宋_GB2312" w:hAnsi="仿宋_GB2312" w:eastAsia="仿宋_GB2312" w:cs="仿宋_GB2312"/>
                <w:sz w:val="32"/>
                <w:szCs w:val="32"/>
              </w:rPr>
              <w:t>）</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532AD0B">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4B3578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66338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86D3AE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8449CD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06B977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914E931">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14:paraId="7027FA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17C5408">
            <w:pPr>
              <w:jc w:val="center"/>
              <w:rPr>
                <w:rFonts w:hint="eastAsia" w:ascii="仿宋_GB2312" w:hAnsi="仿宋_GB2312" w:eastAsia="仿宋_GB2312" w:cs="仿宋_GB2312"/>
                <w:sz w:val="32"/>
                <w:szCs w:val="32"/>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29EAAC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（三）不予公开</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26C351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CCF663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7C9CB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74335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92E4A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350E4B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CBA32A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8E692B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58D725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B7503E3">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EC746D2">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12483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2" w:name="_Hlk66974104"/>
            <w:r>
              <w:rPr>
                <w:rFonts w:hint="eastAsia" w:ascii="仿宋_GB2312" w:hAnsi="仿宋_GB2312" w:eastAsia="仿宋_GB2312" w:cs="仿宋_GB2312"/>
                <w:sz w:val="32"/>
                <w:szCs w:val="32"/>
              </w:rPr>
              <w:t>其他法律行政法规禁止公开</w:t>
            </w:r>
            <w:bookmarkEnd w:id="2"/>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CD9773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269C3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AF0D32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137F4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D01366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47B81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E9093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769BF2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B48AF06">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C2AED1">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F76DC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15735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A36B5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E6EFD0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92E0B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FA6B8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80542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C3F07F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1610E6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E4AA68">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428965">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77564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bookmarkStart w:id="3" w:name="_Hlk66974290"/>
            <w:r>
              <w:rPr>
                <w:rFonts w:hint="eastAsia" w:ascii="仿宋_GB2312" w:hAnsi="仿宋_GB2312" w:eastAsia="仿宋_GB2312" w:cs="仿宋_GB2312"/>
                <w:sz w:val="32"/>
                <w:szCs w:val="32"/>
              </w:rPr>
              <w:t>保护第三方合法权益</w:t>
            </w:r>
            <w:bookmarkEnd w:id="3"/>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1EA2D6">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1F2C9E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9FFF9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6F874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21AE3D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652BA3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99BF150">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14:paraId="62FFD3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99BD2BC">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5ED7187">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E7C4E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22B4CF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2A6000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374CD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7A950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14180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E01CB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E47550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1F04F2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83B851F">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93E9318">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F5FB2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bookmarkStart w:id="4" w:name="_Hlk66974555"/>
            <w:r>
              <w:rPr>
                <w:rFonts w:hint="eastAsia" w:ascii="仿宋_GB2312" w:hAnsi="仿宋_GB2312" w:eastAsia="仿宋_GB2312" w:cs="仿宋_GB2312"/>
                <w:sz w:val="32"/>
                <w:szCs w:val="32"/>
              </w:rPr>
              <w:t>属于四类过程性信息</w:t>
            </w:r>
            <w:bookmarkEnd w:id="4"/>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2631D71">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A2A1A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6F73BE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06A732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B10355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9B99FE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E28C18D">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r>
      <w:tr w14:paraId="01DCB9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469373">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340D70A">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5EA37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D9ED0D4">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39D30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66F0A0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4A9E8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3392E6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ED721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AF8F923">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r>
      <w:tr w14:paraId="51F193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0696261">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D946DC">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CE9FE4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bookmarkStart w:id="5" w:name="_Hlk66975211"/>
            <w:r>
              <w:rPr>
                <w:rFonts w:hint="eastAsia" w:ascii="仿宋_GB2312" w:hAnsi="仿宋_GB2312" w:eastAsia="仿宋_GB2312" w:cs="仿宋_GB2312"/>
                <w:sz w:val="32"/>
                <w:szCs w:val="32"/>
              </w:rPr>
              <w:t>属于行政查询事项</w:t>
            </w:r>
            <w:bookmarkEnd w:id="5"/>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D5F88C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95E350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871307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5D697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344D7B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E35A67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CC31D6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51FEBA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6F5BAD">
            <w:pPr>
              <w:jc w:val="center"/>
              <w:rPr>
                <w:rFonts w:hint="eastAsia" w:ascii="仿宋_GB2312" w:hAnsi="仿宋_GB2312" w:eastAsia="仿宋_GB2312" w:cs="仿宋_GB2312"/>
                <w:sz w:val="32"/>
                <w:szCs w:val="32"/>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2A62BF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（四）无法提供</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253866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187EE5">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0770A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A8CBE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0DD27E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950349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6E47C8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4D51BD">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14:paraId="2D7253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81ADFD3">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C4C693E">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A8FA13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6" w:name="_Hlk66975392"/>
            <w:r>
              <w:rPr>
                <w:rFonts w:hint="eastAsia" w:ascii="仿宋_GB2312" w:hAnsi="仿宋_GB2312" w:eastAsia="仿宋_GB2312" w:cs="仿宋_GB2312"/>
                <w:sz w:val="32"/>
                <w:szCs w:val="32"/>
              </w:rPr>
              <w:t>没有现成信息需要另行制作</w:t>
            </w:r>
            <w:bookmarkEnd w:id="6"/>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8015E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E5196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770CE0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1F2906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D4B17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7F3C70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9C409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002A69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49ABB21">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477A000">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369BA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bookmarkStart w:id="7" w:name="_Hlk66975466"/>
            <w:r>
              <w:rPr>
                <w:rFonts w:hint="eastAsia" w:ascii="仿宋_GB2312" w:hAnsi="仿宋_GB2312" w:eastAsia="仿宋_GB2312" w:cs="仿宋_GB2312"/>
                <w:sz w:val="32"/>
                <w:szCs w:val="32"/>
              </w:rPr>
              <w:t>补正后申请内容仍不明确</w:t>
            </w:r>
            <w:bookmarkEnd w:id="7"/>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0630E5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D24082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9FE129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D025B4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F94851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BB9D08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AE790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24AEBE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231BBC4">
            <w:pPr>
              <w:jc w:val="center"/>
              <w:rPr>
                <w:rFonts w:hint="eastAsia" w:ascii="仿宋_GB2312" w:hAnsi="仿宋_GB2312" w:eastAsia="仿宋_GB2312" w:cs="仿宋_GB2312"/>
                <w:sz w:val="32"/>
                <w:szCs w:val="32"/>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04A4AD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（五）不予处理</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9AC555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8" w:name="_Hlk66975537"/>
            <w:r>
              <w:rPr>
                <w:rFonts w:hint="eastAsia" w:ascii="仿宋_GB2312" w:hAnsi="仿宋_GB2312" w:eastAsia="仿宋_GB2312" w:cs="仿宋_GB2312"/>
                <w:sz w:val="32"/>
                <w:szCs w:val="32"/>
              </w:rPr>
              <w:t>信访举报投诉类申请</w:t>
            </w:r>
            <w:bookmarkEnd w:id="8"/>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7D1D4A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F5415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400D1F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0B9E6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8BE25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8CB2D9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43334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3D3E5C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26E269">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E37F671">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92FFD1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375C21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F3861E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04415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8C0B8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C6080F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5FD601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4F3757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71641C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751BE1">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03CC56">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07CD1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80CD8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6C85ED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3382F2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ED544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350A5B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88C80E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71E6C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6A95DB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C07342">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B37D1A">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54D9F6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36DE95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9E875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0F1FDD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9298A3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099F25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B50CE9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7DDD3C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58E224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B8E6E3E">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2D8D07A">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3B3B1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5.要求行政机关确认或重新出具已获取信息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7D3AE7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52D42C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04CC10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09832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8A9F8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81F83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9DC12D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43953C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6CD9210">
            <w:pPr>
              <w:jc w:val="center"/>
              <w:rPr>
                <w:rFonts w:hint="eastAsia" w:ascii="仿宋_GB2312" w:hAnsi="仿宋_GB2312" w:eastAsia="仿宋_GB2312" w:cs="仿宋_GB2312"/>
                <w:sz w:val="32"/>
                <w:szCs w:val="32"/>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00FF28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33F67C2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1.申请人无正当理由逾期不补正、行政机关不再处理其政府信息公开申请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B9D5C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0EB076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B9F8BB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2BCB1B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7DD9C6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4E3489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0AD769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30E78C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CDD7E0">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934ADF3">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14EBFE0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2.申请人逾期未按收费通知要求缴纳费用、行政机关不再处理其政府信息公开申请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D04EA3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1EF04F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8C05E4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239C2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38721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D7C3E9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311134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351E43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D9ED7F">
            <w:pPr>
              <w:jc w:val="center"/>
              <w:rPr>
                <w:rFonts w:hint="eastAsia" w:ascii="仿宋_GB2312" w:hAnsi="仿宋_GB2312" w:eastAsia="仿宋_GB2312" w:cs="仿宋_GB2312"/>
                <w:sz w:val="32"/>
                <w:szCs w:val="32"/>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0A1C090">
            <w:pPr>
              <w:jc w:val="center"/>
              <w:rPr>
                <w:rFonts w:hint="eastAsia" w:ascii="仿宋_GB2312" w:hAnsi="仿宋_GB2312" w:eastAsia="仿宋_GB2312" w:cs="仿宋_GB2312"/>
                <w:sz w:val="32"/>
                <w:szCs w:val="32"/>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3C3E593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13433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243192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FA971D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D5806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56C5A0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69282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19AC6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14:paraId="2F457D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CF3D0A">
            <w:pPr>
              <w:jc w:val="center"/>
              <w:rPr>
                <w:rFonts w:hint="eastAsia" w:ascii="仿宋_GB2312" w:hAnsi="仿宋_GB2312" w:eastAsia="仿宋_GB2312" w:cs="仿宋_GB2312"/>
                <w:sz w:val="32"/>
                <w:szCs w:val="32"/>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0AE7D9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104D1FC">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137F6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8FDFC6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D2940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2E5F0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0B04A8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1760CA0">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14:paraId="033F09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D64185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E988B6D">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1F4E1B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E29C9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0BF953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6B552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F8C54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4D563E">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bl>
    <w:p w14:paraId="301109F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kern w:val="2"/>
          <w:sz w:val="32"/>
          <w:szCs w:val="32"/>
          <w:lang w:val="en-US" w:eastAsia="zh-CN" w:bidi="ar-SA"/>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530"/>
        <w:gridCol w:w="563"/>
        <w:gridCol w:w="586"/>
        <w:gridCol w:w="563"/>
        <w:gridCol w:w="530"/>
        <w:gridCol w:w="541"/>
        <w:gridCol w:w="574"/>
        <w:gridCol w:w="574"/>
        <w:gridCol w:w="574"/>
        <w:gridCol w:w="586"/>
        <w:gridCol w:w="574"/>
        <w:gridCol w:w="574"/>
        <w:gridCol w:w="574"/>
        <w:gridCol w:w="574"/>
        <w:gridCol w:w="599"/>
      </w:tblGrid>
      <w:tr w14:paraId="5796D3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jc w:val="center"/>
        </w:trPr>
        <w:tc>
          <w:tcPr>
            <w:tcW w:w="2674"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E7355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5842"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C333E2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14:paraId="2210FF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jc w:val="center"/>
        </w:trPr>
        <w:tc>
          <w:tcPr>
            <w:tcW w:w="516"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765730A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p w14:paraId="49EE6E3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w:t>
            </w:r>
          </w:p>
        </w:tc>
        <w:tc>
          <w:tcPr>
            <w:tcW w:w="570"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14:paraId="580613F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598"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DFD47C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57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8B114B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w:t>
            </w:r>
          </w:p>
          <w:p w14:paraId="478C586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审结</w:t>
            </w:r>
          </w:p>
        </w:tc>
        <w:tc>
          <w:tcPr>
            <w:tcW w:w="42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9C74F2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p>
          <w:p w14:paraId="2F6A997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p>
        </w:tc>
        <w:tc>
          <w:tcPr>
            <w:tcW w:w="2893"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B786B0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2949"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C55ADC3">
            <w:pPr>
              <w:rPr>
                <w:rFonts w:hint="eastAsia" w:ascii="仿宋_GB2312" w:hAnsi="仿宋_GB2312" w:eastAsia="仿宋_GB2312" w:cs="仿宋_GB2312"/>
                <w:sz w:val="32"/>
                <w:szCs w:val="32"/>
              </w:rPr>
            </w:pPr>
            <w:bookmarkStart w:id="9" w:name="_Hlk67039688"/>
            <w:r>
              <w:rPr>
                <w:rFonts w:hint="eastAsia" w:ascii="仿宋_GB2312" w:hAnsi="仿宋_GB2312" w:eastAsia="仿宋_GB2312" w:cs="仿宋_GB2312"/>
                <w:sz w:val="32"/>
                <w:szCs w:val="32"/>
              </w:rPr>
              <w:t>复议后起诉</w:t>
            </w:r>
            <w:bookmarkEnd w:id="9"/>
          </w:p>
        </w:tc>
      </w:tr>
      <w:tr w14:paraId="25BE6B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0" w:hRule="atLeast"/>
          <w:jc w:val="center"/>
        </w:trPr>
        <w:tc>
          <w:tcPr>
            <w:tcW w:w="516"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36EAFBB1">
            <w:pPr>
              <w:rPr>
                <w:rFonts w:hint="eastAsia" w:ascii="仿宋_GB2312" w:hAnsi="仿宋_GB2312" w:eastAsia="仿宋_GB2312" w:cs="仿宋_GB2312"/>
                <w:sz w:val="32"/>
                <w:szCs w:val="32"/>
              </w:rPr>
            </w:pPr>
          </w:p>
        </w:tc>
        <w:tc>
          <w:tcPr>
            <w:tcW w:w="570"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14:paraId="421AF176">
            <w:pPr>
              <w:rPr>
                <w:rFonts w:hint="eastAsia" w:ascii="仿宋_GB2312" w:hAnsi="仿宋_GB2312" w:eastAsia="仿宋_GB2312" w:cs="仿宋_GB2312"/>
                <w:sz w:val="32"/>
                <w:szCs w:val="32"/>
              </w:rPr>
            </w:pPr>
          </w:p>
        </w:tc>
        <w:tc>
          <w:tcPr>
            <w:tcW w:w="598"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128A8DC">
            <w:pPr>
              <w:rPr>
                <w:rFonts w:hint="eastAsia" w:ascii="仿宋_GB2312" w:hAnsi="仿宋_GB2312" w:eastAsia="仿宋_GB2312" w:cs="仿宋_GB2312"/>
                <w:sz w:val="32"/>
                <w:szCs w:val="32"/>
              </w:rPr>
            </w:pPr>
          </w:p>
        </w:tc>
        <w:tc>
          <w:tcPr>
            <w:tcW w:w="57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1BF8344">
            <w:pPr>
              <w:rPr>
                <w:rFonts w:hint="eastAsia" w:ascii="仿宋_GB2312" w:hAnsi="仿宋_GB2312" w:eastAsia="仿宋_GB2312" w:cs="仿宋_GB2312"/>
                <w:sz w:val="32"/>
                <w:szCs w:val="32"/>
              </w:rPr>
            </w:pPr>
          </w:p>
        </w:tc>
        <w:tc>
          <w:tcPr>
            <w:tcW w:w="42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4D27159E">
            <w:pPr>
              <w:rPr>
                <w:rFonts w:hint="eastAsia" w:ascii="仿宋_GB2312" w:hAnsi="仿宋_GB2312" w:eastAsia="仿宋_GB2312" w:cs="仿宋_GB2312"/>
                <w:sz w:val="32"/>
                <w:szCs w:val="32"/>
              </w:rPr>
            </w:pPr>
          </w:p>
        </w:tc>
        <w:tc>
          <w:tcPr>
            <w:tcW w:w="543" w:type="dxa"/>
            <w:tcBorders>
              <w:top w:val="nil"/>
              <w:left w:val="nil"/>
              <w:bottom w:val="single" w:color="auto" w:sz="6" w:space="0"/>
              <w:right w:val="single" w:color="auto" w:sz="6" w:space="0"/>
            </w:tcBorders>
            <w:noWrap w:val="0"/>
            <w:tcMar>
              <w:left w:w="105" w:type="dxa"/>
              <w:bottom w:w="0" w:type="dxa"/>
              <w:right w:w="105" w:type="dxa"/>
            </w:tcMar>
            <w:vAlign w:val="center"/>
          </w:tcPr>
          <w:p w14:paraId="3459E04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4DC05A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FCD5E1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p w14:paraId="0E449BA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12169A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w:t>
            </w:r>
          </w:p>
          <w:p w14:paraId="4F1318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审结</w:t>
            </w:r>
          </w:p>
        </w:tc>
        <w:tc>
          <w:tcPr>
            <w:tcW w:w="598"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B97C19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3F7E6BF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4C75DF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p w14:paraId="097AD75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纠正</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18A5BE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p w14:paraId="30CD78A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DB7CE8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613"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D936D6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14:paraId="3873EE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16"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16B5DC1E">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570" w:type="dxa"/>
            <w:tcBorders>
              <w:top w:val="nil"/>
              <w:left w:val="nil"/>
              <w:bottom w:val="single" w:color="auto" w:sz="6" w:space="0"/>
              <w:right w:val="single" w:color="auto" w:sz="6" w:space="0"/>
            </w:tcBorders>
            <w:noWrap w:val="0"/>
            <w:tcMar>
              <w:left w:w="105" w:type="dxa"/>
              <w:bottom w:w="0" w:type="dxa"/>
              <w:right w:w="105" w:type="dxa"/>
            </w:tcMar>
            <w:vAlign w:val="center"/>
          </w:tcPr>
          <w:p w14:paraId="6E9670C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598" w:type="dxa"/>
            <w:tcBorders>
              <w:top w:val="nil"/>
              <w:left w:val="nil"/>
              <w:bottom w:val="single" w:color="auto" w:sz="6" w:space="0"/>
              <w:right w:val="single" w:color="auto" w:sz="6" w:space="0"/>
            </w:tcBorders>
            <w:noWrap w:val="0"/>
            <w:tcMar>
              <w:left w:w="105" w:type="dxa"/>
              <w:bottom w:w="0" w:type="dxa"/>
              <w:right w:w="105" w:type="dxa"/>
            </w:tcMar>
            <w:vAlign w:val="center"/>
          </w:tcPr>
          <w:p w14:paraId="0FEEBC5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70" w:type="dxa"/>
            <w:tcBorders>
              <w:top w:val="nil"/>
              <w:left w:val="nil"/>
              <w:bottom w:val="single" w:color="auto" w:sz="6" w:space="0"/>
              <w:right w:val="single" w:color="auto" w:sz="6" w:space="0"/>
            </w:tcBorders>
            <w:noWrap w:val="0"/>
            <w:tcMar>
              <w:left w:w="105" w:type="dxa"/>
              <w:bottom w:w="0" w:type="dxa"/>
              <w:right w:w="105" w:type="dxa"/>
            </w:tcMar>
            <w:vAlign w:val="center"/>
          </w:tcPr>
          <w:p w14:paraId="0C0A82C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20" w:type="dxa"/>
            <w:tcBorders>
              <w:top w:val="nil"/>
              <w:left w:val="nil"/>
              <w:bottom w:val="single" w:color="auto" w:sz="6" w:space="0"/>
              <w:right w:val="single" w:color="auto" w:sz="6" w:space="0"/>
            </w:tcBorders>
            <w:noWrap w:val="0"/>
            <w:tcMar>
              <w:left w:w="105" w:type="dxa"/>
              <w:bottom w:w="0" w:type="dxa"/>
              <w:right w:w="105" w:type="dxa"/>
            </w:tcMar>
            <w:vAlign w:val="center"/>
          </w:tcPr>
          <w:p w14:paraId="4230DCFB">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543" w:type="dxa"/>
            <w:tcBorders>
              <w:top w:val="nil"/>
              <w:left w:val="nil"/>
              <w:bottom w:val="single" w:color="auto" w:sz="6" w:space="0"/>
              <w:right w:val="single" w:color="auto" w:sz="6" w:space="0"/>
            </w:tcBorders>
            <w:noWrap w:val="0"/>
            <w:tcMar>
              <w:left w:w="105" w:type="dxa"/>
              <w:bottom w:w="0" w:type="dxa"/>
              <w:right w:w="105" w:type="dxa"/>
            </w:tcMar>
            <w:vAlign w:val="center"/>
          </w:tcPr>
          <w:p w14:paraId="59D13F8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06549E3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48ECF90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4196C11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8" w:type="dxa"/>
            <w:tcBorders>
              <w:top w:val="nil"/>
              <w:left w:val="nil"/>
              <w:bottom w:val="single" w:color="auto" w:sz="6" w:space="0"/>
              <w:right w:val="single" w:color="auto" w:sz="6" w:space="0"/>
            </w:tcBorders>
            <w:noWrap w:val="0"/>
            <w:tcMar>
              <w:left w:w="105" w:type="dxa"/>
              <w:bottom w:w="0" w:type="dxa"/>
              <w:right w:w="105" w:type="dxa"/>
            </w:tcMar>
            <w:vAlign w:val="center"/>
          </w:tcPr>
          <w:p w14:paraId="6D405E7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135A4F8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3FB8995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4DCFFEC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37933E9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3" w:type="dxa"/>
            <w:tcBorders>
              <w:top w:val="nil"/>
              <w:left w:val="nil"/>
              <w:bottom w:val="single" w:color="auto" w:sz="6" w:space="0"/>
              <w:right w:val="single" w:color="auto" w:sz="6" w:space="0"/>
            </w:tcBorders>
            <w:noWrap w:val="0"/>
            <w:tcMar>
              <w:left w:w="105" w:type="dxa"/>
              <w:bottom w:w="0" w:type="dxa"/>
              <w:right w:w="105" w:type="dxa"/>
            </w:tcMar>
            <w:vAlign w:val="center"/>
          </w:tcPr>
          <w:p w14:paraId="2223759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14:paraId="4229B5DD">
      <w:pPr>
        <w:keepNext w:val="0"/>
        <w:keepLines w:val="0"/>
        <w:pageBreakBefore w:val="0"/>
        <w:widowControl/>
        <w:suppressLineNumbers w:val="0"/>
        <w:kinsoku/>
        <w:overflowPunct/>
        <w:topLinePunct w:val="0"/>
        <w:autoSpaceDE/>
        <w:autoSpaceDN/>
        <w:bidi w:val="0"/>
        <w:adjustRightInd/>
        <w:snapToGrid/>
        <w:spacing w:afterAutospacing="0" w:line="58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五、政府信息公开工作存在的主要问题及改进情况</w:t>
      </w:r>
    </w:p>
    <w:p w14:paraId="7BCE797D">
      <w:pPr>
        <w:keepNext w:val="0"/>
        <w:keepLines w:val="0"/>
        <w:pageBreakBefore w:val="0"/>
        <w:widowControl/>
        <w:suppressLineNumbers w:val="0"/>
        <w:kinsoku/>
        <w:overflowPunct/>
        <w:topLinePunct w:val="0"/>
        <w:autoSpaceDE/>
        <w:autoSpaceDN/>
        <w:bidi w:val="0"/>
        <w:adjustRightInd/>
        <w:snapToGrid/>
        <w:spacing w:afterAutospacing="0" w:line="580" w:lineRule="exact"/>
        <w:ind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（一）主要问题</w:t>
      </w:r>
    </w:p>
    <w:p w14:paraId="7D281EF7">
      <w:pPr>
        <w:keepNext w:val="0"/>
        <w:keepLines w:val="0"/>
        <w:pageBreakBefore w:val="0"/>
        <w:widowControl/>
        <w:suppressLineNumbers w:val="0"/>
        <w:kinsoku/>
        <w:overflowPunct/>
        <w:topLinePunct w:val="0"/>
        <w:autoSpaceDE/>
        <w:autoSpaceDN/>
        <w:bidi w:val="0"/>
        <w:adjustRightInd/>
        <w:snapToGrid/>
        <w:spacing w:afterAutospacing="0" w:line="580" w:lineRule="exact"/>
        <w:ind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公开内容深度不足，部分信息仅停留在表面，群众难以获取关键细节；</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公开渠道整合度低，不同平台信息分散，增加群众检索难度；</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信息公开监督机制不完善，缺乏有效监督，导致问题难以及时发现和纠正。</w:t>
      </w:r>
    </w:p>
    <w:p w14:paraId="2475C83E">
      <w:pPr>
        <w:keepNext w:val="0"/>
        <w:keepLines w:val="0"/>
        <w:pageBreakBefore w:val="0"/>
        <w:widowControl/>
        <w:suppressLineNumbers w:val="0"/>
        <w:kinsoku/>
        <w:overflowPunct/>
        <w:topLinePunct w:val="0"/>
        <w:autoSpaceDE/>
        <w:autoSpaceDN/>
        <w:bidi w:val="0"/>
        <w:adjustRightInd/>
        <w:snapToGrid/>
        <w:spacing w:afterAutospacing="0" w:line="580" w:lineRule="exact"/>
        <w:ind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（二）改进情况</w:t>
      </w:r>
    </w:p>
    <w:p w14:paraId="1BAF4EFF">
      <w:pPr>
        <w:keepNext w:val="0"/>
        <w:keepLines w:val="0"/>
        <w:pageBreakBefore w:val="0"/>
        <w:widowControl/>
        <w:suppressLineNumbers w:val="0"/>
        <w:kinsoku/>
        <w:overflowPunct/>
        <w:topLinePunct w:val="0"/>
        <w:autoSpaceDE/>
        <w:autoSpaceDN/>
        <w:bidi w:val="0"/>
        <w:adjustRightInd/>
        <w:snapToGrid/>
        <w:spacing w:afterAutospacing="0" w:line="580" w:lineRule="exact"/>
        <w:ind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细化公开内容标准，要求各部门对重点信息深入解读，补充关键数据和背景资料；</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推进渠道融合，打造统一信息公开平台，实现多渠道信息互联互通；</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定期检查公开信息，设立投诉举报渠道，确保问题快速处理，提升公开质量。</w:t>
      </w:r>
    </w:p>
    <w:p w14:paraId="34956A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黑体" w:hAnsi="黑体" w:eastAsia="黑体" w:cs="黑体"/>
          <w:sz w:val="32"/>
          <w:szCs w:val="32"/>
        </w:rPr>
        <w:t>六、其他需要报告的事项</w:t>
      </w:r>
    </w:p>
    <w:p w14:paraId="69E25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1.本年度政府信息公开申请未达到《政府信息公开信息处理费管理办法》（国办函〔2020〕109号）所规定的信息处理费收费标准，故未收取信息处理费。</w:t>
      </w:r>
    </w:p>
    <w:p w14:paraId="54240F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2.落实年度政务公开重点工作情况。扎实做好政务公开基础工作，持续推进基层政务公开标准化、规范化，全面梳理细化相关领域政务公开事项，明确具体事项的公开标准，制作主动公开基本目录清单等，促进街道政务公开工作提质增效。</w:t>
      </w:r>
    </w:p>
    <w:p w14:paraId="17FD55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3.本年度建议提案办理情况。2024年全年接到市人大常委会交办的人大代表建议办理工作0件，收到市政协十一届三次会议提案0件。</w:t>
      </w:r>
    </w:p>
    <w:p w14:paraId="5ADDCB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4</w:t>
      </w: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.本部门在政务公开制度、内容、形式和平台建设方面的创新实践情况</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w:t>
      </w:r>
      <w:r>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t>积极创新政务公开工作。制度上，完善信息审核发布机制，确保准确规范。内容上，聚焦民生关切，细化政策解读。形式上，开展院场会等，用乡音传递政策。平台建设上，优化线上渠道，拓宽信息传播广度，提升群众满意度。</w:t>
      </w:r>
    </w:p>
    <w:p w14:paraId="531A89FA">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5.</w:t>
      </w:r>
      <w:r>
        <w:rPr>
          <w:rFonts w:ascii="仿宋_GB2312" w:hAnsi="宋体" w:eastAsia="仿宋_GB2312" w:cs="仿宋_GB2312"/>
          <w:color w:val="000000"/>
          <w:kern w:val="0"/>
          <w:sz w:val="31"/>
          <w:szCs w:val="31"/>
          <w:lang w:val="en-US" w:eastAsia="zh-CN" w:bidi="ar"/>
        </w:rPr>
        <w:t xml:space="preserve">本行政机关政府信息公开工作年度报告数据统计需要 </w:t>
      </w:r>
    </w:p>
    <w:p w14:paraId="3415142C">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说明的事项。本报告中所列数据的统计时限为</w:t>
      </w:r>
      <w:r>
        <w:rPr>
          <w:rFonts w:hint="default" w:ascii="Times New Roman" w:hAnsi="Times New Roman" w:eastAsia="宋体" w:cs="Times New Roman"/>
          <w:color w:val="000000"/>
          <w:kern w:val="0"/>
          <w:sz w:val="31"/>
          <w:szCs w:val="31"/>
          <w:lang w:val="en-US" w:eastAsia="zh-CN" w:bidi="ar"/>
        </w:rPr>
        <w:t>2024</w:t>
      </w:r>
      <w:r>
        <w:rPr>
          <w:rFonts w:hint="eastAsia" w:ascii="仿宋_GB2312" w:hAnsi="宋体" w:eastAsia="仿宋_GB2312" w:cs="仿宋_GB2312"/>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日至</w:t>
      </w:r>
      <w:r>
        <w:rPr>
          <w:rFonts w:hint="default" w:ascii="Times New Roman" w:hAnsi="Times New Roman" w:eastAsia="宋体" w:cs="Times New Roman"/>
          <w:color w:val="000000"/>
          <w:kern w:val="0"/>
          <w:sz w:val="31"/>
          <w:szCs w:val="31"/>
          <w:lang w:val="en-US" w:eastAsia="zh-CN" w:bidi="ar"/>
        </w:rPr>
        <w:t>2024</w:t>
      </w:r>
      <w:r>
        <w:rPr>
          <w:rFonts w:hint="eastAsia" w:ascii="仿宋_GB2312" w:hAnsi="宋体" w:eastAsia="仿宋_GB2312" w:cs="仿宋_GB2312"/>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12</w:t>
      </w:r>
      <w:r>
        <w:rPr>
          <w:rFonts w:hint="eastAsia" w:ascii="仿宋_GB2312" w:hAnsi="宋体"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31</w:t>
      </w:r>
      <w:r>
        <w:rPr>
          <w:rFonts w:hint="eastAsia" w:ascii="仿宋_GB2312" w:hAnsi="宋体" w:eastAsia="仿宋_GB2312" w:cs="仿宋_GB2312"/>
          <w:color w:val="000000"/>
          <w:kern w:val="0"/>
          <w:sz w:val="31"/>
          <w:szCs w:val="31"/>
          <w:lang w:val="en-US" w:eastAsia="zh-CN" w:bidi="ar"/>
        </w:rPr>
        <w:t xml:space="preserve">日。 </w:t>
      </w:r>
    </w:p>
    <w:p w14:paraId="2FBC8165">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 xml:space="preserve">本行政机关认为需要报告的其他事项。无。 </w:t>
      </w:r>
    </w:p>
    <w:p w14:paraId="13D21B28">
      <w:pPr>
        <w:keepNext w:val="0"/>
        <w:keepLines w:val="0"/>
        <w:widowControl/>
        <w:suppressLineNumbers w:val="0"/>
        <w:ind w:firstLine="620" w:firstLineChars="200"/>
        <w:jc w:val="left"/>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r>
        <w:rPr>
          <w:rFonts w:hint="default" w:ascii="Times New Roman" w:hAnsi="Times New Roman" w:eastAsia="宋体" w:cs="Times New Roman"/>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其他有关文件专门要求通过政府信息公开工作年度报告予以报告的事项。无。</w:t>
      </w:r>
    </w:p>
    <w:p w14:paraId="7F035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如对年度政府信息公开工作年度报告有疑问，请与枣庄高新区张范街道办事处联系（</w:t>
      </w:r>
      <w:r>
        <w:rPr>
          <w:rFonts w:hint="eastAsia" w:ascii="仿宋_GB2312" w:hAnsi="仿宋_GB2312" w:eastAsia="仿宋_GB2312" w:cs="仿宋_GB2312"/>
          <w:i w:val="0"/>
          <w:iCs w:val="0"/>
          <w:caps w:val="0"/>
          <w:color w:val="000000"/>
          <w:spacing w:val="0"/>
          <w:sz w:val="32"/>
          <w:szCs w:val="32"/>
          <w:shd w:val="clear" w:fill="FFFFFF"/>
        </w:rPr>
        <w:t>联系电话:</w:t>
      </w:r>
      <w:r>
        <w:rPr>
          <w:rFonts w:hint="eastAsia" w:ascii="仿宋_GB2312" w:hAnsi="仿宋_GB2312" w:eastAsia="仿宋_GB2312" w:cs="仿宋_GB2312"/>
          <w:i w:val="0"/>
          <w:iCs w:val="0"/>
          <w:caps w:val="0"/>
          <w:spacing w:val="0"/>
          <w:sz w:val="32"/>
          <w:szCs w:val="32"/>
          <w:shd w:val="clear" w:fill="FFFFFF"/>
        </w:rPr>
        <w:t>0632-4612669</w:t>
      </w:r>
      <w:r>
        <w:rPr>
          <w:rFonts w:hint="eastAsia" w:ascii="仿宋_GB2312" w:hAnsi="仿宋_GB2312" w:eastAsia="仿宋_GB2312" w:cs="仿宋_GB2312"/>
          <w:i w:val="0"/>
          <w:iCs w:val="0"/>
          <w:caps w:val="0"/>
          <w:color w:val="000000"/>
          <w:spacing w:val="0"/>
          <w:sz w:val="32"/>
          <w:szCs w:val="32"/>
          <w:shd w:val="clear" w:fill="FFFFFF"/>
        </w:rPr>
        <w:t>，电子邮箱:</w:t>
      </w:r>
      <w:r>
        <w:rPr>
          <w:rFonts w:hint="eastAsia" w:ascii="仿宋_GB2312" w:hAnsi="仿宋_GB2312" w:eastAsia="仿宋_GB2312" w:cs="仿宋_GB2312"/>
          <w:i w:val="0"/>
          <w:iCs w:val="0"/>
          <w:caps w:val="0"/>
          <w:spacing w:val="0"/>
          <w:sz w:val="32"/>
          <w:szCs w:val="32"/>
          <w:shd w:val="clear" w:fill="FFFFFF"/>
        </w:rPr>
        <w:t>zfjddzb@163.com</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FC88B6-6D4B-41F0-9237-6F26412FEC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77179E0-B719-4733-982C-D990D6878EA0}"/>
  </w:font>
  <w:font w:name="方正小标宋简体">
    <w:panose1 w:val="03000509000000000000"/>
    <w:charset w:val="86"/>
    <w:family w:val="auto"/>
    <w:pitch w:val="default"/>
    <w:sig w:usb0="00000001" w:usb1="080E0000" w:usb2="00000000" w:usb3="00000000" w:csb0="00040000" w:csb1="00000000"/>
    <w:embedRegular r:id="rId3" w:fontKey="{DD01C726-1BBA-423F-9594-4F73FB41C914}"/>
  </w:font>
  <w:font w:name="楷体_GB2312">
    <w:panose1 w:val="02010609030101010101"/>
    <w:charset w:val="86"/>
    <w:family w:val="auto"/>
    <w:pitch w:val="default"/>
    <w:sig w:usb0="00000001" w:usb1="080E0000" w:usb2="00000000" w:usb3="00000000" w:csb0="00040000" w:csb1="00000000"/>
    <w:embedRegular r:id="rId4" w:fontKey="{DDA86D45-1751-4D29-87A3-D500C40156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YTMxOGM4ZmZlZGNhOWYyMTgxZDZkMzVkY2ZiNjMifQ=="/>
  </w:docVars>
  <w:rsids>
    <w:rsidRoot w:val="00000000"/>
    <w:rsid w:val="06967786"/>
    <w:rsid w:val="0B8B34D2"/>
    <w:rsid w:val="0CE90963"/>
    <w:rsid w:val="16A5701F"/>
    <w:rsid w:val="179939C4"/>
    <w:rsid w:val="1B680943"/>
    <w:rsid w:val="1EB01AB5"/>
    <w:rsid w:val="25D971A5"/>
    <w:rsid w:val="28FB28A1"/>
    <w:rsid w:val="2B6F5C53"/>
    <w:rsid w:val="316B1911"/>
    <w:rsid w:val="3B7235DF"/>
    <w:rsid w:val="3F5F0ADC"/>
    <w:rsid w:val="420A72A1"/>
    <w:rsid w:val="436C4E19"/>
    <w:rsid w:val="47602729"/>
    <w:rsid w:val="480C2BDB"/>
    <w:rsid w:val="49900E76"/>
    <w:rsid w:val="4D892A45"/>
    <w:rsid w:val="4EDA72D1"/>
    <w:rsid w:val="509D6459"/>
    <w:rsid w:val="5186674D"/>
    <w:rsid w:val="57B950FD"/>
    <w:rsid w:val="57EC6773"/>
    <w:rsid w:val="5CFD1C47"/>
    <w:rsid w:val="5FF75CFA"/>
    <w:rsid w:val="639A0067"/>
    <w:rsid w:val="67935B91"/>
    <w:rsid w:val="70B126D0"/>
    <w:rsid w:val="7605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1852</Words>
  <Characters>1955</Characters>
  <Lines>0</Lines>
  <Paragraphs>0</Paragraphs>
  <TotalTime>113</TotalTime>
  <ScaleCrop>false</ScaleCrop>
  <LinksUpToDate>false</LinksUpToDate>
  <CharactersWithSpaces>1961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2024-01-19T06:43:00Z</dcterms:created>
  <dc:creator>Admin</dc:creator>
  <cp:lastModifiedBy>.</cp:lastModifiedBy>
  <dcterms:modified xsi:type="dcterms:W3CDTF">2025-01-24T02:02:01Z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ECF88F677BC14D94B91BA763FFABB2DB_13</vt:lpwstr>
  </property>
  <property fmtid="{D5CDD505-2E9C-101B-9397-08002B2CF9AE}" pid="4" name="KSOTemplateDocerSaveRecord">
    <vt:lpwstr>eyJoZGlkIjoiMjg5MTU0ZmRmMGQ5MWRhZDRkMGIxNzI3NWMwZmQyN2IiLCJ1c2VySWQiOiI1Mzk1ODQ5MjUifQ==</vt:lpwstr>
  </property>
</Properties>
</file>