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right="0"/>
        <w:jc w:val="cente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枣庄高新产业投资集团有限公司2024年政府信息公开工作年度报告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jc w:val="both"/>
        <w:rPr>
          <w:rFonts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sz w:val="31"/>
          <w:szCs w:val="31"/>
          <w:bdr w:val="none" w:color="auto" w:sz="0" w:space="0"/>
          <w:shd w:val="clear" w:fill="FFFFFF"/>
        </w:rPr>
        <w:t>本报告根据《中华人民共和国政府信息公开条例》《中华人民共和国政府信息公开工作年度报告格式》的通知（国办公开办函〔</w:t>
      </w:r>
      <w:r>
        <w:rPr>
          <w:rFonts w:hint="eastAsia" w:ascii="仿宋_GB2312" w:hAnsi="sans-serif" w:eastAsia="仿宋_GB2312" w:cs="仿宋_GB2312"/>
          <w:i w:val="0"/>
          <w:iCs w:val="0"/>
          <w:caps w:val="0"/>
          <w:color w:val="000000"/>
          <w:spacing w:val="0"/>
          <w:sz w:val="31"/>
          <w:szCs w:val="31"/>
          <w:bdr w:val="none" w:color="auto" w:sz="0" w:space="0"/>
          <w:shd w:val="clear" w:fill="FFFFFF"/>
        </w:rPr>
        <w:t>2021〕30号）和省、市、区有关工作要求，由枣庄高新产业投资集团有限公司编制。全文包括2024年政府信息公开工作要点落实情况，主动公开政府信息情况，回应解读情况，依申请公开情况，政府信息公开行政复议、行政诉讼和投诉情况，存在的主要问题及改进措施等。本报告所列数据的统计时限自2024年1月1日至2024年12月31日。本报告全文将在枣庄高新区官网（http://www.zzctp.gov.cn/）“政府信息公开年度报告”专栏公布。如对本报告有疑问，请与枣庄高新产业投资集团综合部联系（联系电话:0632-8652295，电子邮箱:zzgxqcjjt@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bdr w:val="none" w:color="auto" w:sz="0" w:space="0"/>
          <w:shd w:val="clear" w:fill="FFFFFF"/>
        </w:rPr>
        <w:t>一、</w:t>
      </w:r>
      <w:r>
        <w:rPr>
          <w:rFonts w:hint="eastAsia" w:ascii="黑体" w:hAnsi="宋体" w:eastAsia="黑体" w:cs="黑体"/>
          <w:i w:val="0"/>
          <w:iCs w:val="0"/>
          <w:caps w:val="0"/>
          <w:color w:val="000000"/>
          <w:spacing w:val="0"/>
          <w:sz w:val="31"/>
          <w:szCs w:val="31"/>
          <w:bdr w:val="none" w:color="auto" w:sz="0" w:space="0"/>
          <w:shd w:val="clear" w:fill="FFFFFF"/>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2024年，枣庄高新产业投资集团坚持以习近平新时代中国特色社会主义思想为指导，全面贯彻落实党的二十届三中全会精神，不断健全完善政务公开工作制度，持续加大公开力度、拓展公开深度、提高公开精度，助力各项工作高质量发展。现将我单位2024年度政府信息公开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ascii="楷体_GB2312" w:hAnsi="sans-serif" w:eastAsia="楷体_GB2312" w:cs="楷体_GB2312"/>
          <w:i w:val="0"/>
          <w:iCs w:val="0"/>
          <w:caps w:val="0"/>
          <w:color w:val="000000"/>
          <w:spacing w:val="0"/>
          <w:sz w:val="31"/>
          <w:szCs w:val="31"/>
          <w:bdr w:val="none" w:color="auto" w:sz="0" w:space="0"/>
          <w:shd w:val="clear" w:fill="FFFFFF"/>
        </w:rPr>
        <w:t>（一）主动公开工作情况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2024年枣庄高新产业投资集团通过区管委会政府公开网站共发表相关信息80篇，其中法定主动公开内容12篇、产业发展12篇、主导产业25篇、部门信息31篇等。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pPr>
      <w:r>
        <w:drawing>
          <wp:inline distT="0" distB="0" distL="114300" distR="114300">
            <wp:extent cx="4686300" cy="33813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686300" cy="3381375"/>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rPr>
          <w:rFonts w:hint="default"/>
        </w:rPr>
      </w:pPr>
      <w:r>
        <w:drawing>
          <wp:inline distT="0" distB="0" distL="114300" distR="114300">
            <wp:extent cx="5029200" cy="33528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029200" cy="335280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bdr w:val="none" w:color="auto" w:sz="0" w:space="0"/>
          <w:shd w:val="clear" w:fill="FFFFFF"/>
        </w:rPr>
        <w:t>（二）依申请公开办理情况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1.收到和处理政府信息公开申请情况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eastAsia" w:ascii="仿宋_GB2312" w:hAnsi="sans-serif" w:eastAsia="仿宋_GB2312" w:cs="仿宋_GB2312"/>
          <w:i w:val="0"/>
          <w:iCs w:val="0"/>
          <w:caps w:val="0"/>
          <w:color w:val="000000"/>
          <w:spacing w:val="0"/>
          <w:sz w:val="31"/>
          <w:szCs w:val="31"/>
          <w:bdr w:val="none" w:color="auto" w:sz="0" w:space="0"/>
          <w:shd w:val="clear" w:fill="FFFFFF"/>
          <w:lang w:val="en-US" w:eastAsia="zh-CN"/>
        </w:rPr>
      </w:pPr>
      <w:r>
        <w:rPr>
          <w:rFonts w:hint="eastAsia" w:ascii="仿宋_GB2312" w:hAnsi="sans-serif" w:eastAsia="仿宋_GB2312" w:cs="仿宋_GB2312"/>
          <w:i w:val="0"/>
          <w:iCs w:val="0"/>
          <w:caps w:val="0"/>
          <w:color w:val="000000"/>
          <w:spacing w:val="0"/>
          <w:sz w:val="31"/>
          <w:szCs w:val="31"/>
          <w:bdr w:val="none" w:color="auto" w:sz="0" w:space="0"/>
          <w:shd w:val="clear" w:fill="FFFFFF"/>
        </w:rPr>
        <w:t>枣庄高新</w:t>
      </w:r>
      <w:r>
        <w:rPr>
          <w:rFonts w:hint="eastAsia" w:ascii="仿宋_GB2312" w:hAnsi="sans-serif" w:eastAsia="仿宋_GB2312" w:cs="仿宋_GB2312"/>
          <w:i w:val="0"/>
          <w:iCs w:val="0"/>
          <w:caps w:val="0"/>
          <w:color w:val="000000"/>
          <w:spacing w:val="0"/>
          <w:sz w:val="31"/>
          <w:szCs w:val="31"/>
          <w:bdr w:val="none" w:color="auto" w:sz="0" w:space="0"/>
          <w:shd w:val="clear" w:fill="FFFFFF"/>
          <w:lang w:eastAsia="zh-CN"/>
        </w:rPr>
        <w:t>产业投资集团</w:t>
      </w:r>
      <w:r>
        <w:rPr>
          <w:rFonts w:hint="eastAsia" w:ascii="仿宋_GB2312" w:hAnsi="sans-serif" w:eastAsia="仿宋_GB2312" w:cs="仿宋_GB2312"/>
          <w:i w:val="0"/>
          <w:iCs w:val="0"/>
          <w:caps w:val="0"/>
          <w:color w:val="000000"/>
          <w:spacing w:val="0"/>
          <w:sz w:val="31"/>
          <w:szCs w:val="31"/>
          <w:bdr w:val="none" w:color="auto" w:sz="0" w:space="0"/>
          <w:shd w:val="clear" w:fill="FFFFFF"/>
        </w:rPr>
        <w:t>认真执行《中华人民共和国政府信息公开条例》，严格规范依申请公开办理流程，加强政府信息依申请公开事项办理标准化规范化建设</w:t>
      </w:r>
      <w:r>
        <w:rPr>
          <w:rFonts w:hint="eastAsia" w:ascii="仿宋_GB2312" w:hAnsi="sans-serif" w:eastAsia="仿宋_GB2312" w:cs="仿宋_GB2312"/>
          <w:i w:val="0"/>
          <w:iCs w:val="0"/>
          <w:caps w:val="0"/>
          <w:color w:val="000000"/>
          <w:spacing w:val="0"/>
          <w:sz w:val="31"/>
          <w:szCs w:val="31"/>
          <w:bdr w:val="none" w:color="auto" w:sz="0" w:space="0"/>
          <w:shd w:val="clear" w:fill="FFFFFF"/>
          <w:lang w:eastAsia="zh-CN"/>
        </w:rPr>
        <w:t>，</w:t>
      </w:r>
      <w:r>
        <w:rPr>
          <w:rFonts w:hint="eastAsia" w:ascii="仿宋_GB2312" w:hAnsi="sans-serif" w:eastAsia="仿宋_GB2312" w:cs="仿宋_GB2312"/>
          <w:i w:val="0"/>
          <w:iCs w:val="0"/>
          <w:caps w:val="0"/>
          <w:color w:val="000000"/>
          <w:spacing w:val="0"/>
          <w:sz w:val="31"/>
          <w:szCs w:val="31"/>
          <w:bdr w:val="none" w:color="auto" w:sz="0" w:space="0"/>
          <w:shd w:val="clear" w:fill="FFFFFF"/>
        </w:rPr>
        <w:t>2024年收到申请数0件</w:t>
      </w:r>
      <w:r>
        <w:rPr>
          <w:rFonts w:hint="eastAsia" w:ascii="仿宋_GB2312" w:hAnsi="sans-serif" w:eastAsia="仿宋_GB2312" w:cs="仿宋_GB2312"/>
          <w:i w:val="0"/>
          <w:iCs w:val="0"/>
          <w:caps w:val="0"/>
          <w:color w:val="000000"/>
          <w:spacing w:val="0"/>
          <w:sz w:val="31"/>
          <w:szCs w:val="31"/>
          <w:bdr w:val="none" w:color="auto" w:sz="0" w:space="0"/>
          <w:shd w:val="clear" w:fill="FFFFFF"/>
          <w:lang w:eastAsia="zh-CN"/>
        </w:rPr>
        <w:t>，与</w:t>
      </w:r>
      <w:r>
        <w:rPr>
          <w:rFonts w:hint="eastAsia" w:ascii="仿宋_GB2312" w:hAnsi="sans-serif" w:eastAsia="仿宋_GB2312" w:cs="仿宋_GB2312"/>
          <w:i w:val="0"/>
          <w:iCs w:val="0"/>
          <w:caps w:val="0"/>
          <w:color w:val="000000"/>
          <w:spacing w:val="0"/>
          <w:sz w:val="31"/>
          <w:szCs w:val="31"/>
          <w:bdr w:val="none" w:color="auto" w:sz="0" w:space="0"/>
          <w:shd w:val="clear" w:fill="FFFFFF"/>
          <w:lang w:val="en-US" w:eastAsia="zh-CN"/>
        </w:rPr>
        <w:t>2023年相比不变。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仿宋_GB2312" w:hAnsi="sans-serif" w:eastAsia="仿宋_GB2312" w:cs="仿宋_GB2312"/>
          <w:i w:val="0"/>
          <w:iCs w:val="0"/>
          <w:caps w:val="0"/>
          <w:color w:val="000000"/>
          <w:spacing w:val="0"/>
          <w:sz w:val="31"/>
          <w:szCs w:val="31"/>
          <w:bdr w:val="none" w:color="auto" w:sz="0" w:space="0"/>
          <w:shd w:val="clear" w:fill="FFFFFF"/>
          <w:lang w:val="en-US" w:eastAsia="zh-CN"/>
        </w:rPr>
      </w:pPr>
      <w:r>
        <w:rPr>
          <w:rFonts w:hint="default" w:ascii="仿宋_GB2312" w:hAnsi="sans-serif" w:eastAsia="仿宋_GB2312" w:cs="仿宋_GB2312"/>
          <w:i w:val="0"/>
          <w:iCs w:val="0"/>
          <w:caps w:val="0"/>
          <w:color w:val="000000"/>
          <w:spacing w:val="0"/>
          <w:sz w:val="31"/>
          <w:szCs w:val="31"/>
          <w:bdr w:val="none" w:color="auto" w:sz="0" w:space="0"/>
          <w:shd w:val="clear" w:fill="FFFFFF"/>
          <w:lang w:val="en-US" w:eastAsia="zh-CN"/>
        </w:rPr>
        <w:t>收费和减免情况:根据财政部、国家发展改革委联合印发的《关于清理规范一批行政事业性收费有关政策的通知》规定，本年度依申请公开政府信息未收取任何费用，包括:检索费、复制费(含案卷材料复制费)、邮寄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2.政府信息公开行政复议、行政诉讼情况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2024年，因政府信息公开被申请行政复议0件，因公民、法人和其他组织认为行政机关政府信息公开工作具体行政行为侵犯其合法权益，提起行政诉讼0件。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bdr w:val="none" w:color="auto" w:sz="0" w:space="0"/>
          <w:shd w:val="clear" w:fill="FFFFFF"/>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对照《政府信息公开条例》要求，完善信息公开工作流程，安排专人专岗负责政务信息审核、发布、更新、管理工作，保障公开信息的准确性。高新产业投资综合管理部是信息公开工作的主管部门，负责推进、指导、协调、监督单位信息公开工作。配备专职人员1人，每月按照要求报送政务公开信息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bdr w:val="none" w:color="auto" w:sz="0" w:space="0"/>
          <w:shd w:val="clear" w:fill="FFFFFF"/>
        </w:rPr>
        <w:t>（四）政府信息公开平台建设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枣庄高新产业投资集团依托区管委会政府公开网站，严格按照信息公开要求，统一进行年报、公开指南、规划计划等法定公开内容的上传及管理，设立通知公告、部门信息、政民互动、产业发展、招商引资等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bdr w:val="none" w:color="auto" w:sz="0" w:space="0"/>
          <w:shd w:val="clear" w:fill="FFFFFF"/>
        </w:rPr>
        <w:t>（五）监督保障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印制下发《关于成立高新产业投资政务公开工作领导小组的通知》，下设办公室，严格实行领导责任制和目标管理责任制。全面加强政务公开工作培训，制定年度政务公开工作培训计划，并严格按计划进行业务培训，全面提升政务公开人员的业务能力和专业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05" w:lineRule="atLeast"/>
        <w:ind w:left="0" w:righ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二、主动公开政府信息情况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2955"/>
        <w:gridCol w:w="1290"/>
        <w:gridCol w:w="1335"/>
        <w:gridCol w:w="25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8130"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信息内容</w:t>
            </w:r>
          </w:p>
        </w:tc>
        <w:tc>
          <w:tcPr>
            <w:tcW w:w="1290" w:type="dxa"/>
            <w:tcBorders>
              <w:top w:val="outset" w:color="auto" w:sz="6" w:space="0"/>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本年制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4"/>
                <w:szCs w:val="24"/>
                <w:bdr w:val="none" w:color="auto" w:sz="0" w:space="0"/>
              </w:rPr>
              <w:t>发件数</w:t>
            </w:r>
          </w:p>
        </w:tc>
        <w:tc>
          <w:tcPr>
            <w:tcW w:w="1335" w:type="dxa"/>
            <w:tcBorders>
              <w:top w:val="outset" w:color="auto" w:sz="6" w:space="0"/>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本年废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4"/>
                <w:szCs w:val="24"/>
                <w:bdr w:val="none" w:color="auto" w:sz="0" w:space="0"/>
              </w:rPr>
              <w:t>止件数</w:t>
            </w:r>
          </w:p>
        </w:tc>
        <w:tc>
          <w:tcPr>
            <w:tcW w:w="2550" w:type="dxa"/>
            <w:tcBorders>
              <w:top w:val="outset" w:color="auto" w:sz="6" w:space="0"/>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jc w:val="center"/>
        </w:trPr>
        <w:tc>
          <w:tcPr>
            <w:tcW w:w="2955" w:type="dxa"/>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规章</w:t>
            </w:r>
          </w:p>
        </w:tc>
        <w:tc>
          <w:tcPr>
            <w:tcW w:w="1290" w:type="dxa"/>
            <w:tcBorders>
              <w:top w:val="nil"/>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0</w:t>
            </w:r>
          </w:p>
        </w:tc>
        <w:tc>
          <w:tcPr>
            <w:tcW w:w="1335" w:type="dxa"/>
            <w:tcBorders>
              <w:top w:val="nil"/>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0</w:t>
            </w:r>
          </w:p>
        </w:tc>
        <w:tc>
          <w:tcPr>
            <w:tcW w:w="2550" w:type="dxa"/>
            <w:tcBorders>
              <w:top w:val="nil"/>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行政规范性文件</w:t>
            </w:r>
          </w:p>
        </w:tc>
        <w:tc>
          <w:tcPr>
            <w:tcW w:w="1290" w:type="dxa"/>
            <w:tcBorders>
              <w:top w:val="nil"/>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0</w:t>
            </w:r>
          </w:p>
        </w:tc>
        <w:tc>
          <w:tcPr>
            <w:tcW w:w="1335" w:type="dxa"/>
            <w:tcBorders>
              <w:top w:val="nil"/>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0</w:t>
            </w:r>
          </w:p>
        </w:tc>
        <w:tc>
          <w:tcPr>
            <w:tcW w:w="2550" w:type="dxa"/>
            <w:tcBorders>
              <w:top w:val="nil"/>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信息内容</w:t>
            </w:r>
          </w:p>
        </w:tc>
        <w:tc>
          <w:tcPr>
            <w:tcW w:w="5175" w:type="dxa"/>
            <w:gridSpan w:val="3"/>
            <w:tcBorders>
              <w:top w:val="outset" w:color="auto" w:sz="6" w:space="0"/>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行政许可</w:t>
            </w:r>
          </w:p>
        </w:tc>
        <w:tc>
          <w:tcPr>
            <w:tcW w:w="5175" w:type="dxa"/>
            <w:gridSpan w:val="3"/>
            <w:tcBorders>
              <w:top w:val="nil"/>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信息内容</w:t>
            </w:r>
          </w:p>
        </w:tc>
        <w:tc>
          <w:tcPr>
            <w:tcW w:w="5175" w:type="dxa"/>
            <w:gridSpan w:val="3"/>
            <w:tcBorders>
              <w:top w:val="outset" w:color="auto" w:sz="6" w:space="0"/>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行政处罚</w:t>
            </w:r>
          </w:p>
        </w:tc>
        <w:tc>
          <w:tcPr>
            <w:tcW w:w="5175" w:type="dxa"/>
            <w:gridSpan w:val="3"/>
            <w:tcBorders>
              <w:top w:val="nil"/>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行政强制</w:t>
            </w:r>
          </w:p>
        </w:tc>
        <w:tc>
          <w:tcPr>
            <w:tcW w:w="5175" w:type="dxa"/>
            <w:gridSpan w:val="3"/>
            <w:tcBorders>
              <w:top w:val="nil"/>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sz w:val="24"/>
                <w:szCs w:val="24"/>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8130" w:type="dxa"/>
            <w:gridSpan w:val="4"/>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55" w:type="dxa"/>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信息内容</w:t>
            </w:r>
          </w:p>
        </w:tc>
        <w:tc>
          <w:tcPr>
            <w:tcW w:w="5175" w:type="dxa"/>
            <w:gridSpan w:val="3"/>
            <w:tcBorders>
              <w:top w:val="outset" w:color="auto" w:sz="6" w:space="0"/>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25" w:hRule="atLeast"/>
          <w:jc w:val="center"/>
        </w:trPr>
        <w:tc>
          <w:tcPr>
            <w:tcW w:w="2955" w:type="dxa"/>
            <w:tcBorders>
              <w:top w:val="nil"/>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4"/>
                <w:szCs w:val="24"/>
                <w:bdr w:val="none" w:color="auto" w:sz="0" w:space="0"/>
              </w:rPr>
              <w:t>行政事业性收费</w:t>
            </w:r>
          </w:p>
        </w:tc>
        <w:tc>
          <w:tcPr>
            <w:tcW w:w="5175" w:type="dxa"/>
            <w:gridSpan w:val="3"/>
            <w:tcBorders>
              <w:top w:val="nil"/>
              <w:left w:val="nil"/>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4"/>
                <w:szCs w:val="24"/>
                <w:bdr w:val="none" w:color="auto" w:sz="0" w:space="0"/>
              </w:rPr>
              <w:t>0</w:t>
            </w:r>
          </w:p>
        </w:tc>
      </w:tr>
    </w:tbl>
    <w:p>
      <w:pPr>
        <w:keepNext w:val="0"/>
        <w:keepLines w:val="0"/>
        <w:widowControl/>
        <w:suppressLineNumbers w:val="0"/>
        <w:pBdr>
          <w:right w:val="none" w:color="auto" w:sz="0" w:space="0"/>
        </w:pBdr>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kern w:val="0"/>
          <w:sz w:val="31"/>
          <w:szCs w:val="3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三、收到和处理政府信息公开申请情况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630"/>
        <w:gridCol w:w="840"/>
        <w:gridCol w:w="2659"/>
        <w:gridCol w:w="539"/>
        <w:gridCol w:w="554"/>
        <w:gridCol w:w="554"/>
        <w:gridCol w:w="703"/>
        <w:gridCol w:w="674"/>
        <w:gridCol w:w="554"/>
        <w:gridCol w:w="8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20" w:hRule="atLeast"/>
          <w:jc w:val="center"/>
        </w:trPr>
        <w:tc>
          <w:tcPr>
            <w:tcW w:w="414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585" w:lineRule="atLeast"/>
              <w:ind w:left="0" w:right="0"/>
              <w:jc w:val="center"/>
            </w:pPr>
            <w:r>
              <w:rPr>
                <w:rFonts w:ascii="楷体" w:hAnsi="楷体" w:eastAsia="楷体" w:cs="楷体"/>
                <w:sz w:val="21"/>
                <w:szCs w:val="21"/>
                <w:bdr w:val="none" w:color="auto" w:sz="0" w:space="0"/>
              </w:rPr>
              <w:t>（本列数据的勾稽关系为：第一项加第二项之和，等于第三项加第四项之和）</w:t>
            </w:r>
          </w:p>
        </w:tc>
        <w:tc>
          <w:tcPr>
            <w:tcW w:w="438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20" w:hRule="atLeast"/>
          <w:jc w:val="center"/>
        </w:trPr>
        <w:tc>
          <w:tcPr>
            <w:tcW w:w="414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自然人</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法人或其他组织</w:t>
            </w:r>
          </w:p>
        </w:tc>
        <w:tc>
          <w:tcPr>
            <w:tcW w:w="81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720" w:hRule="atLeast"/>
          <w:jc w:val="center"/>
        </w:trPr>
        <w:tc>
          <w:tcPr>
            <w:tcW w:w="414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商业企业</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科研机构</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社会公益组织</w:t>
            </w:r>
          </w:p>
        </w:tc>
        <w:tc>
          <w:tcPr>
            <w:tcW w:w="6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法律服务机构</w:t>
            </w:r>
          </w:p>
        </w:tc>
        <w:tc>
          <w:tcPr>
            <w:tcW w:w="5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其他</w:t>
            </w:r>
          </w:p>
        </w:tc>
        <w:tc>
          <w:tcPr>
            <w:tcW w:w="81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0" w:hRule="atLeast"/>
          <w:jc w:val="center"/>
        </w:trPr>
        <w:tc>
          <w:tcPr>
            <w:tcW w:w="414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一、</w:t>
            </w:r>
            <w:r>
              <w:rPr>
                <w:rFonts w:hint="eastAsia" w:ascii="黑体" w:hAnsi="宋体" w:eastAsia="黑体" w:cs="黑体"/>
                <w:color w:val="333333"/>
                <w:sz w:val="21"/>
                <w:szCs w:val="21"/>
                <w:bdr w:val="none" w:color="auto" w:sz="0" w:space="0"/>
              </w:rPr>
              <w:t>本年新收政府信息公开申请数量</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15" w:hRule="atLeast"/>
          <w:jc w:val="center"/>
        </w:trPr>
        <w:tc>
          <w:tcPr>
            <w:tcW w:w="414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二、上年结转政府信息公开申请数量</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3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三、本年度办理结果</w:t>
            </w:r>
          </w:p>
        </w:tc>
        <w:tc>
          <w:tcPr>
            <w:tcW w:w="351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（一）予以公开</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51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（二）部分公开（</w:t>
            </w:r>
            <w:r>
              <w:rPr>
                <w:rFonts w:hint="eastAsia" w:ascii="黑体" w:hAnsi="宋体" w:eastAsia="黑体" w:cs="黑体"/>
                <w:color w:val="333333"/>
                <w:sz w:val="21"/>
                <w:szCs w:val="21"/>
                <w:bdr w:val="none" w:color="auto" w:sz="0" w:space="0"/>
              </w:rPr>
              <w:t>区分处理的，只计这一情形，不计其他情形</w:t>
            </w:r>
            <w:r>
              <w:rPr>
                <w:rFonts w:hint="eastAsia" w:ascii="黑体" w:hAnsi="宋体" w:eastAsia="黑体" w:cs="黑体"/>
                <w:sz w:val="21"/>
                <w:szCs w:val="21"/>
                <w:bdr w:val="none" w:color="auto" w:sz="0" w:space="0"/>
              </w:rPr>
              <w:t>）</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（三）不予公开</w:t>
            </w: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1.属于国家秘密</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2.</w:t>
            </w:r>
            <w:r>
              <w:rPr>
                <w:rFonts w:hint="eastAsia" w:ascii="仿宋_GB2312" w:eastAsia="仿宋_GB2312" w:cs="仿宋_GB2312"/>
                <w:color w:val="333333"/>
                <w:sz w:val="21"/>
                <w:szCs w:val="21"/>
                <w:bdr w:val="none" w:color="auto" w:sz="0" w:space="0"/>
              </w:rPr>
              <w:t>其他法律行政法规禁止公开</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3.危及“三安全一稳定”</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4.</w:t>
            </w:r>
            <w:r>
              <w:rPr>
                <w:rFonts w:hint="eastAsia" w:ascii="仿宋_GB2312" w:eastAsia="仿宋_GB2312" w:cs="仿宋_GB2312"/>
                <w:color w:val="333333"/>
                <w:sz w:val="21"/>
                <w:szCs w:val="21"/>
                <w:bdr w:val="none" w:color="auto" w:sz="0" w:space="0"/>
              </w:rPr>
              <w:t>保护第三方合法权益</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5.属于三类内部事务信息</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6.</w:t>
            </w:r>
            <w:r>
              <w:rPr>
                <w:rFonts w:hint="eastAsia" w:ascii="仿宋_GB2312" w:eastAsia="仿宋_GB2312" w:cs="仿宋_GB2312"/>
                <w:color w:val="333333"/>
                <w:sz w:val="21"/>
                <w:szCs w:val="21"/>
                <w:bdr w:val="none" w:color="auto" w:sz="0" w:space="0"/>
              </w:rPr>
              <w:t>属于四类过程性信息</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7.属于行政执法案卷</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8.</w:t>
            </w:r>
            <w:r>
              <w:rPr>
                <w:rFonts w:hint="eastAsia" w:ascii="仿宋_GB2312" w:eastAsia="仿宋_GB2312" w:cs="仿宋_GB2312"/>
                <w:color w:val="333333"/>
                <w:sz w:val="21"/>
                <w:szCs w:val="21"/>
                <w:bdr w:val="none" w:color="auto" w:sz="0" w:space="0"/>
              </w:rPr>
              <w:t>属于行政查询事项</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（四）无法提供</w:t>
            </w: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1.本机关不掌握相关政府信息</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2.</w:t>
            </w:r>
            <w:r>
              <w:rPr>
                <w:rFonts w:hint="eastAsia" w:ascii="仿宋_GB2312" w:eastAsia="仿宋_GB2312" w:cs="仿宋_GB2312"/>
                <w:color w:val="333333"/>
                <w:sz w:val="21"/>
                <w:szCs w:val="21"/>
                <w:bdr w:val="none" w:color="auto" w:sz="0" w:space="0"/>
              </w:rPr>
              <w:t>没有现成信息需要另行制作</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3.</w:t>
            </w:r>
            <w:r>
              <w:rPr>
                <w:rFonts w:hint="eastAsia" w:ascii="仿宋_GB2312" w:eastAsia="仿宋_GB2312" w:cs="仿宋_GB2312"/>
                <w:color w:val="333333"/>
                <w:sz w:val="21"/>
                <w:szCs w:val="21"/>
                <w:bdr w:val="none" w:color="auto" w:sz="0" w:space="0"/>
              </w:rPr>
              <w:t>补正后申请内容仍不明确</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（五）不予处理</w:t>
            </w: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1.</w:t>
            </w:r>
            <w:r>
              <w:rPr>
                <w:rFonts w:hint="eastAsia" w:ascii="仿宋_GB2312" w:eastAsia="仿宋_GB2312" w:cs="仿宋_GB2312"/>
                <w:color w:val="333333"/>
                <w:sz w:val="21"/>
                <w:szCs w:val="21"/>
                <w:bdr w:val="none" w:color="auto" w:sz="0" w:space="0"/>
              </w:rPr>
              <w:t>信访举报投诉类申请</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2.重复申请</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5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3.要求提供公开出版物</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90" w:hRule="atLeast"/>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4.无正当理由大量反复申请</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5.要求行政机关确认或重新出具已获取信息</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（六）其他处理</w:t>
            </w:r>
          </w:p>
        </w:tc>
        <w:tc>
          <w:tcPr>
            <w:tcW w:w="267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1.申请人无正当理由逾期不补正、行政机关不再处理其政府信息公开申请</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2.申请人逾期未按收费通知要求缴纳费用、行政机关不再处理其政府信息公开申请</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67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仿宋_GB2312" w:eastAsia="仿宋_GB2312" w:cs="仿宋_GB2312"/>
                <w:sz w:val="21"/>
                <w:szCs w:val="21"/>
                <w:bdr w:val="none" w:color="auto" w:sz="0" w:space="0"/>
              </w:rPr>
              <w:t>3.其他</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3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351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（七）总计</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40"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21"/>
                <w:szCs w:val="21"/>
                <w:bdr w:val="none" w:color="auto" w:sz="0" w:space="0"/>
              </w:rPr>
              <w:t>四、结转下年度继续办理</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仿宋_GB2312" w:eastAsia="仿宋_GB2312" w:cs="仿宋_GB2312"/>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四、政府信息公开行政复议、行政诉讼情况</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515"/>
        <w:gridCol w:w="570"/>
        <w:gridCol w:w="598"/>
        <w:gridCol w:w="570"/>
        <w:gridCol w:w="418"/>
        <w:gridCol w:w="543"/>
        <w:gridCol w:w="584"/>
        <w:gridCol w:w="584"/>
        <w:gridCol w:w="584"/>
        <w:gridCol w:w="598"/>
        <w:gridCol w:w="584"/>
        <w:gridCol w:w="585"/>
        <w:gridCol w:w="585"/>
        <w:gridCol w:w="585"/>
        <w:gridCol w:w="61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维持</w:t>
            </w:r>
          </w:p>
        </w:tc>
        <w:tc>
          <w:tcPr>
            <w:tcW w:w="58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结果纠正</w:t>
            </w:r>
          </w:p>
        </w:tc>
        <w:tc>
          <w:tcPr>
            <w:tcW w:w="61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其他结果</w:t>
            </w:r>
          </w:p>
        </w:tc>
        <w:tc>
          <w:tcPr>
            <w:tcW w:w="58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审结</w:t>
            </w:r>
          </w:p>
        </w:tc>
        <w:tc>
          <w:tcPr>
            <w:tcW w:w="42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color w:val="333333"/>
                <w:sz w:val="19"/>
                <w:szCs w:val="19"/>
                <w:bdr w:val="none" w:color="auto" w:sz="0" w:space="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8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1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4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pPr>
            <w:r>
              <w:rPr>
                <w:rFonts w:hint="eastAsia" w:ascii="黑体" w:hAnsi="宋体" w:eastAsia="黑体" w:cs="黑体"/>
                <w:sz w:val="19"/>
                <w:szCs w:val="19"/>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五、政府信息公开工作存在的主要问题及改进情况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ascii="PingFang-SC-Regular" w:hAnsi="PingFang-SC-Regular" w:eastAsia="PingFang-SC-Regular" w:cs="PingFang-SC-Regular"/>
        </w:rPr>
      </w:pPr>
      <w:r>
        <w:rPr>
          <w:rFonts w:hint="eastAsia" w:ascii="楷体_GB2312" w:hAnsi="sans-serif" w:eastAsia="楷体_GB2312" w:cs="楷体_GB2312"/>
          <w:i w:val="0"/>
          <w:iCs w:val="0"/>
          <w:caps w:val="0"/>
          <w:color w:val="000000"/>
          <w:spacing w:val="0"/>
          <w:sz w:val="31"/>
          <w:szCs w:val="31"/>
          <w:bdr w:val="none" w:color="auto" w:sz="0" w:space="0"/>
          <w:shd w:val="clear" w:fill="FFFFFF"/>
        </w:rPr>
        <w:t>1.存在的主要问题</w:t>
      </w:r>
    </w:p>
    <w:p>
      <w:pPr>
        <w:pStyle w:val="2"/>
        <w:keepNext w:val="0"/>
        <w:keepLines w:val="0"/>
        <w:widowControl/>
        <w:suppressLineNumbers w:val="0"/>
        <w:spacing w:line="315" w:lineRule="atLeast"/>
        <w:ind w:left="-150"/>
        <w:rPr>
          <w:rFonts w:hint="default" w:ascii="PingFang-SC-Regular" w:hAnsi="PingFang-SC-Regular" w:eastAsia="PingFang-SC-Regular" w:cs="PingFang-SC-Regular"/>
        </w:rPr>
      </w:pPr>
      <w:r>
        <w:rPr>
          <w:rFonts w:hint="eastAsia" w:ascii="仿宋_GB2312" w:hAnsi="PingFang-SC-Regular" w:eastAsia="仿宋_GB2312" w:cs="仿宋_GB2312"/>
          <w:i w:val="0"/>
          <w:iCs w:val="0"/>
          <w:caps w:val="0"/>
          <w:color w:val="05073B"/>
          <w:spacing w:val="0"/>
          <w:sz w:val="31"/>
          <w:szCs w:val="31"/>
          <w:bdr w:val="none" w:color="auto" w:sz="0" w:space="0"/>
          <w:shd w:val="clear" w:fill="FDFDFE"/>
        </w:rPr>
        <w:t> </w:t>
      </w:r>
      <w:r>
        <w:rPr>
          <w:rFonts w:hint="eastAsia" w:ascii="仿宋_GB2312" w:hAnsi="PingFang-SC-Regular" w:eastAsia="仿宋_GB2312" w:cs="仿宋_GB2312"/>
          <w:i w:val="0"/>
          <w:iCs w:val="0"/>
          <w:caps w:val="0"/>
          <w:color w:val="000000"/>
          <w:spacing w:val="0"/>
          <w:sz w:val="31"/>
          <w:szCs w:val="31"/>
          <w:bdr w:val="none" w:color="auto" w:sz="0" w:space="0"/>
          <w:shd w:val="clear" w:fill="FDFDFE"/>
        </w:rPr>
        <w:t> 部分政府信息公开的内容过于表面化、形式化，缺乏深度和实质性</w:t>
      </w:r>
      <w:r>
        <w:rPr>
          <w:rFonts w:hint="eastAsia" w:ascii="仿宋_GB2312" w:hAnsi="PingFang-SC-Regular" w:eastAsia="仿宋_GB2312" w:cs="仿宋_GB2312"/>
          <w:i w:val="0"/>
          <w:iCs w:val="0"/>
          <w:caps w:val="0"/>
          <w:color w:val="000000"/>
          <w:spacing w:val="0"/>
          <w:sz w:val="31"/>
          <w:szCs w:val="31"/>
          <w:bdr w:val="none" w:color="auto" w:sz="0" w:space="0"/>
          <w:shd w:val="clear" w:fill="FDFDFE"/>
          <w:lang w:eastAsia="zh-CN"/>
        </w:rPr>
        <w:t>。</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bdr w:val="none" w:color="auto" w:sz="0" w:space="0"/>
          <w:shd w:val="clear" w:fill="FFFFFF"/>
        </w:rPr>
        <w:t>2.改进情况</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    加大公开力度和范围。</w:t>
      </w:r>
      <w:r>
        <w:rPr>
          <w:rFonts w:hint="eastAsia" w:ascii="仿宋_GB2312" w:hAnsi="sans-serif" w:eastAsia="仿宋_GB2312" w:cs="仿宋_GB2312"/>
          <w:i w:val="0"/>
          <w:iCs w:val="0"/>
          <w:caps w:val="0"/>
          <w:color w:val="000000"/>
          <w:spacing w:val="0"/>
          <w:sz w:val="31"/>
          <w:szCs w:val="31"/>
        </w:rPr>
        <w:t>围绕保障和改善民生工作的主题，抓好群众关注热点问题的公开。主动回应社会关切，认真做好主动公开工作，确保公众能够及时获取所需信息。逐步扩大信息公开的范围和深度，将更多与公众切身利益相关的信息纳入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（一）本年度政府信息公开申请未达到《政府信息公开信息处理费管理办法》（国办函〔2020〕109号）所规定的信息处理费收费标准，故未收取信息处理费。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bdr w:val="none" w:color="auto" w:sz="0" w:space="0"/>
          <w:shd w:val="clear" w:fill="FFFFFF"/>
        </w:rPr>
        <w:t>（二）落实上级政务公开重点工作情况。根据《2024年山东省政务公开效能监测实施方案》结合高新产业投资实际，制作主动公开基本目录清单等工作，并及时更新部门信息、产业发展、重点项目等各类信息，促进我单位政务公开工作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（三）2024年全年接到市人大常委会交办的人大代表建议办理工作0件，收到市政协十一届三次会议提案0件。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15" w:leftChars="0" w:right="0" w:firstLine="645" w:firstLineChars="0"/>
        <w:rPr>
          <w:rFonts w:hint="eastAsia" w:ascii="仿宋_GB2312" w:hAnsi="sans-serif" w:eastAsia="仿宋_GB2312" w:cs="仿宋_GB2312"/>
          <w:i w:val="0"/>
          <w:iCs w:val="0"/>
          <w:caps w:val="0"/>
          <w:color w:val="000000"/>
          <w:spacing w:val="0"/>
          <w:sz w:val="31"/>
          <w:szCs w:val="31"/>
          <w:highlight w:val="none"/>
          <w:bdr w:val="none" w:color="auto" w:sz="0" w:space="0"/>
          <w:shd w:val="clear" w:fill="FFFFFF"/>
        </w:rPr>
      </w:pPr>
      <w:r>
        <w:rPr>
          <w:rFonts w:hint="eastAsia" w:ascii="仿宋_GB2312" w:hAnsi="sans-serif" w:eastAsia="仿宋_GB2312" w:cs="仿宋_GB2312"/>
          <w:i w:val="0"/>
          <w:iCs w:val="0"/>
          <w:caps w:val="0"/>
          <w:color w:val="000000"/>
          <w:spacing w:val="0"/>
          <w:sz w:val="31"/>
          <w:szCs w:val="31"/>
          <w:highlight w:val="none"/>
          <w:bdr w:val="none" w:color="auto" w:sz="0" w:space="0"/>
          <w:shd w:val="clear" w:fill="FFFFFF"/>
        </w:rPr>
        <w:t>本行政机关年度政务公开工作创新情况。</w:t>
      </w:r>
      <w:r>
        <w:rPr>
          <w:rFonts w:hint="eastAsia" w:ascii="仿宋_GB2312" w:hAnsi="sans-serif" w:eastAsia="仿宋_GB2312" w:cs="仿宋_GB2312"/>
          <w:i w:val="0"/>
          <w:iCs w:val="0"/>
          <w:caps w:val="0"/>
          <w:color w:val="000000"/>
          <w:spacing w:val="0"/>
          <w:sz w:val="31"/>
          <w:szCs w:val="31"/>
          <w:highlight w:val="none"/>
          <w:shd w:val="clear" w:fill="FFFFFF"/>
          <w:lang w:eastAsia="zh-CN"/>
        </w:rPr>
        <w:t>一是</w:t>
      </w:r>
      <w:r>
        <w:rPr>
          <w:rFonts w:hint="eastAsia" w:ascii="仿宋_GB2312" w:hAnsi="sans-serif" w:eastAsia="仿宋_GB2312" w:cs="仿宋_GB2312"/>
          <w:i w:val="0"/>
          <w:iCs w:val="0"/>
          <w:caps w:val="0"/>
          <w:color w:val="000000"/>
          <w:spacing w:val="0"/>
          <w:sz w:val="31"/>
          <w:szCs w:val="31"/>
          <w:highlight w:val="none"/>
          <w:shd w:val="clear" w:fill="FFFFFF"/>
        </w:rPr>
        <w:t>创</w:t>
      </w:r>
      <w:r>
        <w:rPr>
          <w:rFonts w:hint="eastAsia" w:ascii="仿宋_GB2312" w:hAnsi="sans-serif" w:eastAsia="仿宋_GB2312" w:cs="仿宋_GB2312"/>
          <w:i w:val="0"/>
          <w:iCs w:val="0"/>
          <w:caps w:val="0"/>
          <w:color w:val="000000"/>
          <w:spacing w:val="0"/>
          <w:sz w:val="31"/>
          <w:szCs w:val="31"/>
          <w:shd w:val="clear" w:fill="FFFFFF"/>
        </w:rPr>
        <w:t>新</w:t>
      </w:r>
      <w:r>
        <w:rPr>
          <w:rFonts w:hint="eastAsia" w:ascii="仿宋_GB2312" w:hAnsi="sans-serif" w:eastAsia="仿宋_GB2312" w:cs="仿宋_GB2312"/>
          <w:i w:val="0"/>
          <w:iCs w:val="0"/>
          <w:caps w:val="0"/>
          <w:color w:val="000000"/>
          <w:spacing w:val="0"/>
          <w:sz w:val="31"/>
          <w:szCs w:val="31"/>
          <w:highlight w:val="none"/>
          <w:shd w:val="clear" w:fill="FFFFFF"/>
        </w:rPr>
        <w:t>依申请公开相关制度规范，明确依申请公开政府信息查询平台及责任岗位和人员分工，畅通受理渠道。</w:t>
      </w:r>
      <w:r>
        <w:rPr>
          <w:rFonts w:hint="eastAsia" w:ascii="仿宋_GB2312" w:hAnsi="sans-serif" w:eastAsia="仿宋_GB2312" w:cs="仿宋_GB2312"/>
          <w:i w:val="0"/>
          <w:iCs w:val="0"/>
          <w:caps w:val="0"/>
          <w:color w:val="000000"/>
          <w:spacing w:val="0"/>
          <w:sz w:val="31"/>
          <w:szCs w:val="31"/>
          <w:highlight w:val="none"/>
          <w:bdr w:val="none" w:color="auto" w:sz="0" w:space="0"/>
          <w:shd w:val="clear" w:fill="FFFFFF"/>
        </w:rPr>
        <w:t>二是加强政务媒体监管，定期开展网站等媒体排查并完成整改。</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right="0" w:rightChars="0" w:firstLine="630" w:firstLineChars="2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（五）本行政机关政府信息公开工作年度报告数据统计需要说明的事项。本报告中所列数据的统计时限为2024年1月1日至2024年12月31日。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（六）本行政机关认为需要报告的其他事项：无。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    （七）其他有关文件专门要求通过政府信息公开工作年度报告予以报告的事项：无。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A34BE"/>
    <w:multiLevelType w:val="singleLevel"/>
    <w:tmpl w:val="E51A34BE"/>
    <w:lvl w:ilvl="0" w:tentative="0">
      <w:start w:val="4"/>
      <w:numFmt w:val="chineseCounting"/>
      <w:suff w:val="nothing"/>
      <w:lvlText w:val="（%1）"/>
      <w:lvlJc w:val="left"/>
      <w:pPr>
        <w:ind w:left="-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D1805"/>
    <w:rsid w:val="0D0802C8"/>
    <w:rsid w:val="79BD1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2025-01-22T07:53:00Z</dcterms:created>
  <dc:creator>Admin</dc:creator>
  <cp:lastModifiedBy>Admin</cp:lastModifiedBy>
  <dcterms:modified xsi:type="dcterms:W3CDTF">2025-01-22T08:10:47Z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04354DFDF2E7460B96DA09C74A454763</vt:lpwstr>
  </property>
</Properties>
</file>