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7EA84">
      <w:pPr>
        <w:keepNext w:val="0"/>
        <w:keepLines w:val="0"/>
        <w:pageBreakBefore w:val="0"/>
        <w:widowControl/>
        <w:kinsoku w:val="0"/>
        <w:wordWrap/>
        <w:overflowPunct/>
        <w:topLinePunct w:val="0"/>
        <w:autoSpaceDE w:val="0"/>
        <w:autoSpaceDN w:val="0"/>
        <w:bidi w:val="0"/>
        <w:adjustRightInd w:val="0"/>
        <w:snapToGrid w:val="0"/>
        <w:spacing w:line="204" w:lineRule="auto"/>
        <w:ind w:left="0" w:right="0" w:firstLine="0"/>
        <w:jc w:val="center"/>
        <w:textAlignment w:val="baseline"/>
        <w:rPr>
          <w:rFonts w:ascii="方正小标宋简体" w:hAnsi="方正小标宋简体" w:eastAsia="方正小标宋简体" w:cs="方正小标宋简体"/>
          <w:spacing w:val="-19"/>
          <w:sz w:val="43"/>
          <w:szCs w:val="43"/>
        </w:rPr>
      </w:pPr>
    </w:p>
    <w:p w14:paraId="177D36C8">
      <w:pPr>
        <w:keepNext w:val="0"/>
        <w:keepLines w:val="0"/>
        <w:pageBreakBefore w:val="0"/>
        <w:widowControl/>
        <w:kinsoku w:val="0"/>
        <w:wordWrap/>
        <w:overflowPunct/>
        <w:topLinePunct w:val="0"/>
        <w:autoSpaceDE w:val="0"/>
        <w:autoSpaceDN w:val="0"/>
        <w:bidi w:val="0"/>
        <w:adjustRightInd w:val="0"/>
        <w:snapToGrid w:val="0"/>
        <w:spacing w:line="204" w:lineRule="auto"/>
        <w:ind w:left="0" w:right="0" w:firstLine="0"/>
        <w:jc w:val="center"/>
        <w:textAlignment w:val="baseline"/>
        <w:rPr>
          <w:rFonts w:ascii="方正小标宋简体" w:hAnsi="方正小标宋简体" w:eastAsia="方正小标宋简体" w:cs="方正小标宋简体"/>
          <w:spacing w:val="-19"/>
          <w:sz w:val="43"/>
          <w:szCs w:val="43"/>
        </w:rPr>
      </w:pPr>
      <w:r>
        <w:rPr>
          <w:rFonts w:ascii="方正小标宋简体" w:hAnsi="方正小标宋简体" w:eastAsia="方正小标宋简体" w:cs="方正小标宋简体"/>
          <w:spacing w:val="-19"/>
          <w:sz w:val="43"/>
          <w:szCs w:val="43"/>
        </w:rPr>
        <w:t>枣庄</w:t>
      </w:r>
      <w:r>
        <w:rPr>
          <w:rFonts w:hint="eastAsia" w:ascii="方正小标宋简体" w:hAnsi="方正小标宋简体" w:eastAsia="方正小标宋简体" w:cs="方正小标宋简体"/>
          <w:spacing w:val="-19"/>
          <w:sz w:val="43"/>
          <w:szCs w:val="43"/>
          <w:lang w:val="en-US" w:eastAsia="zh-CN"/>
        </w:rPr>
        <w:t>高新新能源产业招商服务有限公司</w:t>
      </w:r>
      <w:r>
        <w:rPr>
          <w:rFonts w:ascii="方正小标宋简体" w:hAnsi="方正小标宋简体" w:eastAsia="方正小标宋简体" w:cs="方正小标宋简体"/>
          <w:spacing w:val="-19"/>
          <w:sz w:val="43"/>
          <w:szCs w:val="43"/>
        </w:rPr>
        <w:t>2024年</w:t>
      </w:r>
    </w:p>
    <w:p w14:paraId="3EA76272">
      <w:pPr>
        <w:keepNext w:val="0"/>
        <w:keepLines w:val="0"/>
        <w:pageBreakBefore w:val="0"/>
        <w:widowControl/>
        <w:kinsoku w:val="0"/>
        <w:wordWrap/>
        <w:overflowPunct/>
        <w:topLinePunct w:val="0"/>
        <w:autoSpaceDE w:val="0"/>
        <w:autoSpaceDN w:val="0"/>
        <w:bidi w:val="0"/>
        <w:adjustRightInd w:val="0"/>
        <w:snapToGrid w:val="0"/>
        <w:spacing w:line="204" w:lineRule="auto"/>
        <w:ind w:left="0" w:right="0" w:firstLine="0"/>
        <w:jc w:val="center"/>
        <w:textAlignment w:val="baseline"/>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9"/>
          <w:sz w:val="43"/>
          <w:szCs w:val="43"/>
        </w:rPr>
        <w:t>政府信息公开工作</w:t>
      </w:r>
      <w:r>
        <w:rPr>
          <w:rFonts w:ascii="方正小标宋简体" w:hAnsi="方正小标宋简体" w:eastAsia="方正小标宋简体" w:cs="方正小标宋简体"/>
          <w:spacing w:val="-1"/>
          <w:sz w:val="43"/>
          <w:szCs w:val="43"/>
        </w:rPr>
        <w:t>年度报告</w:t>
      </w:r>
    </w:p>
    <w:p w14:paraId="7D0A24F1">
      <w:pPr>
        <w:spacing w:line="274" w:lineRule="auto"/>
        <w:rPr>
          <w:rFonts w:ascii="Arial"/>
          <w:sz w:val="21"/>
        </w:rPr>
      </w:pPr>
    </w:p>
    <w:p w14:paraId="546A7AB4">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8" w:firstLineChars="200"/>
        <w:jc w:val="both"/>
        <w:textAlignment w:val="baseline"/>
        <w:rPr>
          <w:rFonts w:hint="eastAsia" w:ascii="仿宋_GB2312" w:hAnsi="仿宋_GB2312" w:eastAsia="仿宋_GB2312" w:cs="仿宋_GB2312"/>
          <w:snapToGrid w:val="0"/>
          <w:color w:val="000000"/>
          <w:spacing w:val="2"/>
          <w:kern w:val="0"/>
          <w:sz w:val="32"/>
          <w:szCs w:val="32"/>
          <w:lang w:val="en-US" w:eastAsia="en-US" w:bidi="ar-SA"/>
        </w:rPr>
      </w:pPr>
      <w:r>
        <w:rPr>
          <w:rFonts w:hint="eastAsia" w:ascii="仿宋_GB2312" w:hAnsi="仿宋_GB2312" w:eastAsia="仿宋_GB2312" w:cs="仿宋_GB2312"/>
          <w:snapToGrid w:val="0"/>
          <w:color w:val="000000"/>
          <w:spacing w:val="2"/>
          <w:kern w:val="0"/>
          <w:sz w:val="32"/>
          <w:szCs w:val="32"/>
          <w:lang w:val="en-US" w:eastAsia="en-US" w:bidi="ar-SA"/>
        </w:rPr>
        <w:t>本报告根据《中华人民共和国政府信息公开条例》《中华人民共和国政府信息公开工作年度报告格式》的通知（国办公开办函〔2021〕30号）和省、市、区有关工作要求，由枣庄</w:t>
      </w:r>
      <w:r>
        <w:rPr>
          <w:rFonts w:hint="eastAsia" w:ascii="仿宋_GB2312" w:hAnsi="仿宋_GB2312" w:eastAsia="仿宋_GB2312" w:cs="仿宋_GB2312"/>
          <w:snapToGrid w:val="0"/>
          <w:color w:val="000000"/>
          <w:spacing w:val="2"/>
          <w:kern w:val="0"/>
          <w:sz w:val="32"/>
          <w:szCs w:val="32"/>
          <w:lang w:val="en-US" w:eastAsia="zh-CN" w:bidi="ar-SA"/>
        </w:rPr>
        <w:t>高新新能源产业招商服务有限</w:t>
      </w:r>
      <w:r>
        <w:rPr>
          <w:rFonts w:hint="eastAsia" w:ascii="仿宋_GB2312" w:hAnsi="仿宋_GB2312" w:eastAsia="仿宋_GB2312" w:cs="仿宋_GB2312"/>
          <w:snapToGrid w:val="0"/>
          <w:color w:val="000000"/>
          <w:spacing w:val="2"/>
          <w:kern w:val="0"/>
          <w:sz w:val="32"/>
          <w:szCs w:val="32"/>
          <w:lang w:val="en-US" w:eastAsia="en-US" w:bidi="ar-SA"/>
        </w:rPr>
        <w:t>公司编制。全文包括202</w:t>
      </w:r>
      <w:r>
        <w:rPr>
          <w:rFonts w:hint="eastAsia" w:ascii="仿宋_GB2312" w:hAnsi="仿宋_GB2312" w:eastAsia="仿宋_GB2312" w:cs="仿宋_GB2312"/>
          <w:snapToGrid w:val="0"/>
          <w:color w:val="000000"/>
          <w:spacing w:val="2"/>
          <w:kern w:val="0"/>
          <w:sz w:val="32"/>
          <w:szCs w:val="32"/>
          <w:lang w:val="en-US" w:eastAsia="zh-CN" w:bidi="ar-SA"/>
        </w:rPr>
        <w:t>4</w:t>
      </w:r>
      <w:r>
        <w:rPr>
          <w:rFonts w:hint="eastAsia" w:ascii="仿宋_GB2312" w:hAnsi="仿宋_GB2312" w:eastAsia="仿宋_GB2312" w:cs="仿宋_GB2312"/>
          <w:snapToGrid w:val="0"/>
          <w:color w:val="000000"/>
          <w:spacing w:val="2"/>
          <w:kern w:val="0"/>
          <w:sz w:val="32"/>
          <w:szCs w:val="32"/>
          <w:lang w:val="en-US" w:eastAsia="en-US" w:bidi="ar-SA"/>
        </w:rPr>
        <w:t>年政府信息公开工作要点落实情况，主动公开政府信息情况，回应解读情况，依申请公开情况，政府信息公开行政复议、行政诉讼和投诉情况，存在的主要问题及改进措施等。本报告所列数据的统计时限自202</w:t>
      </w:r>
      <w:r>
        <w:rPr>
          <w:rFonts w:hint="eastAsia" w:ascii="仿宋_GB2312" w:hAnsi="仿宋_GB2312" w:eastAsia="仿宋_GB2312" w:cs="仿宋_GB2312"/>
          <w:snapToGrid w:val="0"/>
          <w:color w:val="000000"/>
          <w:spacing w:val="2"/>
          <w:kern w:val="0"/>
          <w:sz w:val="32"/>
          <w:szCs w:val="32"/>
          <w:lang w:val="en-US" w:eastAsia="zh-CN" w:bidi="ar-SA"/>
        </w:rPr>
        <w:t>4</w:t>
      </w:r>
      <w:r>
        <w:rPr>
          <w:rFonts w:hint="eastAsia" w:ascii="仿宋_GB2312" w:hAnsi="仿宋_GB2312" w:eastAsia="仿宋_GB2312" w:cs="仿宋_GB2312"/>
          <w:snapToGrid w:val="0"/>
          <w:color w:val="000000"/>
          <w:spacing w:val="2"/>
          <w:kern w:val="0"/>
          <w:sz w:val="32"/>
          <w:szCs w:val="32"/>
          <w:lang w:val="en-US" w:eastAsia="en-US" w:bidi="ar-SA"/>
        </w:rPr>
        <w:t>年1月1日至202</w:t>
      </w:r>
      <w:r>
        <w:rPr>
          <w:rFonts w:hint="eastAsia" w:ascii="仿宋_GB2312" w:hAnsi="仿宋_GB2312" w:eastAsia="仿宋_GB2312" w:cs="仿宋_GB2312"/>
          <w:snapToGrid w:val="0"/>
          <w:color w:val="000000"/>
          <w:spacing w:val="2"/>
          <w:kern w:val="0"/>
          <w:sz w:val="32"/>
          <w:szCs w:val="32"/>
          <w:lang w:val="en-US" w:eastAsia="zh-CN" w:bidi="ar-SA"/>
        </w:rPr>
        <w:t>4</w:t>
      </w:r>
      <w:r>
        <w:rPr>
          <w:rFonts w:hint="eastAsia" w:ascii="仿宋_GB2312" w:hAnsi="仿宋_GB2312" w:eastAsia="仿宋_GB2312" w:cs="仿宋_GB2312"/>
          <w:snapToGrid w:val="0"/>
          <w:color w:val="000000"/>
          <w:spacing w:val="2"/>
          <w:kern w:val="0"/>
          <w:sz w:val="32"/>
          <w:szCs w:val="32"/>
          <w:lang w:val="en-US" w:eastAsia="en-US" w:bidi="ar-SA"/>
        </w:rPr>
        <w:t>年12月31日。本报告全文将在枣庄高新区官网（http://www.zzctp.gov.cn/）</w:t>
      </w:r>
      <w:r>
        <w:rPr>
          <w:rFonts w:hint="eastAsia" w:ascii="仿宋_GB2312" w:hAnsi="仿宋_GB2312" w:eastAsia="仿宋_GB2312" w:cs="仿宋_GB2312"/>
          <w:snapToGrid w:val="0"/>
          <w:color w:val="000000"/>
          <w:spacing w:val="2"/>
          <w:kern w:val="0"/>
          <w:sz w:val="32"/>
          <w:szCs w:val="32"/>
          <w:lang w:val="en-US" w:eastAsia="zh-CN" w:bidi="ar-SA"/>
        </w:rPr>
        <w:t>“</w:t>
      </w:r>
      <w:r>
        <w:rPr>
          <w:rFonts w:hint="eastAsia" w:ascii="仿宋_GB2312" w:hAnsi="仿宋_GB2312" w:eastAsia="仿宋_GB2312" w:cs="仿宋_GB2312"/>
          <w:snapToGrid w:val="0"/>
          <w:color w:val="000000"/>
          <w:spacing w:val="2"/>
          <w:kern w:val="0"/>
          <w:sz w:val="32"/>
          <w:szCs w:val="32"/>
          <w:lang w:val="en-US" w:eastAsia="en-US" w:bidi="ar-SA"/>
        </w:rPr>
        <w:t>政府信息公开年度报告”专栏公布。如对本报告有疑问，请与枣庄高新新能源产业招商服务有限公司综合部联系（联系</w:t>
      </w:r>
      <w:r>
        <w:rPr>
          <w:rFonts w:hint="eastAsia" w:ascii="仿宋_GB2312" w:hAnsi="仿宋_GB2312" w:eastAsia="仿宋_GB2312" w:cs="仿宋_GB2312"/>
          <w:snapToGrid w:val="0"/>
          <w:color w:val="000000"/>
          <w:spacing w:val="2"/>
          <w:kern w:val="0"/>
          <w:sz w:val="32"/>
          <w:szCs w:val="32"/>
          <w:lang w:val="en-US" w:eastAsia="zh-CN" w:bidi="ar-SA"/>
        </w:rPr>
        <w:t>电话</w:t>
      </w:r>
      <w:r>
        <w:rPr>
          <w:rFonts w:hint="eastAsia" w:ascii="仿宋_GB2312" w:hAnsi="仿宋_GB2312" w:eastAsia="仿宋_GB2312" w:cs="仿宋_GB2312"/>
          <w:snapToGrid w:val="0"/>
          <w:color w:val="000000"/>
          <w:spacing w:val="2"/>
          <w:kern w:val="0"/>
          <w:sz w:val="32"/>
          <w:szCs w:val="32"/>
          <w:lang w:val="en-US" w:eastAsia="en-US" w:bidi="ar-SA"/>
        </w:rPr>
        <w:t>:0632-8</w:t>
      </w:r>
      <w:r>
        <w:rPr>
          <w:rFonts w:hint="eastAsia" w:ascii="仿宋_GB2312" w:hAnsi="仿宋_GB2312" w:eastAsia="仿宋_GB2312" w:cs="仿宋_GB2312"/>
          <w:snapToGrid w:val="0"/>
          <w:color w:val="000000"/>
          <w:spacing w:val="2"/>
          <w:kern w:val="0"/>
          <w:sz w:val="32"/>
          <w:szCs w:val="32"/>
          <w:lang w:val="en-US" w:eastAsia="zh-CN" w:bidi="ar-SA"/>
        </w:rPr>
        <w:t>261819</w:t>
      </w:r>
      <w:r>
        <w:rPr>
          <w:rFonts w:hint="eastAsia" w:ascii="仿宋_GB2312" w:hAnsi="仿宋_GB2312" w:eastAsia="仿宋_GB2312" w:cs="仿宋_GB2312"/>
          <w:snapToGrid w:val="0"/>
          <w:color w:val="000000"/>
          <w:spacing w:val="2"/>
          <w:kern w:val="0"/>
          <w:sz w:val="32"/>
          <w:szCs w:val="32"/>
          <w:lang w:val="en-US" w:eastAsia="en-US" w:bidi="ar-SA"/>
        </w:rPr>
        <w:t>，电子邮箱:gxcy</w:t>
      </w:r>
      <w:r>
        <w:rPr>
          <w:rFonts w:hint="eastAsia" w:ascii="仿宋_GB2312" w:hAnsi="仿宋_GB2312" w:eastAsia="仿宋_GB2312" w:cs="仿宋_GB2312"/>
          <w:snapToGrid w:val="0"/>
          <w:color w:val="000000"/>
          <w:spacing w:val="2"/>
          <w:kern w:val="0"/>
          <w:sz w:val="32"/>
          <w:szCs w:val="32"/>
          <w:lang w:val="en-US" w:eastAsia="zh-CN" w:bidi="ar-SA"/>
        </w:rPr>
        <w:t>d</w:t>
      </w:r>
      <w:r>
        <w:rPr>
          <w:rFonts w:hint="eastAsia" w:ascii="仿宋_GB2312" w:hAnsi="仿宋_GB2312" w:eastAsia="仿宋_GB2312" w:cs="仿宋_GB2312"/>
          <w:snapToGrid w:val="0"/>
          <w:color w:val="000000"/>
          <w:spacing w:val="2"/>
          <w:kern w:val="0"/>
          <w:sz w:val="32"/>
          <w:szCs w:val="32"/>
          <w:lang w:val="en-US" w:eastAsia="en-US" w:bidi="ar-SA"/>
        </w:rPr>
        <w:t>q@163.com）。</w:t>
      </w:r>
    </w:p>
    <w:p w14:paraId="2C551DEE">
      <w:pPr>
        <w:spacing w:before="101" w:line="228" w:lineRule="auto"/>
        <w:ind w:left="430" w:firstLine="314" w:firstLineChars="100"/>
        <w:rPr>
          <w:rFonts w:hint="eastAsia" w:ascii="黑体" w:hAnsi="黑体" w:eastAsia="黑体" w:cs="黑体"/>
          <w:sz w:val="32"/>
          <w:szCs w:val="32"/>
        </w:rPr>
      </w:pPr>
      <w:r>
        <w:rPr>
          <w:rFonts w:hint="eastAsia" w:ascii="黑体" w:hAnsi="黑体" w:eastAsia="黑体" w:cs="黑体"/>
          <w:color w:val="333333"/>
          <w:spacing w:val="-3"/>
          <w:sz w:val="32"/>
          <w:szCs w:val="32"/>
        </w:rPr>
        <w:t>一、总体情况</w:t>
      </w:r>
    </w:p>
    <w:p w14:paraId="71E2E391">
      <w:pPr>
        <w:pStyle w:val="2"/>
        <w:keepNext w:val="0"/>
        <w:keepLines w:val="0"/>
        <w:pageBreakBefore w:val="0"/>
        <w:widowControl/>
        <w:kinsoku w:val="0"/>
        <w:wordWrap/>
        <w:overflowPunct/>
        <w:topLinePunct w:val="0"/>
        <w:autoSpaceDE w:val="0"/>
        <w:autoSpaceDN w:val="0"/>
        <w:bidi w:val="0"/>
        <w:adjustRightInd w:val="0"/>
        <w:snapToGrid w:val="0"/>
        <w:spacing w:before="57" w:line="560" w:lineRule="exact"/>
        <w:ind w:right="17" w:firstLine="648" w:firstLineChars="200"/>
        <w:jc w:val="left"/>
        <w:textAlignment w:val="baseline"/>
        <w:rPr>
          <w:rFonts w:hint="eastAsia" w:ascii="仿宋_GB2312" w:hAnsi="仿宋_GB2312" w:eastAsia="仿宋_GB2312" w:cs="仿宋_GB2312"/>
          <w:snapToGrid w:val="0"/>
          <w:color w:val="000000"/>
          <w:spacing w:val="2"/>
          <w:kern w:val="0"/>
          <w:sz w:val="32"/>
          <w:szCs w:val="32"/>
          <w:lang w:val="en-US" w:eastAsia="en-US" w:bidi="ar-SA"/>
        </w:rPr>
      </w:pPr>
      <w:r>
        <w:rPr>
          <w:rFonts w:hint="eastAsia" w:ascii="仿宋_GB2312" w:hAnsi="仿宋_GB2312" w:eastAsia="仿宋_GB2312" w:cs="仿宋_GB2312"/>
          <w:snapToGrid w:val="0"/>
          <w:color w:val="000000"/>
          <w:spacing w:val="2"/>
          <w:kern w:val="0"/>
          <w:sz w:val="32"/>
          <w:szCs w:val="32"/>
          <w:lang w:val="en-US" w:eastAsia="en-US" w:bidi="ar-SA"/>
        </w:rPr>
        <w:t>202</w:t>
      </w:r>
      <w:r>
        <w:rPr>
          <w:rFonts w:hint="eastAsia" w:ascii="仿宋_GB2312" w:hAnsi="仿宋_GB2312" w:eastAsia="仿宋_GB2312" w:cs="仿宋_GB2312"/>
          <w:snapToGrid w:val="0"/>
          <w:color w:val="000000"/>
          <w:spacing w:val="2"/>
          <w:kern w:val="0"/>
          <w:sz w:val="32"/>
          <w:szCs w:val="32"/>
          <w:lang w:val="en-US" w:eastAsia="zh-CN" w:bidi="ar-SA"/>
        </w:rPr>
        <w:t>4</w:t>
      </w:r>
      <w:r>
        <w:rPr>
          <w:rFonts w:hint="eastAsia" w:ascii="仿宋_GB2312" w:hAnsi="仿宋_GB2312" w:eastAsia="仿宋_GB2312" w:cs="仿宋_GB2312"/>
          <w:snapToGrid w:val="0"/>
          <w:color w:val="000000"/>
          <w:spacing w:val="2"/>
          <w:kern w:val="0"/>
          <w:sz w:val="32"/>
          <w:szCs w:val="32"/>
          <w:lang w:val="en-US" w:eastAsia="en-US" w:bidi="ar-SA"/>
        </w:rPr>
        <w:t>年，枣庄高新新能源产业招商服务有限公司</w:t>
      </w:r>
      <w:r>
        <w:rPr>
          <w:rFonts w:hint="eastAsia" w:ascii="仿宋_GB2312" w:hAnsi="仿宋_GB2312" w:eastAsia="仿宋_GB2312" w:cs="仿宋_GB2312"/>
          <w:snapToGrid w:val="0"/>
          <w:color w:val="000000"/>
          <w:spacing w:val="2"/>
          <w:kern w:val="0"/>
          <w:sz w:val="32"/>
          <w:szCs w:val="32"/>
          <w:lang w:val="en-US" w:eastAsia="zh-CN" w:bidi="ar-SA"/>
        </w:rPr>
        <w:t>(以下简称“新能源公司”）</w:t>
      </w:r>
      <w:r>
        <w:rPr>
          <w:rFonts w:hint="eastAsia" w:ascii="仿宋_GB2312" w:hAnsi="仿宋_GB2312" w:eastAsia="仿宋_GB2312" w:cs="仿宋_GB2312"/>
          <w:snapToGrid w:val="0"/>
          <w:color w:val="000000"/>
          <w:spacing w:val="2"/>
          <w:kern w:val="0"/>
          <w:sz w:val="32"/>
          <w:szCs w:val="32"/>
          <w:lang w:val="en-US" w:eastAsia="en-US" w:bidi="ar-SA"/>
        </w:rPr>
        <w:t>坚持以习近平新时代中国特色社会主义思想为指导，全面贯彻落实党的二十</w:t>
      </w:r>
      <w:r>
        <w:rPr>
          <w:rFonts w:hint="eastAsia" w:ascii="仿宋_GB2312" w:hAnsi="仿宋_GB2312" w:eastAsia="仿宋_GB2312" w:cs="仿宋_GB2312"/>
          <w:snapToGrid w:val="0"/>
          <w:color w:val="000000"/>
          <w:spacing w:val="2"/>
          <w:kern w:val="0"/>
          <w:sz w:val="32"/>
          <w:szCs w:val="32"/>
          <w:lang w:val="en-US" w:eastAsia="zh-CN" w:bidi="ar-SA"/>
        </w:rPr>
        <w:t>届三中全会</w:t>
      </w:r>
      <w:r>
        <w:rPr>
          <w:rFonts w:hint="eastAsia" w:ascii="仿宋_GB2312" w:hAnsi="仿宋_GB2312" w:eastAsia="仿宋_GB2312" w:cs="仿宋_GB2312"/>
          <w:snapToGrid w:val="0"/>
          <w:color w:val="000000"/>
          <w:spacing w:val="2"/>
          <w:kern w:val="0"/>
          <w:sz w:val="32"/>
          <w:szCs w:val="32"/>
          <w:lang w:val="en-US" w:eastAsia="en-US" w:bidi="ar-SA"/>
        </w:rPr>
        <w:t>精神，不断健全完善政务公开工作制度，持续加大公开力度、拓展公开深度、提高公开精度，助力全区各项工作高质量发展。现将</w:t>
      </w:r>
      <w:r>
        <w:rPr>
          <w:rFonts w:hint="eastAsia" w:ascii="仿宋_GB2312" w:hAnsi="仿宋_GB2312" w:eastAsia="仿宋_GB2312" w:cs="仿宋_GB2312"/>
          <w:snapToGrid w:val="0"/>
          <w:color w:val="000000"/>
          <w:spacing w:val="2"/>
          <w:kern w:val="0"/>
          <w:sz w:val="32"/>
          <w:szCs w:val="32"/>
          <w:lang w:val="en-US" w:eastAsia="zh-CN" w:bidi="ar-SA"/>
        </w:rPr>
        <w:t>新能源公司</w:t>
      </w:r>
      <w:r>
        <w:rPr>
          <w:rFonts w:hint="eastAsia" w:ascii="仿宋_GB2312" w:hAnsi="仿宋_GB2312" w:eastAsia="仿宋_GB2312" w:cs="仿宋_GB2312"/>
          <w:snapToGrid w:val="0"/>
          <w:color w:val="000000"/>
          <w:spacing w:val="2"/>
          <w:kern w:val="0"/>
          <w:sz w:val="32"/>
          <w:szCs w:val="32"/>
          <w:lang w:val="en-US" w:eastAsia="en-US" w:bidi="ar-SA"/>
        </w:rPr>
        <w:t>202</w:t>
      </w:r>
      <w:r>
        <w:rPr>
          <w:rFonts w:hint="eastAsia" w:ascii="仿宋_GB2312" w:hAnsi="仿宋_GB2312" w:eastAsia="仿宋_GB2312" w:cs="仿宋_GB2312"/>
          <w:snapToGrid w:val="0"/>
          <w:color w:val="000000"/>
          <w:spacing w:val="2"/>
          <w:kern w:val="0"/>
          <w:sz w:val="32"/>
          <w:szCs w:val="32"/>
          <w:lang w:val="en-US" w:eastAsia="zh-CN" w:bidi="ar-SA"/>
        </w:rPr>
        <w:t>4</w:t>
      </w:r>
      <w:r>
        <w:rPr>
          <w:rFonts w:hint="eastAsia" w:ascii="仿宋_GB2312" w:hAnsi="仿宋_GB2312" w:eastAsia="仿宋_GB2312" w:cs="仿宋_GB2312"/>
          <w:snapToGrid w:val="0"/>
          <w:color w:val="000000"/>
          <w:spacing w:val="2"/>
          <w:kern w:val="0"/>
          <w:sz w:val="32"/>
          <w:szCs w:val="32"/>
          <w:lang w:val="en-US" w:eastAsia="en-US" w:bidi="ar-SA"/>
        </w:rPr>
        <w:t>年度政府信息公开工作情况报告如下：</w:t>
      </w:r>
    </w:p>
    <w:p w14:paraId="531F6C3A">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188" w:line="329" w:lineRule="auto"/>
        <w:ind w:firstLine="647" w:firstLineChars="200"/>
        <w:jc w:val="left"/>
        <w:textAlignment w:val="baseline"/>
        <w:rPr>
          <w:rFonts w:hint="eastAsia" w:ascii="仿宋_GB2312" w:hAnsi="仿宋_GB2312" w:eastAsia="仿宋_GB2312" w:cs="仿宋_GB2312"/>
          <w:spacing w:val="1"/>
          <w:sz w:val="32"/>
          <w:szCs w:val="32"/>
        </w:rPr>
      </w:pPr>
      <w:r>
        <w:rPr>
          <w:rFonts w:hint="eastAsia" w:ascii="楷体_GB2312" w:hAnsi="楷体_GB2312" w:eastAsia="楷体_GB2312" w:cs="楷体_GB2312"/>
          <w:b/>
          <w:bCs/>
          <w:color w:val="auto"/>
          <w:spacing w:val="1"/>
          <w:sz w:val="32"/>
          <w:szCs w:val="32"/>
        </w:rPr>
        <w:t>主动公开方面。</w:t>
      </w: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1"/>
          <w:sz w:val="32"/>
          <w:szCs w:val="32"/>
        </w:rPr>
        <w:t>年，</w:t>
      </w:r>
      <w:r>
        <w:rPr>
          <w:rFonts w:hint="eastAsia" w:ascii="仿宋_GB2312" w:hAnsi="仿宋_GB2312" w:eastAsia="仿宋_GB2312" w:cs="仿宋_GB2312"/>
          <w:spacing w:val="1"/>
          <w:sz w:val="32"/>
          <w:szCs w:val="32"/>
          <w:lang w:val="en-US" w:eastAsia="zh-CN"/>
        </w:rPr>
        <w:t>新能源公司</w:t>
      </w:r>
      <w:r>
        <w:rPr>
          <w:rFonts w:hint="eastAsia" w:ascii="仿宋_GB2312" w:hAnsi="仿宋_GB2312" w:eastAsia="仿宋_GB2312" w:cs="仿宋_GB2312"/>
          <w:spacing w:val="1"/>
          <w:sz w:val="32"/>
          <w:szCs w:val="32"/>
        </w:rPr>
        <w:t>通过区管委会政府公开网站共发表相关信息</w:t>
      </w:r>
      <w:r>
        <w:rPr>
          <w:rFonts w:hint="eastAsia" w:ascii="仿宋_GB2312" w:hAnsi="仿宋_GB2312" w:eastAsia="仿宋_GB2312" w:cs="仿宋_GB2312"/>
          <w:spacing w:val="1"/>
          <w:sz w:val="32"/>
          <w:szCs w:val="32"/>
          <w:lang w:val="en-US" w:eastAsia="zh-CN"/>
        </w:rPr>
        <w:t>113</w:t>
      </w:r>
      <w:r>
        <w:rPr>
          <w:rFonts w:hint="eastAsia" w:ascii="仿宋_GB2312" w:hAnsi="仿宋_GB2312" w:eastAsia="仿宋_GB2312" w:cs="仿宋_GB2312"/>
          <w:spacing w:val="1"/>
          <w:sz w:val="32"/>
          <w:szCs w:val="32"/>
        </w:rPr>
        <w:t>篇，其中法定主动公开内容</w:t>
      </w:r>
      <w:r>
        <w:rPr>
          <w:rFonts w:hint="eastAsia" w:ascii="仿宋_GB2312" w:hAnsi="仿宋_GB2312" w:eastAsia="仿宋_GB2312" w:cs="仿宋_GB2312"/>
          <w:spacing w:val="1"/>
          <w:sz w:val="32"/>
          <w:szCs w:val="32"/>
          <w:lang w:val="en-US" w:eastAsia="zh-CN"/>
        </w:rPr>
        <w:t>14</w:t>
      </w:r>
      <w:r>
        <w:rPr>
          <w:rFonts w:hint="eastAsia" w:ascii="仿宋_GB2312" w:hAnsi="仿宋_GB2312" w:eastAsia="仿宋_GB2312" w:cs="仿宋_GB2312"/>
          <w:spacing w:val="1"/>
          <w:sz w:val="32"/>
          <w:szCs w:val="32"/>
        </w:rPr>
        <w:t>篇</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产业发展</w:t>
      </w:r>
      <w:r>
        <w:rPr>
          <w:rFonts w:hint="eastAsia" w:ascii="仿宋_GB2312" w:hAnsi="仿宋_GB2312" w:eastAsia="仿宋_GB2312" w:cs="仿宋_GB2312"/>
          <w:spacing w:val="1"/>
          <w:sz w:val="32"/>
          <w:szCs w:val="32"/>
          <w:lang w:val="en-US" w:eastAsia="zh-CN"/>
        </w:rPr>
        <w:t>19</w:t>
      </w:r>
      <w:r>
        <w:rPr>
          <w:rFonts w:hint="eastAsia" w:ascii="仿宋_GB2312" w:hAnsi="仿宋_GB2312" w:eastAsia="仿宋_GB2312" w:cs="仿宋_GB2312"/>
          <w:spacing w:val="1"/>
          <w:sz w:val="32"/>
          <w:szCs w:val="32"/>
        </w:rPr>
        <w:t>篇、主导产业24篇、重点项目</w:t>
      </w:r>
      <w:r>
        <w:rPr>
          <w:rFonts w:hint="eastAsia" w:ascii="仿宋_GB2312" w:hAnsi="仿宋_GB2312" w:eastAsia="仿宋_GB2312" w:cs="仿宋_GB2312"/>
          <w:spacing w:val="1"/>
          <w:sz w:val="32"/>
          <w:szCs w:val="32"/>
          <w:lang w:val="en-US" w:eastAsia="zh-CN"/>
        </w:rPr>
        <w:t>15</w:t>
      </w:r>
      <w:r>
        <w:rPr>
          <w:rFonts w:hint="eastAsia" w:ascii="仿宋_GB2312" w:hAnsi="仿宋_GB2312" w:eastAsia="仿宋_GB2312" w:cs="仿宋_GB2312"/>
          <w:spacing w:val="1"/>
          <w:sz w:val="32"/>
          <w:szCs w:val="32"/>
        </w:rPr>
        <w:t>篇、通知公告</w:t>
      </w: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1"/>
          <w:sz w:val="32"/>
          <w:szCs w:val="32"/>
        </w:rPr>
        <w:t>篇、部门信息</w:t>
      </w:r>
      <w:r>
        <w:rPr>
          <w:rFonts w:hint="eastAsia" w:ascii="仿宋_GB2312" w:hAnsi="仿宋_GB2312" w:eastAsia="仿宋_GB2312" w:cs="仿宋_GB2312"/>
          <w:spacing w:val="1"/>
          <w:sz w:val="32"/>
          <w:szCs w:val="32"/>
          <w:lang w:val="en-US" w:eastAsia="zh-CN"/>
        </w:rPr>
        <w:t>36</w:t>
      </w:r>
      <w:r>
        <w:rPr>
          <w:rFonts w:hint="eastAsia" w:ascii="仿宋_GB2312" w:hAnsi="仿宋_GB2312" w:eastAsia="仿宋_GB2312" w:cs="仿宋_GB2312"/>
          <w:spacing w:val="1"/>
          <w:sz w:val="32"/>
          <w:szCs w:val="32"/>
        </w:rPr>
        <w:t>篇、投资环境1篇等。</w:t>
      </w:r>
    </w:p>
    <w:p w14:paraId="3DD963E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88" w:line="329" w:lineRule="auto"/>
        <w:jc w:val="left"/>
        <w:textAlignment w:val="baseline"/>
        <w:rPr>
          <w:rFonts w:hint="eastAsia" w:ascii="仿宋_GB2312" w:hAnsi="仿宋_GB2312" w:eastAsia="仿宋_GB2312" w:cs="仿宋_GB2312"/>
          <w:spacing w:val="1"/>
          <w:sz w:val="32"/>
          <w:szCs w:val="32"/>
          <w:lang w:eastAsia="zh-CN"/>
        </w:rPr>
      </w:pPr>
      <w:bookmarkStart w:id="9" w:name="_GoBack"/>
      <w:r>
        <w:rPr>
          <w:rFonts w:hint="eastAsia" w:ascii="仿宋_GB2312" w:hAnsi="仿宋_GB2312" w:eastAsia="仿宋_GB2312" w:cs="仿宋_GB2312"/>
          <w:spacing w:val="1"/>
          <w:sz w:val="32"/>
          <w:szCs w:val="32"/>
          <w:lang w:eastAsia="zh-CN"/>
        </w:rPr>
        <w:drawing>
          <wp:inline distT="0" distB="0" distL="114300" distR="114300">
            <wp:extent cx="5547995" cy="6348730"/>
            <wp:effectExtent l="0" t="0" r="14605" b="13970"/>
            <wp:docPr id="1" name="图片 1" descr="360截图2025011716241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50117162410225"/>
                    <pic:cNvPicPr>
                      <a:picLocks noChangeAspect="1"/>
                    </pic:cNvPicPr>
                  </pic:nvPicPr>
                  <pic:blipFill>
                    <a:blip r:embed="rId7"/>
                    <a:stretch>
                      <a:fillRect/>
                    </a:stretch>
                  </pic:blipFill>
                  <pic:spPr>
                    <a:xfrm>
                      <a:off x="0" y="0"/>
                      <a:ext cx="5547995" cy="6348730"/>
                    </a:xfrm>
                    <a:prstGeom prst="rect">
                      <a:avLst/>
                    </a:prstGeom>
                  </pic:spPr>
                </pic:pic>
              </a:graphicData>
            </a:graphic>
          </wp:inline>
        </w:drawing>
      </w:r>
      <w:bookmarkEnd w:id="9"/>
    </w:p>
    <w:p w14:paraId="6E94F92A">
      <w:pPr>
        <w:spacing w:line="312" w:lineRule="auto"/>
        <w:ind w:firstLine="647" w:firstLineChars="200"/>
        <w:rPr>
          <w:rFonts w:hint="eastAsia" w:ascii="仿宋_GB2312" w:hAnsi="仿宋_GB2312" w:eastAsia="仿宋_GB2312" w:cs="仿宋_GB2312"/>
          <w:b/>
          <w:bCs/>
          <w:snapToGrid w:val="0"/>
          <w:color w:val="000000"/>
          <w:spacing w:val="1"/>
          <w:kern w:val="0"/>
          <w:sz w:val="32"/>
          <w:szCs w:val="32"/>
          <w:lang w:val="en-US" w:eastAsia="en-US" w:bidi="ar-SA"/>
        </w:rPr>
      </w:pPr>
      <w:r>
        <w:rPr>
          <w:rFonts w:hint="eastAsia" w:ascii="楷体_GB2312" w:hAnsi="楷体_GB2312" w:eastAsia="楷体_GB2312" w:cs="楷体_GB2312"/>
          <w:b/>
          <w:bCs/>
          <w:snapToGrid w:val="0"/>
          <w:color w:val="000000"/>
          <w:spacing w:val="1"/>
          <w:kern w:val="0"/>
          <w:sz w:val="32"/>
          <w:szCs w:val="32"/>
          <w:lang w:val="en-US" w:eastAsia="zh-CN" w:bidi="ar-SA"/>
        </w:rPr>
        <w:t>（二）</w:t>
      </w:r>
      <w:r>
        <w:rPr>
          <w:rFonts w:hint="eastAsia" w:ascii="楷体_GB2312" w:hAnsi="楷体_GB2312" w:eastAsia="楷体_GB2312" w:cs="楷体_GB2312"/>
          <w:b/>
          <w:bCs/>
          <w:snapToGrid w:val="0"/>
          <w:color w:val="000000"/>
          <w:spacing w:val="1"/>
          <w:kern w:val="0"/>
          <w:sz w:val="32"/>
          <w:szCs w:val="32"/>
          <w:lang w:val="en-US" w:eastAsia="en-US" w:bidi="ar-SA"/>
        </w:rPr>
        <w:t>依申请公开工作方面。</w:t>
      </w:r>
    </w:p>
    <w:p w14:paraId="1FA19754">
      <w:pPr>
        <w:spacing w:line="312" w:lineRule="auto"/>
        <w:ind w:firstLine="644" w:firstLineChars="200"/>
        <w:rPr>
          <w:rFonts w:hint="default" w:ascii="仿宋_GB2312" w:hAnsi="仿宋_GB2312" w:eastAsia="仿宋_GB2312" w:cs="仿宋_GB2312"/>
          <w:snapToGrid w:val="0"/>
          <w:color w:val="000000"/>
          <w:spacing w:val="1"/>
          <w:kern w:val="0"/>
          <w:sz w:val="32"/>
          <w:szCs w:val="32"/>
          <w:lang w:val="en-US" w:eastAsia="zh-CN" w:bidi="ar-SA"/>
        </w:rPr>
      </w:pPr>
      <w:r>
        <w:rPr>
          <w:rFonts w:hint="eastAsia" w:ascii="仿宋_GB2312" w:hAnsi="仿宋_GB2312" w:eastAsia="仿宋_GB2312" w:cs="仿宋_GB2312"/>
          <w:snapToGrid w:val="0"/>
          <w:color w:val="000000"/>
          <w:spacing w:val="1"/>
          <w:kern w:val="0"/>
          <w:sz w:val="32"/>
          <w:szCs w:val="32"/>
          <w:lang w:val="en-US" w:eastAsia="en-US" w:bidi="ar-SA"/>
        </w:rPr>
        <w:t>1、</w:t>
      </w:r>
      <w:r>
        <w:rPr>
          <w:rFonts w:hint="eastAsia" w:ascii="仿宋_GB2312" w:hAnsi="仿宋_GB2312" w:eastAsia="仿宋_GB2312" w:cs="仿宋_GB2312"/>
          <w:snapToGrid w:val="0"/>
          <w:color w:val="000000"/>
          <w:spacing w:val="1"/>
          <w:kern w:val="0"/>
          <w:sz w:val="32"/>
          <w:szCs w:val="32"/>
          <w:lang w:val="en-US" w:eastAsia="zh-CN" w:bidi="ar-SA"/>
        </w:rPr>
        <w:t>新能源公司</w:t>
      </w:r>
      <w:r>
        <w:rPr>
          <w:rFonts w:hint="eastAsia" w:ascii="仿宋_GB2312" w:hAnsi="仿宋_GB2312" w:eastAsia="仿宋_GB2312" w:cs="仿宋_GB2312"/>
          <w:snapToGrid w:val="0"/>
          <w:color w:val="000000"/>
          <w:spacing w:val="1"/>
          <w:kern w:val="0"/>
          <w:sz w:val="32"/>
          <w:szCs w:val="32"/>
          <w:lang w:val="en-US" w:eastAsia="en-US" w:bidi="ar-SA"/>
        </w:rPr>
        <w:t>认真执行《中华人民共和国政府信息公开条上理流程，加强政府信息依申法例》，严格规范依申请公公开事项办理标准化规范化建设</w:t>
      </w:r>
      <w:r>
        <w:rPr>
          <w:rFonts w:hint="eastAsia" w:ascii="仿宋_GB2312" w:hAnsi="仿宋_GB2312" w:eastAsia="仿宋_GB2312" w:cs="仿宋_GB2312"/>
          <w:snapToGrid w:val="0"/>
          <w:color w:val="000000"/>
          <w:spacing w:val="1"/>
          <w:kern w:val="0"/>
          <w:sz w:val="32"/>
          <w:szCs w:val="32"/>
          <w:lang w:val="en-US" w:eastAsia="zh-CN" w:bidi="ar-SA"/>
        </w:rPr>
        <w:t>。</w:t>
      </w:r>
      <w:r>
        <w:rPr>
          <w:rFonts w:hint="eastAsia" w:ascii="仿宋_GB2312" w:hAnsi="仿宋_GB2312" w:eastAsia="仿宋_GB2312" w:cs="仿宋_GB2312"/>
          <w:snapToGrid w:val="0"/>
          <w:color w:val="000000"/>
          <w:spacing w:val="1"/>
          <w:kern w:val="0"/>
          <w:sz w:val="32"/>
          <w:szCs w:val="32"/>
          <w:lang w:val="en-US" w:eastAsia="en-US" w:bidi="ar-SA"/>
        </w:rPr>
        <w:t>202</w:t>
      </w:r>
      <w:r>
        <w:rPr>
          <w:rFonts w:hint="eastAsia" w:ascii="仿宋_GB2312" w:hAnsi="仿宋_GB2312" w:eastAsia="仿宋_GB2312" w:cs="仿宋_GB2312"/>
          <w:snapToGrid w:val="0"/>
          <w:color w:val="000000"/>
          <w:spacing w:val="1"/>
          <w:kern w:val="0"/>
          <w:sz w:val="32"/>
          <w:szCs w:val="32"/>
          <w:lang w:val="en-US" w:eastAsia="zh-CN" w:bidi="ar-SA"/>
        </w:rPr>
        <w:t>4</w:t>
      </w:r>
      <w:r>
        <w:rPr>
          <w:rFonts w:hint="eastAsia" w:ascii="仿宋_GB2312" w:hAnsi="仿宋_GB2312" w:eastAsia="仿宋_GB2312" w:cs="仿宋_GB2312"/>
          <w:snapToGrid w:val="0"/>
          <w:color w:val="000000"/>
          <w:spacing w:val="1"/>
          <w:kern w:val="0"/>
          <w:sz w:val="32"/>
          <w:szCs w:val="32"/>
          <w:lang w:val="en-US" w:eastAsia="en-US" w:bidi="ar-SA"/>
        </w:rPr>
        <w:t>年</w:t>
      </w:r>
      <w:r>
        <w:rPr>
          <w:rFonts w:hint="eastAsia" w:ascii="仿宋_GB2312" w:hAnsi="仿宋_GB2312" w:eastAsia="仿宋_GB2312" w:cs="仿宋_GB2312"/>
          <w:snapToGrid w:val="0"/>
          <w:color w:val="000000"/>
          <w:spacing w:val="1"/>
          <w:kern w:val="0"/>
          <w:sz w:val="32"/>
          <w:szCs w:val="32"/>
          <w:lang w:val="en-US" w:eastAsia="zh-CN" w:bidi="ar-SA"/>
        </w:rPr>
        <w:t>，新能源公司</w:t>
      </w:r>
      <w:r>
        <w:rPr>
          <w:rFonts w:hint="eastAsia" w:ascii="仿宋_GB2312" w:hAnsi="仿宋_GB2312" w:eastAsia="仿宋_GB2312" w:cs="仿宋_GB2312"/>
          <w:snapToGrid w:val="0"/>
          <w:color w:val="000000"/>
          <w:spacing w:val="1"/>
          <w:kern w:val="0"/>
          <w:sz w:val="32"/>
          <w:szCs w:val="32"/>
          <w:lang w:val="en-US" w:eastAsia="en-US" w:bidi="ar-SA"/>
        </w:rPr>
        <w:t>未收到申请公开的情况</w:t>
      </w:r>
      <w:r>
        <w:rPr>
          <w:rFonts w:hint="eastAsia" w:ascii="仿宋_GB2312" w:hAnsi="仿宋_GB2312" w:eastAsia="仿宋_GB2312" w:cs="仿宋_GB2312"/>
          <w:snapToGrid w:val="0"/>
          <w:color w:val="000000"/>
          <w:spacing w:val="1"/>
          <w:kern w:val="0"/>
          <w:sz w:val="32"/>
          <w:szCs w:val="32"/>
          <w:lang w:val="en-US" w:eastAsia="zh-CN" w:bidi="ar-SA"/>
        </w:rPr>
        <w:t>。对比2023年，该项工作没有变动。</w:t>
      </w:r>
    </w:p>
    <w:p w14:paraId="3D447F31">
      <w:pPr>
        <w:spacing w:line="312" w:lineRule="auto"/>
        <w:ind w:firstLine="644"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spacing w:val="1"/>
          <w:kern w:val="0"/>
          <w:sz w:val="32"/>
          <w:szCs w:val="32"/>
          <w:lang w:val="en-US" w:eastAsia="en-US" w:bidi="ar-SA"/>
        </w:rPr>
        <w:t>2、202</w:t>
      </w:r>
      <w:r>
        <w:rPr>
          <w:rFonts w:hint="eastAsia" w:ascii="仿宋_GB2312" w:hAnsi="仿宋_GB2312" w:eastAsia="仿宋_GB2312" w:cs="仿宋_GB2312"/>
          <w:snapToGrid w:val="0"/>
          <w:color w:val="000000"/>
          <w:spacing w:val="1"/>
          <w:kern w:val="0"/>
          <w:sz w:val="32"/>
          <w:szCs w:val="32"/>
          <w:lang w:val="en-US" w:eastAsia="zh-CN" w:bidi="ar-SA"/>
        </w:rPr>
        <w:t>4</w:t>
      </w:r>
      <w:r>
        <w:rPr>
          <w:rFonts w:hint="eastAsia" w:ascii="仿宋_GB2312" w:hAnsi="仿宋_GB2312" w:eastAsia="仿宋_GB2312" w:cs="仿宋_GB2312"/>
          <w:snapToGrid w:val="0"/>
          <w:color w:val="000000"/>
          <w:spacing w:val="1"/>
          <w:kern w:val="0"/>
          <w:sz w:val="32"/>
          <w:szCs w:val="32"/>
          <w:lang w:val="en-US" w:eastAsia="en-US" w:bidi="ar-SA"/>
        </w:rPr>
        <w:t>年</w:t>
      </w:r>
      <w:r>
        <w:rPr>
          <w:rFonts w:hint="eastAsia" w:ascii="仿宋_GB2312" w:hAnsi="仿宋_GB2312" w:eastAsia="仿宋_GB2312" w:cs="仿宋_GB2312"/>
          <w:snapToGrid w:val="0"/>
          <w:color w:val="000000"/>
          <w:spacing w:val="1"/>
          <w:kern w:val="0"/>
          <w:sz w:val="32"/>
          <w:szCs w:val="32"/>
          <w:lang w:val="en-US" w:eastAsia="zh-CN" w:bidi="ar-SA"/>
        </w:rPr>
        <w:t>，新能源公司</w:t>
      </w:r>
      <w:r>
        <w:rPr>
          <w:rFonts w:hint="eastAsia" w:ascii="仿宋_GB2312" w:hAnsi="仿宋_GB2312" w:eastAsia="仿宋_GB2312" w:cs="仿宋_GB2312"/>
          <w:snapToGrid w:val="0"/>
          <w:color w:val="000000"/>
          <w:spacing w:val="1"/>
          <w:kern w:val="0"/>
          <w:sz w:val="32"/>
          <w:szCs w:val="32"/>
          <w:lang w:val="en-US" w:eastAsia="en-US" w:bidi="ar-SA"/>
        </w:rPr>
        <w:t>没有针对政府信息公开事务的行政复议申请、申诉和行政诉讼案件以及被举报情况</w:t>
      </w:r>
      <w:r>
        <w:rPr>
          <w:rFonts w:hint="eastAsia" w:ascii="仿宋_GB2312" w:hAnsi="仿宋_GB2312" w:eastAsia="仿宋_GB2312" w:cs="仿宋_GB2312"/>
          <w:snapToGrid w:val="0"/>
          <w:color w:val="000000"/>
          <w:spacing w:val="1"/>
          <w:kern w:val="0"/>
          <w:sz w:val="32"/>
          <w:szCs w:val="32"/>
          <w:lang w:val="en-US" w:eastAsia="zh-CN" w:bidi="ar-SA"/>
        </w:rPr>
        <w:t>，该项工作与2023年情况一致。</w:t>
      </w:r>
    </w:p>
    <w:p w14:paraId="096CF805">
      <w:pPr>
        <w:pStyle w:val="2"/>
        <w:spacing w:before="101" w:line="322" w:lineRule="auto"/>
        <w:ind w:left="129" w:firstLine="642"/>
        <w:rPr>
          <w:rFonts w:hint="eastAsia" w:ascii="仿宋_GB2312" w:hAnsi="仿宋_GB2312" w:eastAsia="仿宋_GB2312" w:cs="仿宋_GB2312"/>
          <w:sz w:val="32"/>
          <w:szCs w:val="32"/>
        </w:rPr>
      </w:pPr>
      <w:r>
        <w:rPr>
          <w:rFonts w:hint="eastAsia" w:ascii="楷体_GB2312" w:hAnsi="楷体_GB2312" w:eastAsia="楷体_GB2312" w:cs="楷体_GB2312"/>
          <w:b/>
          <w:bCs/>
          <w:color w:val="auto"/>
          <w:spacing w:val="1"/>
          <w:sz w:val="32"/>
          <w:szCs w:val="32"/>
          <w:lang w:eastAsia="zh-CN"/>
        </w:rPr>
        <w:t>（</w:t>
      </w:r>
      <w:r>
        <w:rPr>
          <w:rFonts w:hint="eastAsia" w:ascii="楷体_GB2312" w:hAnsi="楷体_GB2312" w:eastAsia="楷体_GB2312" w:cs="楷体_GB2312"/>
          <w:b/>
          <w:bCs/>
          <w:color w:val="auto"/>
          <w:spacing w:val="1"/>
          <w:sz w:val="32"/>
          <w:szCs w:val="32"/>
          <w:lang w:val="en-US" w:eastAsia="zh-CN"/>
        </w:rPr>
        <w:t>三</w:t>
      </w:r>
      <w:r>
        <w:rPr>
          <w:rFonts w:hint="eastAsia" w:ascii="楷体_GB2312" w:hAnsi="楷体_GB2312" w:eastAsia="楷体_GB2312" w:cs="楷体_GB2312"/>
          <w:b/>
          <w:bCs/>
          <w:color w:val="auto"/>
          <w:spacing w:val="1"/>
          <w:sz w:val="32"/>
          <w:szCs w:val="32"/>
          <w:lang w:eastAsia="zh-CN"/>
        </w:rPr>
        <w:t>）</w:t>
      </w:r>
      <w:r>
        <w:rPr>
          <w:rFonts w:hint="eastAsia" w:ascii="楷体_GB2312" w:hAnsi="楷体_GB2312" w:eastAsia="楷体_GB2312" w:cs="楷体_GB2312"/>
          <w:b/>
          <w:bCs/>
          <w:color w:val="auto"/>
          <w:spacing w:val="1"/>
          <w:sz w:val="32"/>
          <w:szCs w:val="32"/>
        </w:rPr>
        <w:t>政府信息管理方面。</w:t>
      </w:r>
      <w:r>
        <w:rPr>
          <w:rFonts w:hint="eastAsia" w:ascii="仿宋_GB2312" w:hAnsi="仿宋_GB2312" w:eastAsia="仿宋_GB2312" w:cs="仿宋_GB2312"/>
          <w:color w:val="auto"/>
          <w:spacing w:val="1"/>
          <w:sz w:val="32"/>
          <w:szCs w:val="32"/>
        </w:rPr>
        <w:t>依</w:t>
      </w:r>
      <w:r>
        <w:rPr>
          <w:rFonts w:hint="eastAsia" w:ascii="仿宋_GB2312" w:hAnsi="仿宋_GB2312" w:eastAsia="仿宋_GB2312" w:cs="仿宋_GB2312"/>
          <w:spacing w:val="1"/>
          <w:sz w:val="32"/>
          <w:szCs w:val="32"/>
        </w:rPr>
        <w:t>托枣庄高新区政府门户网站，按时发布更新法定主动公开内容，落实信息发布三级审核制度，确保信息真实性、准确性。同时，强化信息监测和自查自改，对出现表述错误、站点无法访问等问题及时整改到位。</w:t>
      </w:r>
    </w:p>
    <w:p w14:paraId="0F2F3000">
      <w:pPr>
        <w:pStyle w:val="2"/>
        <w:spacing w:before="57" w:line="322" w:lineRule="auto"/>
        <w:ind w:left="168" w:firstLine="590"/>
        <w:rPr>
          <w:rFonts w:hint="eastAsia" w:ascii="仿宋_GB2312" w:hAnsi="仿宋_GB2312" w:eastAsia="仿宋_GB2312" w:cs="仿宋_GB2312"/>
          <w:sz w:val="32"/>
          <w:szCs w:val="32"/>
        </w:rPr>
      </w:pPr>
      <w:r>
        <w:rPr>
          <w:rFonts w:hint="eastAsia" w:ascii="楷体_GB2312" w:hAnsi="楷体_GB2312" w:eastAsia="楷体_GB2312" w:cs="楷体_GB2312"/>
          <w:b/>
          <w:bCs/>
          <w:color w:val="auto"/>
          <w:spacing w:val="2"/>
          <w:sz w:val="32"/>
          <w:szCs w:val="32"/>
          <w:lang w:eastAsia="zh-CN"/>
        </w:rPr>
        <w:t>（</w:t>
      </w:r>
      <w:r>
        <w:rPr>
          <w:rFonts w:hint="eastAsia" w:ascii="楷体_GB2312" w:hAnsi="楷体_GB2312" w:eastAsia="楷体_GB2312" w:cs="楷体_GB2312"/>
          <w:b/>
          <w:bCs/>
          <w:color w:val="auto"/>
          <w:spacing w:val="2"/>
          <w:sz w:val="32"/>
          <w:szCs w:val="32"/>
          <w:lang w:val="en-US" w:eastAsia="zh-CN"/>
        </w:rPr>
        <w:t>四</w:t>
      </w:r>
      <w:r>
        <w:rPr>
          <w:rFonts w:hint="eastAsia" w:ascii="楷体_GB2312" w:hAnsi="楷体_GB2312" w:eastAsia="楷体_GB2312" w:cs="楷体_GB2312"/>
          <w:b/>
          <w:bCs/>
          <w:color w:val="auto"/>
          <w:spacing w:val="2"/>
          <w:sz w:val="32"/>
          <w:szCs w:val="32"/>
          <w:lang w:eastAsia="zh-CN"/>
        </w:rPr>
        <w:t>）</w:t>
      </w:r>
      <w:r>
        <w:rPr>
          <w:rFonts w:hint="eastAsia" w:ascii="楷体_GB2312" w:hAnsi="楷体_GB2312" w:eastAsia="楷体_GB2312" w:cs="楷体_GB2312"/>
          <w:b/>
          <w:bCs/>
          <w:color w:val="auto"/>
          <w:spacing w:val="2"/>
          <w:sz w:val="32"/>
          <w:szCs w:val="32"/>
        </w:rPr>
        <w:t>平台建设方面。</w:t>
      </w:r>
      <w:r>
        <w:rPr>
          <w:rFonts w:hint="eastAsia" w:ascii="仿宋_GB2312" w:hAnsi="仿宋_GB2312" w:eastAsia="仿宋_GB2312" w:cs="仿宋_GB2312"/>
          <w:spacing w:val="2"/>
          <w:sz w:val="32"/>
          <w:szCs w:val="32"/>
        </w:rPr>
        <w:t>依托区管委会政府公开网站，严格按照信息公开要求，统一进行年报、公开指南、规划计划等法定公开内容的上传及管理，设立通知公告、部门信息、政民互动、产业发展、招商引资等栏目。</w:t>
      </w:r>
    </w:p>
    <w:p w14:paraId="4780E1C3">
      <w:pPr>
        <w:pStyle w:val="2"/>
        <w:spacing w:before="59" w:line="316" w:lineRule="auto"/>
        <w:ind w:left="140" w:right="4" w:firstLine="623"/>
        <w:rPr>
          <w:rFonts w:hint="eastAsia" w:ascii="仿宋_GB2312" w:hAnsi="仿宋_GB2312" w:eastAsia="仿宋_GB2312" w:cs="仿宋_GB2312"/>
          <w:spacing w:val="1"/>
          <w:sz w:val="32"/>
          <w:szCs w:val="32"/>
        </w:rPr>
      </w:pPr>
      <w:r>
        <w:rPr>
          <w:rFonts w:hint="eastAsia" w:ascii="楷体_GB2312" w:hAnsi="楷体_GB2312" w:eastAsia="楷体_GB2312" w:cs="楷体_GB2312"/>
          <w:b/>
          <w:bCs/>
          <w:color w:val="auto"/>
          <w:spacing w:val="1"/>
          <w:sz w:val="32"/>
          <w:szCs w:val="32"/>
          <w:lang w:eastAsia="zh-CN"/>
        </w:rPr>
        <w:t>（</w:t>
      </w:r>
      <w:r>
        <w:rPr>
          <w:rFonts w:hint="eastAsia" w:ascii="楷体_GB2312" w:hAnsi="楷体_GB2312" w:eastAsia="楷体_GB2312" w:cs="楷体_GB2312"/>
          <w:b/>
          <w:bCs/>
          <w:color w:val="auto"/>
          <w:spacing w:val="1"/>
          <w:sz w:val="32"/>
          <w:szCs w:val="32"/>
          <w:lang w:val="en-US" w:eastAsia="zh-CN"/>
        </w:rPr>
        <w:t>五</w:t>
      </w:r>
      <w:r>
        <w:rPr>
          <w:rFonts w:hint="eastAsia" w:ascii="楷体_GB2312" w:hAnsi="楷体_GB2312" w:eastAsia="楷体_GB2312" w:cs="楷体_GB2312"/>
          <w:b/>
          <w:bCs/>
          <w:color w:val="auto"/>
          <w:spacing w:val="1"/>
          <w:sz w:val="32"/>
          <w:szCs w:val="32"/>
          <w:lang w:eastAsia="zh-CN"/>
        </w:rPr>
        <w:t>）</w:t>
      </w:r>
      <w:r>
        <w:rPr>
          <w:rFonts w:hint="eastAsia" w:ascii="楷体_GB2312" w:hAnsi="楷体_GB2312" w:eastAsia="楷体_GB2312" w:cs="楷体_GB2312"/>
          <w:b/>
          <w:bCs/>
          <w:color w:val="auto"/>
          <w:spacing w:val="1"/>
          <w:sz w:val="32"/>
          <w:szCs w:val="32"/>
        </w:rPr>
        <w:t>监督保障方面。</w:t>
      </w:r>
      <w:r>
        <w:rPr>
          <w:rFonts w:hint="eastAsia" w:ascii="仿宋_GB2312" w:hAnsi="仿宋_GB2312" w:eastAsia="仿宋_GB2312" w:cs="仿宋_GB2312"/>
          <w:spacing w:val="1"/>
          <w:sz w:val="32"/>
          <w:szCs w:val="32"/>
        </w:rPr>
        <w:t>一是提高思想认识。定期开展信息培训会议，强化干部职工信息宣传意识。二是加强监督保障。持续加强政府网站负责栏目的保障和监管，加强信息公开保密、意识形态审查，坚决杜绝政治性、技术性差错。接受各类外部监督，及时进行整改和信息更新，保障群众获得信息的准确性和时效性。</w:t>
      </w:r>
    </w:p>
    <w:p w14:paraId="0F7E2DC1">
      <w:pPr>
        <w:spacing w:before="19" w:line="227" w:lineRule="auto"/>
        <w:ind w:left="555" w:firstLine="314" w:firstLineChars="100"/>
        <w:rPr>
          <w:rFonts w:ascii="黑体" w:hAnsi="黑体" w:eastAsia="黑体" w:cs="黑体"/>
          <w:sz w:val="32"/>
          <w:szCs w:val="32"/>
        </w:rPr>
      </w:pPr>
      <w:r>
        <w:rPr>
          <w:rFonts w:ascii="黑体" w:hAnsi="黑体" w:eastAsia="黑体" w:cs="黑体"/>
          <w:color w:val="333333"/>
          <w:spacing w:val="-3"/>
          <w:sz w:val="32"/>
          <w:szCs w:val="32"/>
        </w:rPr>
        <w:t>二、主动公开政府信息情况</w:t>
      </w:r>
    </w:p>
    <w:p w14:paraId="552594DC">
      <w:pPr>
        <w:spacing w:line="88" w:lineRule="exact"/>
      </w:pPr>
    </w:p>
    <w:tbl>
      <w:tblPr>
        <w:tblStyle w:val="7"/>
        <w:tblW w:w="88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12"/>
        <w:gridCol w:w="2202"/>
        <w:gridCol w:w="2202"/>
        <w:gridCol w:w="2212"/>
      </w:tblGrid>
      <w:tr w14:paraId="3086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828" w:type="dxa"/>
            <w:gridSpan w:val="4"/>
            <w:shd w:val="clear" w:color="auto" w:fill="C6D9F1"/>
            <w:vAlign w:val="top"/>
          </w:tcPr>
          <w:p w14:paraId="4633B6C0">
            <w:pPr>
              <w:spacing w:before="183" w:line="230" w:lineRule="auto"/>
              <w:ind w:left="3524"/>
              <w:rPr>
                <w:rFonts w:ascii="黑体" w:hAnsi="黑体" w:eastAsia="黑体" w:cs="黑体"/>
                <w:sz w:val="20"/>
                <w:szCs w:val="20"/>
              </w:rPr>
            </w:pPr>
            <w:r>
              <w:rPr>
                <w:rFonts w:ascii="黑体" w:hAnsi="黑体" w:eastAsia="黑体" w:cs="黑体"/>
                <w:spacing w:val="-2"/>
                <w:sz w:val="20"/>
                <w:szCs w:val="20"/>
              </w:rPr>
              <w:t>第二十条第（一）项</w:t>
            </w:r>
          </w:p>
        </w:tc>
      </w:tr>
      <w:tr w14:paraId="1A57E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2212" w:type="dxa"/>
            <w:vAlign w:val="top"/>
          </w:tcPr>
          <w:p w14:paraId="39FB9CC4">
            <w:pPr>
              <w:pStyle w:val="8"/>
              <w:spacing w:before="175" w:line="224" w:lineRule="auto"/>
              <w:ind w:left="702"/>
            </w:pPr>
            <w:r>
              <w:t>信息内容</w:t>
            </w:r>
          </w:p>
        </w:tc>
        <w:tc>
          <w:tcPr>
            <w:tcW w:w="2202" w:type="dxa"/>
            <w:vAlign w:val="top"/>
          </w:tcPr>
          <w:p w14:paraId="539C61AF">
            <w:pPr>
              <w:pStyle w:val="8"/>
              <w:spacing w:before="175" w:line="222" w:lineRule="auto"/>
              <w:ind w:left="505"/>
            </w:pPr>
            <w:r>
              <w:rPr>
                <w:spacing w:val="-1"/>
              </w:rPr>
              <w:t>本年制发件数</w:t>
            </w:r>
          </w:p>
        </w:tc>
        <w:tc>
          <w:tcPr>
            <w:tcW w:w="2202" w:type="dxa"/>
            <w:vAlign w:val="top"/>
          </w:tcPr>
          <w:p w14:paraId="587F2D43">
            <w:pPr>
              <w:pStyle w:val="8"/>
              <w:spacing w:before="175" w:line="222" w:lineRule="auto"/>
              <w:ind w:left="509"/>
            </w:pPr>
            <w:r>
              <w:rPr>
                <w:spacing w:val="-1"/>
              </w:rPr>
              <w:t>本年废止件数</w:t>
            </w:r>
          </w:p>
        </w:tc>
        <w:tc>
          <w:tcPr>
            <w:tcW w:w="2212" w:type="dxa"/>
            <w:vAlign w:val="top"/>
          </w:tcPr>
          <w:p w14:paraId="38A26392">
            <w:pPr>
              <w:pStyle w:val="8"/>
              <w:spacing w:before="175" w:line="222" w:lineRule="auto"/>
              <w:ind w:left="519"/>
            </w:pPr>
            <w:r>
              <w:rPr>
                <w:spacing w:val="-2"/>
              </w:rPr>
              <w:t>现行有效件数</w:t>
            </w:r>
          </w:p>
        </w:tc>
      </w:tr>
      <w:tr w14:paraId="4BF4C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2212" w:type="dxa"/>
            <w:vAlign w:val="top"/>
          </w:tcPr>
          <w:p w14:paraId="3E404DF4">
            <w:pPr>
              <w:pStyle w:val="8"/>
              <w:spacing w:before="178" w:line="224" w:lineRule="auto"/>
              <w:ind w:left="118"/>
            </w:pPr>
            <w:r>
              <w:rPr>
                <w:spacing w:val="-3"/>
              </w:rPr>
              <w:t>规章</w:t>
            </w:r>
          </w:p>
        </w:tc>
        <w:tc>
          <w:tcPr>
            <w:tcW w:w="2202" w:type="dxa"/>
            <w:vAlign w:val="center"/>
          </w:tcPr>
          <w:p w14:paraId="480A9093">
            <w:pPr>
              <w:pStyle w:val="8"/>
              <w:spacing w:before="178" w:line="224" w:lineRule="auto"/>
              <w:jc w:val="center"/>
              <w:rPr>
                <w:rFonts w:hint="eastAsia" w:eastAsia="FangSong_GB2312"/>
                <w:color w:val="auto"/>
                <w:lang w:eastAsia="zh-CN"/>
              </w:rPr>
            </w:pPr>
            <w:r>
              <w:rPr>
                <w:rFonts w:hint="eastAsia"/>
                <w:color w:val="auto"/>
                <w:spacing w:val="10"/>
                <w:lang w:val="en-US" w:eastAsia="zh-CN"/>
              </w:rPr>
              <w:t>0</w:t>
            </w:r>
          </w:p>
        </w:tc>
        <w:tc>
          <w:tcPr>
            <w:tcW w:w="2202" w:type="dxa"/>
            <w:vAlign w:val="center"/>
          </w:tcPr>
          <w:p w14:paraId="78C62877">
            <w:pPr>
              <w:pStyle w:val="8"/>
              <w:spacing w:before="178" w:line="224" w:lineRule="auto"/>
              <w:jc w:val="center"/>
              <w:rPr>
                <w:rFonts w:hint="eastAsia" w:eastAsia="FangSong_GB2312"/>
                <w:color w:val="auto"/>
                <w:lang w:eastAsia="zh-CN"/>
              </w:rPr>
            </w:pPr>
            <w:r>
              <w:rPr>
                <w:rFonts w:hint="eastAsia"/>
                <w:color w:val="auto"/>
                <w:spacing w:val="10"/>
                <w:lang w:val="en-US" w:eastAsia="zh-CN"/>
              </w:rPr>
              <w:t>0</w:t>
            </w:r>
          </w:p>
        </w:tc>
        <w:tc>
          <w:tcPr>
            <w:tcW w:w="2212" w:type="dxa"/>
            <w:vAlign w:val="center"/>
          </w:tcPr>
          <w:p w14:paraId="135F3A70">
            <w:pPr>
              <w:pStyle w:val="8"/>
              <w:spacing w:before="178" w:line="224" w:lineRule="auto"/>
              <w:jc w:val="center"/>
              <w:rPr>
                <w:rFonts w:hint="eastAsia" w:eastAsia="FangSong_GB2312"/>
                <w:color w:val="auto"/>
                <w:lang w:eastAsia="zh-CN"/>
              </w:rPr>
            </w:pPr>
            <w:r>
              <w:rPr>
                <w:rFonts w:hint="eastAsia"/>
                <w:color w:val="auto"/>
                <w:spacing w:val="10"/>
                <w:lang w:val="en-US" w:eastAsia="zh-CN"/>
              </w:rPr>
              <w:t>0</w:t>
            </w:r>
          </w:p>
        </w:tc>
      </w:tr>
      <w:tr w14:paraId="50CE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2212" w:type="dxa"/>
            <w:vAlign w:val="top"/>
          </w:tcPr>
          <w:p w14:paraId="19EC2969">
            <w:pPr>
              <w:pStyle w:val="8"/>
              <w:spacing w:before="209" w:line="222" w:lineRule="auto"/>
              <w:ind w:left="111"/>
            </w:pPr>
            <w:r>
              <w:rPr>
                <w:spacing w:val="-2"/>
              </w:rPr>
              <w:t>行政规范性文件</w:t>
            </w:r>
          </w:p>
        </w:tc>
        <w:tc>
          <w:tcPr>
            <w:tcW w:w="2202" w:type="dxa"/>
            <w:vAlign w:val="center"/>
          </w:tcPr>
          <w:p w14:paraId="6F767F3F">
            <w:pPr>
              <w:pStyle w:val="8"/>
              <w:spacing w:before="210" w:line="223" w:lineRule="auto"/>
              <w:jc w:val="center"/>
              <w:rPr>
                <w:rFonts w:hint="eastAsia" w:eastAsia="FangSong_GB2312"/>
                <w:color w:val="auto"/>
                <w:lang w:eastAsia="zh-CN"/>
              </w:rPr>
            </w:pPr>
            <w:r>
              <w:rPr>
                <w:rFonts w:hint="eastAsia"/>
                <w:color w:val="auto"/>
                <w:spacing w:val="-3"/>
                <w:lang w:val="en-US" w:eastAsia="zh-CN"/>
              </w:rPr>
              <w:t>0</w:t>
            </w:r>
          </w:p>
        </w:tc>
        <w:tc>
          <w:tcPr>
            <w:tcW w:w="2202" w:type="dxa"/>
            <w:vAlign w:val="center"/>
          </w:tcPr>
          <w:p w14:paraId="78E875C8">
            <w:pPr>
              <w:pStyle w:val="8"/>
              <w:spacing w:before="53" w:line="260" w:lineRule="auto"/>
              <w:ind w:right="87"/>
              <w:jc w:val="center"/>
              <w:rPr>
                <w:rFonts w:hint="eastAsia" w:eastAsia="FangSong_GB2312"/>
                <w:color w:val="auto"/>
                <w:lang w:eastAsia="zh-CN"/>
              </w:rPr>
            </w:pPr>
            <w:r>
              <w:rPr>
                <w:rFonts w:hint="eastAsia"/>
                <w:color w:val="auto"/>
                <w:spacing w:val="-7"/>
                <w:lang w:val="en-US" w:eastAsia="zh-CN"/>
              </w:rPr>
              <w:t>0</w:t>
            </w:r>
          </w:p>
        </w:tc>
        <w:tc>
          <w:tcPr>
            <w:tcW w:w="2212" w:type="dxa"/>
            <w:vAlign w:val="center"/>
          </w:tcPr>
          <w:p w14:paraId="0C38E0BB">
            <w:pPr>
              <w:pStyle w:val="8"/>
              <w:spacing w:before="53" w:line="260" w:lineRule="auto"/>
              <w:ind w:right="93"/>
              <w:jc w:val="center"/>
              <w:rPr>
                <w:rFonts w:hint="eastAsia" w:eastAsia="FangSong_GB2312"/>
                <w:color w:val="auto"/>
                <w:lang w:eastAsia="zh-CN"/>
              </w:rPr>
            </w:pPr>
            <w:r>
              <w:rPr>
                <w:rFonts w:hint="eastAsia"/>
                <w:color w:val="auto"/>
                <w:spacing w:val="-2"/>
                <w:lang w:val="en-US" w:eastAsia="zh-CN"/>
              </w:rPr>
              <w:t>0</w:t>
            </w:r>
          </w:p>
        </w:tc>
      </w:tr>
      <w:tr w14:paraId="188C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8828" w:type="dxa"/>
            <w:gridSpan w:val="4"/>
            <w:shd w:val="clear" w:color="auto" w:fill="C6D9F1"/>
            <w:vAlign w:val="top"/>
          </w:tcPr>
          <w:p w14:paraId="7445F036">
            <w:pPr>
              <w:spacing w:before="181" w:line="230" w:lineRule="auto"/>
              <w:ind w:left="3524"/>
              <w:rPr>
                <w:rFonts w:ascii="黑体" w:hAnsi="黑体" w:eastAsia="黑体" w:cs="黑体"/>
                <w:sz w:val="20"/>
                <w:szCs w:val="20"/>
              </w:rPr>
            </w:pPr>
            <w:r>
              <w:rPr>
                <w:rFonts w:ascii="黑体" w:hAnsi="黑体" w:eastAsia="黑体" w:cs="黑体"/>
                <w:spacing w:val="-2"/>
                <w:sz w:val="20"/>
                <w:szCs w:val="20"/>
              </w:rPr>
              <w:t>第二十条第（五）项</w:t>
            </w:r>
          </w:p>
        </w:tc>
      </w:tr>
      <w:tr w14:paraId="2B574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2212" w:type="dxa"/>
            <w:vAlign w:val="top"/>
          </w:tcPr>
          <w:p w14:paraId="5D5873E7">
            <w:pPr>
              <w:pStyle w:val="8"/>
              <w:spacing w:before="182" w:line="224" w:lineRule="auto"/>
              <w:ind w:left="702"/>
            </w:pPr>
            <w:r>
              <w:t>信息内容</w:t>
            </w:r>
          </w:p>
        </w:tc>
        <w:tc>
          <w:tcPr>
            <w:tcW w:w="6616" w:type="dxa"/>
            <w:gridSpan w:val="3"/>
            <w:vAlign w:val="top"/>
          </w:tcPr>
          <w:p w14:paraId="4B8263BD">
            <w:pPr>
              <w:pStyle w:val="8"/>
              <w:spacing w:before="181" w:line="223" w:lineRule="auto"/>
              <w:ind w:left="2514"/>
            </w:pPr>
            <w:r>
              <w:rPr>
                <w:spacing w:val="-2"/>
              </w:rPr>
              <w:t>本年处理决定数量</w:t>
            </w:r>
          </w:p>
        </w:tc>
      </w:tr>
      <w:tr w14:paraId="75732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2212" w:type="dxa"/>
            <w:vAlign w:val="top"/>
          </w:tcPr>
          <w:p w14:paraId="51A838CA">
            <w:pPr>
              <w:spacing w:line="302" w:lineRule="auto"/>
              <w:rPr>
                <w:rFonts w:ascii="Arial"/>
                <w:sz w:val="21"/>
              </w:rPr>
            </w:pPr>
          </w:p>
          <w:p w14:paraId="4AB78408">
            <w:pPr>
              <w:pStyle w:val="8"/>
              <w:spacing w:before="65" w:line="222" w:lineRule="auto"/>
              <w:ind w:left="111"/>
            </w:pPr>
            <w:r>
              <w:rPr>
                <w:spacing w:val="-1"/>
              </w:rPr>
              <w:t>行政许可</w:t>
            </w:r>
          </w:p>
        </w:tc>
        <w:tc>
          <w:tcPr>
            <w:tcW w:w="6616" w:type="dxa"/>
            <w:gridSpan w:val="3"/>
            <w:vAlign w:val="center"/>
          </w:tcPr>
          <w:p w14:paraId="21721B9E">
            <w:pPr>
              <w:pStyle w:val="8"/>
              <w:spacing w:before="57" w:line="268" w:lineRule="auto"/>
              <w:ind w:left="101" w:right="44" w:firstLine="8"/>
              <w:jc w:val="center"/>
              <w:rPr>
                <w:rFonts w:hint="eastAsia" w:eastAsia="FangSong_GB2312"/>
                <w:lang w:eastAsia="zh-CN"/>
              </w:rPr>
            </w:pPr>
            <w:r>
              <w:rPr>
                <w:rFonts w:hint="eastAsia"/>
                <w:color w:val="auto"/>
                <w:spacing w:val="-5"/>
                <w:lang w:val="en-US" w:eastAsia="zh-CN"/>
              </w:rPr>
              <w:t>0</w:t>
            </w:r>
          </w:p>
        </w:tc>
      </w:tr>
      <w:tr w14:paraId="468B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8828" w:type="dxa"/>
            <w:gridSpan w:val="4"/>
            <w:shd w:val="clear" w:color="auto" w:fill="C6D9F1"/>
            <w:vAlign w:val="top"/>
          </w:tcPr>
          <w:p w14:paraId="72E111DE">
            <w:pPr>
              <w:spacing w:before="185" w:line="230" w:lineRule="auto"/>
              <w:ind w:left="3524"/>
              <w:rPr>
                <w:rFonts w:ascii="黑体" w:hAnsi="黑体" w:eastAsia="黑体" w:cs="黑体"/>
                <w:sz w:val="20"/>
                <w:szCs w:val="20"/>
              </w:rPr>
            </w:pPr>
            <w:r>
              <w:rPr>
                <w:rFonts w:ascii="黑体" w:hAnsi="黑体" w:eastAsia="黑体" w:cs="黑体"/>
                <w:spacing w:val="-2"/>
                <w:sz w:val="20"/>
                <w:szCs w:val="20"/>
              </w:rPr>
              <w:t>第二十条第（六）项</w:t>
            </w:r>
          </w:p>
        </w:tc>
      </w:tr>
      <w:tr w14:paraId="5F241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2212" w:type="dxa"/>
            <w:vAlign w:val="top"/>
          </w:tcPr>
          <w:p w14:paraId="3C39FD3A">
            <w:pPr>
              <w:pStyle w:val="8"/>
              <w:spacing w:before="188" w:line="224" w:lineRule="auto"/>
              <w:ind w:left="702"/>
            </w:pPr>
            <w:r>
              <w:t>信息内容</w:t>
            </w:r>
          </w:p>
        </w:tc>
        <w:tc>
          <w:tcPr>
            <w:tcW w:w="6616" w:type="dxa"/>
            <w:gridSpan w:val="3"/>
            <w:vAlign w:val="top"/>
          </w:tcPr>
          <w:p w14:paraId="6A58FB74">
            <w:pPr>
              <w:pStyle w:val="8"/>
              <w:spacing w:before="187" w:line="223" w:lineRule="auto"/>
              <w:ind w:left="2514"/>
            </w:pPr>
            <w:r>
              <w:rPr>
                <w:spacing w:val="-2"/>
              </w:rPr>
              <w:t>本年处理决定数量</w:t>
            </w:r>
          </w:p>
        </w:tc>
      </w:tr>
      <w:tr w14:paraId="4D669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2212" w:type="dxa"/>
            <w:tcBorders>
              <w:top w:val="nil"/>
            </w:tcBorders>
            <w:vAlign w:val="top"/>
          </w:tcPr>
          <w:p w14:paraId="7E90B13E">
            <w:pPr>
              <w:pStyle w:val="8"/>
              <w:spacing w:before="183" w:line="222" w:lineRule="auto"/>
              <w:ind w:left="111"/>
            </w:pPr>
            <w:r>
              <w:rPr>
                <w:spacing w:val="-1"/>
              </w:rPr>
              <w:t>行政处罚</w:t>
            </w:r>
          </w:p>
        </w:tc>
        <w:tc>
          <w:tcPr>
            <w:tcW w:w="6616" w:type="dxa"/>
            <w:gridSpan w:val="3"/>
            <w:vAlign w:val="center"/>
          </w:tcPr>
          <w:p w14:paraId="27782D60">
            <w:pPr>
              <w:pStyle w:val="8"/>
              <w:spacing w:before="184" w:line="225" w:lineRule="auto"/>
              <w:jc w:val="center"/>
              <w:rPr>
                <w:rFonts w:hint="eastAsia" w:eastAsia="FangSong_GB2312"/>
                <w:color w:val="auto"/>
                <w:lang w:eastAsia="zh-CN"/>
              </w:rPr>
            </w:pPr>
            <w:r>
              <w:rPr>
                <w:rFonts w:hint="eastAsia"/>
                <w:color w:val="auto"/>
                <w:spacing w:val="-11"/>
                <w:lang w:val="en-US" w:eastAsia="zh-CN"/>
              </w:rPr>
              <w:t>0</w:t>
            </w:r>
          </w:p>
        </w:tc>
      </w:tr>
      <w:tr w14:paraId="7C20E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2212" w:type="dxa"/>
            <w:vAlign w:val="top"/>
          </w:tcPr>
          <w:p w14:paraId="0E8FB015">
            <w:pPr>
              <w:pStyle w:val="8"/>
              <w:spacing w:before="178" w:line="222" w:lineRule="auto"/>
              <w:ind w:left="111"/>
            </w:pPr>
            <w:r>
              <w:rPr>
                <w:spacing w:val="-1"/>
              </w:rPr>
              <w:t>行政强制</w:t>
            </w:r>
          </w:p>
        </w:tc>
        <w:tc>
          <w:tcPr>
            <w:tcW w:w="6616" w:type="dxa"/>
            <w:gridSpan w:val="3"/>
            <w:vAlign w:val="center"/>
          </w:tcPr>
          <w:p w14:paraId="13D45F6B">
            <w:pPr>
              <w:pStyle w:val="8"/>
              <w:spacing w:before="179" w:line="225" w:lineRule="auto"/>
              <w:jc w:val="center"/>
              <w:rPr>
                <w:rFonts w:hint="eastAsia" w:eastAsia="FangSong_GB2312"/>
                <w:color w:val="auto"/>
                <w:lang w:eastAsia="zh-CN"/>
              </w:rPr>
            </w:pPr>
            <w:r>
              <w:rPr>
                <w:rFonts w:hint="eastAsia"/>
                <w:color w:val="auto"/>
                <w:spacing w:val="-11"/>
                <w:lang w:val="en-US" w:eastAsia="zh-CN"/>
              </w:rPr>
              <w:t>0</w:t>
            </w:r>
          </w:p>
        </w:tc>
      </w:tr>
      <w:tr w14:paraId="57A0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828" w:type="dxa"/>
            <w:gridSpan w:val="4"/>
            <w:shd w:val="clear" w:color="auto" w:fill="C6D9F1"/>
            <w:vAlign w:val="top"/>
          </w:tcPr>
          <w:p w14:paraId="7169923E">
            <w:pPr>
              <w:spacing w:before="179" w:line="230" w:lineRule="auto"/>
              <w:ind w:left="3524"/>
              <w:rPr>
                <w:rFonts w:ascii="黑体" w:hAnsi="黑体" w:eastAsia="黑体" w:cs="黑体"/>
                <w:sz w:val="20"/>
                <w:szCs w:val="20"/>
              </w:rPr>
            </w:pPr>
            <w:r>
              <w:rPr>
                <w:rFonts w:ascii="黑体" w:hAnsi="黑体" w:eastAsia="黑体" w:cs="黑体"/>
                <w:spacing w:val="-2"/>
                <w:sz w:val="20"/>
                <w:szCs w:val="20"/>
              </w:rPr>
              <w:t>第二十条第（八）项</w:t>
            </w:r>
          </w:p>
        </w:tc>
      </w:tr>
      <w:tr w14:paraId="7AB9E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2212" w:type="dxa"/>
            <w:vAlign w:val="top"/>
          </w:tcPr>
          <w:p w14:paraId="596C6225">
            <w:pPr>
              <w:pStyle w:val="8"/>
              <w:spacing w:before="184" w:line="224" w:lineRule="auto"/>
              <w:ind w:left="702"/>
            </w:pPr>
            <w:r>
              <w:t>信息内容</w:t>
            </w:r>
          </w:p>
        </w:tc>
        <w:tc>
          <w:tcPr>
            <w:tcW w:w="6616" w:type="dxa"/>
            <w:gridSpan w:val="3"/>
            <w:vAlign w:val="top"/>
          </w:tcPr>
          <w:p w14:paraId="5BA43301">
            <w:pPr>
              <w:pStyle w:val="8"/>
              <w:spacing w:before="184" w:line="222" w:lineRule="auto"/>
              <w:ind w:left="2017"/>
            </w:pPr>
            <w:r>
              <w:rPr>
                <w:spacing w:val="-2"/>
              </w:rPr>
              <w:t>本年收费金额（单位：万元）</w:t>
            </w:r>
          </w:p>
        </w:tc>
      </w:tr>
      <w:tr w14:paraId="4427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2212" w:type="dxa"/>
            <w:vAlign w:val="top"/>
          </w:tcPr>
          <w:p w14:paraId="06081811">
            <w:pPr>
              <w:pStyle w:val="8"/>
              <w:spacing w:before="185" w:line="222" w:lineRule="auto"/>
              <w:ind w:left="111"/>
            </w:pPr>
            <w:r>
              <w:rPr>
                <w:spacing w:val="-2"/>
              </w:rPr>
              <w:t>行政事业性收费</w:t>
            </w:r>
          </w:p>
        </w:tc>
        <w:tc>
          <w:tcPr>
            <w:tcW w:w="6616" w:type="dxa"/>
            <w:gridSpan w:val="3"/>
            <w:vAlign w:val="center"/>
          </w:tcPr>
          <w:p w14:paraId="0A425F5B">
            <w:pPr>
              <w:pStyle w:val="8"/>
              <w:spacing w:before="185" w:line="222" w:lineRule="auto"/>
              <w:jc w:val="center"/>
              <w:rPr>
                <w:rFonts w:hint="eastAsia" w:eastAsia="FangSong_GB2312"/>
                <w:lang w:eastAsia="zh-CN"/>
              </w:rPr>
            </w:pPr>
            <w:r>
              <w:rPr>
                <w:rFonts w:hint="eastAsia"/>
                <w:color w:val="auto"/>
                <w:spacing w:val="-3"/>
                <w:lang w:val="en-US" w:eastAsia="zh-CN"/>
              </w:rPr>
              <w:t>0</w:t>
            </w:r>
          </w:p>
        </w:tc>
      </w:tr>
    </w:tbl>
    <w:p w14:paraId="52A82767">
      <w:pPr>
        <w:spacing w:before="154" w:line="227" w:lineRule="auto"/>
        <w:ind w:left="435" w:firstLine="316" w:firstLineChars="100"/>
        <w:rPr>
          <w:rFonts w:ascii="黑体" w:hAnsi="黑体" w:eastAsia="黑体" w:cs="黑体"/>
          <w:sz w:val="32"/>
          <w:szCs w:val="32"/>
        </w:rPr>
      </w:pPr>
      <w:r>
        <w:rPr>
          <w:rFonts w:ascii="黑体" w:hAnsi="黑体" w:eastAsia="黑体" w:cs="黑体"/>
          <w:color w:val="333333"/>
          <w:spacing w:val="-2"/>
          <w:sz w:val="32"/>
          <w:szCs w:val="32"/>
        </w:rPr>
        <w:t>三、收到和处理政府信息公开申请情况</w:t>
      </w:r>
    </w:p>
    <w:p w14:paraId="1CDC216B">
      <w:pPr>
        <w:spacing w:line="89" w:lineRule="exact"/>
      </w:pP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30"/>
        <w:gridCol w:w="840"/>
        <w:gridCol w:w="2670"/>
        <w:gridCol w:w="540"/>
        <w:gridCol w:w="555"/>
        <w:gridCol w:w="555"/>
        <w:gridCol w:w="705"/>
        <w:gridCol w:w="675"/>
        <w:gridCol w:w="555"/>
        <w:gridCol w:w="810"/>
      </w:tblGrid>
      <w:tr w14:paraId="55D51B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trPr>
        <w:tc>
          <w:tcPr>
            <w:tcW w:w="414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510B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ascii="楷体" w:hAnsi="楷体" w:eastAsia="楷体" w:cs="楷体"/>
                <w:i w:val="0"/>
                <w:iCs w:val="0"/>
                <w:caps w:val="0"/>
                <w:color w:val="000000"/>
                <w:spacing w:val="0"/>
                <w:sz w:val="21"/>
                <w:szCs w:val="21"/>
              </w:rPr>
              <w:t>（本列数据的勾稽关系为：第一项加第二项之和，等于第三项加第四项之和）</w:t>
            </w:r>
          </w:p>
        </w:tc>
        <w:tc>
          <w:tcPr>
            <w:tcW w:w="4380"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347C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黑体" w:hAnsi="宋体" w:eastAsia="黑体" w:cs="黑体"/>
                <w:i w:val="0"/>
                <w:iCs w:val="0"/>
                <w:caps w:val="0"/>
                <w:color w:val="000000"/>
                <w:spacing w:val="0"/>
                <w:sz w:val="21"/>
                <w:szCs w:val="21"/>
              </w:rPr>
              <w:t>申请人情况</w:t>
            </w:r>
          </w:p>
        </w:tc>
      </w:tr>
      <w:tr w14:paraId="685F8E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trPr>
        <w:tc>
          <w:tcPr>
            <w:tcW w:w="414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E3DE14">
            <w:pPr>
              <w:rPr>
                <w:rFonts w:hint="eastAsia" w:ascii="sans-serif" w:hAnsi="sans-serif" w:eastAsia="sans-serif" w:cs="sans-serif"/>
                <w:i w:val="0"/>
                <w:iCs w:val="0"/>
                <w:caps w:val="0"/>
                <w:color w:val="000000"/>
                <w:spacing w:val="0"/>
                <w:sz w:val="27"/>
                <w:szCs w:val="27"/>
              </w:rPr>
            </w:pPr>
          </w:p>
        </w:tc>
        <w:tc>
          <w:tcPr>
            <w:tcW w:w="5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B72F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自然人</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B4FA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法人或其他组织</w:t>
            </w:r>
          </w:p>
        </w:tc>
        <w:tc>
          <w:tcPr>
            <w:tcW w:w="81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C336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总计</w:t>
            </w:r>
          </w:p>
        </w:tc>
      </w:tr>
      <w:tr w14:paraId="76E4D4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20" w:hRule="atLeast"/>
        </w:trPr>
        <w:tc>
          <w:tcPr>
            <w:tcW w:w="414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31751B">
            <w:pPr>
              <w:rPr>
                <w:rFonts w:hint="default" w:ascii="sans-serif" w:hAnsi="sans-serif" w:eastAsia="sans-serif" w:cs="sans-serif"/>
                <w:i w:val="0"/>
                <w:iCs w:val="0"/>
                <w:caps w:val="0"/>
                <w:color w:val="000000"/>
                <w:spacing w:val="0"/>
                <w:sz w:val="27"/>
                <w:szCs w:val="27"/>
              </w:rPr>
            </w:pPr>
          </w:p>
        </w:tc>
        <w:tc>
          <w:tcPr>
            <w:tcW w:w="5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F273E7">
            <w:pPr>
              <w:rPr>
                <w:rFonts w:hint="default" w:ascii="sans-serif" w:hAnsi="sans-serif" w:eastAsia="sans-serif" w:cs="sans-serif"/>
                <w:i w:val="0"/>
                <w:iCs w:val="0"/>
                <w:caps w:val="0"/>
                <w:color w:val="000000"/>
                <w:spacing w:val="0"/>
                <w:sz w:val="27"/>
                <w:szCs w:val="27"/>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CE83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商业企业</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946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科研机构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BEEC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社会公益组织</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95F2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法律服务机构</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F41E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其他</w:t>
            </w:r>
          </w:p>
        </w:tc>
        <w:tc>
          <w:tcPr>
            <w:tcW w:w="81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9600A1">
            <w:pPr>
              <w:rPr>
                <w:rFonts w:hint="default" w:ascii="sans-serif" w:hAnsi="sans-serif" w:eastAsia="sans-serif" w:cs="sans-serif"/>
                <w:i w:val="0"/>
                <w:iCs w:val="0"/>
                <w:caps w:val="0"/>
                <w:color w:val="000000"/>
                <w:spacing w:val="0"/>
                <w:sz w:val="27"/>
                <w:szCs w:val="27"/>
              </w:rPr>
            </w:pPr>
          </w:p>
        </w:tc>
      </w:tr>
      <w:tr w14:paraId="4D983F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trPr>
        <w:tc>
          <w:tcPr>
            <w:tcW w:w="414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3107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一、</w:t>
            </w:r>
            <w:bookmarkStart w:id="0" w:name="_Hlk66973412"/>
            <w:r>
              <w:rPr>
                <w:rFonts w:hint="eastAsia" w:ascii="黑体" w:hAnsi="宋体" w:eastAsia="黑体" w:cs="黑体"/>
                <w:i w:val="0"/>
                <w:iCs w:val="0"/>
                <w:caps w:val="0"/>
                <w:color w:val="000000"/>
                <w:spacing w:val="0"/>
                <w:sz w:val="21"/>
                <w:szCs w:val="21"/>
              </w:rPr>
              <w:t>本年新收政府信息公开申请数量</w:t>
            </w:r>
            <w:bookmarkEnd w:id="0"/>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F41B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5F5F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5D10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402F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2021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6540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BE08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28E625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 w:hRule="atLeast"/>
        </w:trPr>
        <w:tc>
          <w:tcPr>
            <w:tcW w:w="414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1642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二、上年结转政府信息公开申请数量</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BE0B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7955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D77C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E202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BBBE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D7E7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37AF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18091D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63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A348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三、本年度办理结果</w:t>
            </w:r>
          </w:p>
        </w:tc>
        <w:tc>
          <w:tcPr>
            <w:tcW w:w="35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4C75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（一）予以公开</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05AA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1CFD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0D84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E1CD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E5D8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372B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6F83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67D12E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7CB8D8">
            <w:pPr>
              <w:rPr>
                <w:rFonts w:hint="default" w:ascii="sans-serif" w:hAnsi="sans-serif" w:eastAsia="sans-serif" w:cs="sans-serif"/>
                <w:i w:val="0"/>
                <w:iCs w:val="0"/>
                <w:caps w:val="0"/>
                <w:color w:val="000000"/>
                <w:spacing w:val="0"/>
                <w:sz w:val="27"/>
                <w:szCs w:val="27"/>
              </w:rPr>
            </w:pPr>
          </w:p>
        </w:tc>
        <w:tc>
          <w:tcPr>
            <w:tcW w:w="35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C2C3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（二）部分公开（</w:t>
            </w:r>
            <w:bookmarkStart w:id="1" w:name="_Hlk66973981"/>
            <w:r>
              <w:rPr>
                <w:rFonts w:hint="eastAsia" w:ascii="黑体" w:hAnsi="宋体" w:eastAsia="黑体" w:cs="黑体"/>
                <w:i w:val="0"/>
                <w:iCs w:val="0"/>
                <w:caps w:val="0"/>
                <w:color w:val="000000"/>
                <w:spacing w:val="0"/>
                <w:sz w:val="21"/>
                <w:szCs w:val="21"/>
              </w:rPr>
              <w:t>区分处理的，只计这一情形，不计其他情形</w:t>
            </w:r>
            <w:bookmarkEnd w:id="1"/>
            <w:r>
              <w:rPr>
                <w:rFonts w:hint="eastAsia" w:ascii="黑体" w:hAnsi="宋体" w:eastAsia="黑体" w:cs="黑体"/>
                <w:i w:val="0"/>
                <w:iCs w:val="0"/>
                <w:caps w:val="0"/>
                <w:color w:val="000000"/>
                <w:spacing w:val="0"/>
                <w:sz w:val="21"/>
                <w:szCs w:val="21"/>
              </w:rPr>
              <w:t>）</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9CB4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C7E1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B4BA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4B2A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55FA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1349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62CA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1EF130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2E4C0D">
            <w:pPr>
              <w:rPr>
                <w:rFonts w:hint="default" w:ascii="sans-serif" w:hAnsi="sans-serif" w:eastAsia="sans-serif" w:cs="sans-serif"/>
                <w:i w:val="0"/>
                <w:iCs w:val="0"/>
                <w:caps w:val="0"/>
                <w:color w:val="000000"/>
                <w:spacing w:val="0"/>
                <w:sz w:val="27"/>
                <w:szCs w:val="27"/>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4258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（三）不予公开</w:t>
            </w: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CD50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1.属于国家秘密</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C3E8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F098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24A8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6B1E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74FF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209D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A20B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2B62E7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960822">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DEFB08">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5ED6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2.</w:t>
            </w:r>
            <w:bookmarkStart w:id="2" w:name="_Hlk66974104"/>
            <w:r>
              <w:rPr>
                <w:rFonts w:hint="eastAsia" w:ascii="仿宋_GB2312" w:hAnsi="sans-serif" w:eastAsia="仿宋_GB2312" w:cs="仿宋_GB2312"/>
                <w:i w:val="0"/>
                <w:iCs w:val="0"/>
                <w:caps w:val="0"/>
                <w:color w:val="000000"/>
                <w:spacing w:val="0"/>
                <w:sz w:val="21"/>
                <w:szCs w:val="21"/>
              </w:rPr>
              <w:t>其他法律行政法规禁止公开</w:t>
            </w:r>
            <w:bookmarkEnd w:id="2"/>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847B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953D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AA8A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EF04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E404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FF28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A9A2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00FA62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5FC70B">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DD5F3B">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C78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3.危及“三安全一稳定”</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1FB7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131B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FF98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D7A1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20B0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0D47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A736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2DCA1F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D6B84C">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B04D2A">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8AAF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4.</w:t>
            </w:r>
            <w:bookmarkStart w:id="3" w:name="_Hlk66974290"/>
            <w:r>
              <w:rPr>
                <w:rFonts w:hint="eastAsia" w:ascii="仿宋_GB2312" w:hAnsi="sans-serif" w:eastAsia="仿宋_GB2312" w:cs="仿宋_GB2312"/>
                <w:i w:val="0"/>
                <w:iCs w:val="0"/>
                <w:caps w:val="0"/>
                <w:color w:val="000000"/>
                <w:spacing w:val="0"/>
                <w:sz w:val="21"/>
                <w:szCs w:val="21"/>
              </w:rPr>
              <w:t>保护第三方合法权益</w:t>
            </w:r>
            <w:bookmarkEnd w:id="3"/>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D7BB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F187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F676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96B7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0717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1CBE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9D00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54863A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B5A37F">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8CABF2">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A5FA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5.属于三类内部事务信息</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8236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7002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EBF3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7F0D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0920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96F9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35EF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6CA2FC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C59135">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703B68">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CB92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6.</w:t>
            </w:r>
            <w:bookmarkStart w:id="4" w:name="_Hlk66974555"/>
            <w:r>
              <w:rPr>
                <w:rFonts w:hint="eastAsia" w:ascii="仿宋_GB2312" w:hAnsi="sans-serif" w:eastAsia="仿宋_GB2312" w:cs="仿宋_GB2312"/>
                <w:i w:val="0"/>
                <w:iCs w:val="0"/>
                <w:caps w:val="0"/>
                <w:color w:val="000000"/>
                <w:spacing w:val="0"/>
                <w:sz w:val="21"/>
                <w:szCs w:val="21"/>
              </w:rPr>
              <w:t>属于四类过程性信息</w:t>
            </w:r>
            <w:bookmarkEnd w:id="4"/>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315F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4748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1BFE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F67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0C20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803D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C12A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680B17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76D55F">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4345D4">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8F7F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7.属于行政执法案卷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12E4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CB3B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FD30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C35F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C755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9108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5C7B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070991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E12CCA">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3A5E92">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C968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8.</w:t>
            </w:r>
            <w:bookmarkStart w:id="5" w:name="_Hlk66975211"/>
            <w:r>
              <w:rPr>
                <w:rFonts w:hint="eastAsia" w:ascii="仿宋_GB2312" w:hAnsi="sans-serif" w:eastAsia="仿宋_GB2312" w:cs="仿宋_GB2312"/>
                <w:i w:val="0"/>
                <w:iCs w:val="0"/>
                <w:caps w:val="0"/>
                <w:color w:val="000000"/>
                <w:spacing w:val="0"/>
                <w:sz w:val="21"/>
                <w:szCs w:val="21"/>
              </w:rPr>
              <w:t>属于行政查询事项</w:t>
            </w:r>
            <w:bookmarkEnd w:id="5"/>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C564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77C0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B940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466C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D139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BC34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9CFF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6CF581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B727F2">
            <w:pPr>
              <w:rPr>
                <w:rFonts w:hint="default" w:ascii="sans-serif" w:hAnsi="sans-serif" w:eastAsia="sans-serif" w:cs="sans-serif"/>
                <w:i w:val="0"/>
                <w:iCs w:val="0"/>
                <w:caps w:val="0"/>
                <w:color w:val="000000"/>
                <w:spacing w:val="0"/>
                <w:sz w:val="27"/>
                <w:szCs w:val="27"/>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14BD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（四）无法提供</w:t>
            </w: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F1E0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1.本机关不掌握相关政府信息</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23B7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B23D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9A9B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426A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ACA0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C827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3055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637EA6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07E428">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4EF5F3">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C52B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2.</w:t>
            </w:r>
            <w:bookmarkStart w:id="6" w:name="_Hlk66975392"/>
            <w:r>
              <w:rPr>
                <w:rFonts w:hint="eastAsia" w:ascii="仿宋_GB2312" w:hAnsi="sans-serif" w:eastAsia="仿宋_GB2312" w:cs="仿宋_GB2312"/>
                <w:i w:val="0"/>
                <w:iCs w:val="0"/>
                <w:caps w:val="0"/>
                <w:color w:val="000000"/>
                <w:spacing w:val="0"/>
                <w:sz w:val="21"/>
                <w:szCs w:val="21"/>
              </w:rPr>
              <w:t>没有现成信息需要另行制作</w:t>
            </w:r>
            <w:bookmarkEnd w:id="6"/>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BB5B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DA45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3B13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E7B5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9068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2777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06B5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40509B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C06AD6">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4380B8">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DFF0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3.</w:t>
            </w:r>
            <w:bookmarkStart w:id="7" w:name="_Hlk66975466"/>
            <w:r>
              <w:rPr>
                <w:rFonts w:hint="eastAsia" w:ascii="仿宋_GB2312" w:hAnsi="sans-serif" w:eastAsia="仿宋_GB2312" w:cs="仿宋_GB2312"/>
                <w:i w:val="0"/>
                <w:iCs w:val="0"/>
                <w:caps w:val="0"/>
                <w:color w:val="000000"/>
                <w:spacing w:val="0"/>
                <w:sz w:val="21"/>
                <w:szCs w:val="21"/>
              </w:rPr>
              <w:t>补正后申请内容仍不明确</w:t>
            </w:r>
            <w:bookmarkEnd w:id="7"/>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6668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85A8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5571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FE9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07F9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5EA7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8590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566AE0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EB38BE">
            <w:pPr>
              <w:rPr>
                <w:rFonts w:hint="default" w:ascii="sans-serif" w:hAnsi="sans-serif" w:eastAsia="sans-serif" w:cs="sans-serif"/>
                <w:i w:val="0"/>
                <w:iCs w:val="0"/>
                <w:caps w:val="0"/>
                <w:color w:val="000000"/>
                <w:spacing w:val="0"/>
                <w:sz w:val="27"/>
                <w:szCs w:val="27"/>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08BC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（五）不予处理</w:t>
            </w: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E7FC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1.</w:t>
            </w:r>
            <w:bookmarkStart w:id="8" w:name="_Hlk66975537"/>
            <w:r>
              <w:rPr>
                <w:rFonts w:hint="eastAsia" w:ascii="仿宋_GB2312" w:hAnsi="sans-serif" w:eastAsia="仿宋_GB2312" w:cs="仿宋_GB2312"/>
                <w:i w:val="0"/>
                <w:iCs w:val="0"/>
                <w:caps w:val="0"/>
                <w:color w:val="000000"/>
                <w:spacing w:val="0"/>
                <w:sz w:val="21"/>
                <w:szCs w:val="21"/>
              </w:rPr>
              <w:t>信访举报投诉类申请</w:t>
            </w:r>
            <w:bookmarkEnd w:id="8"/>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E9F2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7C05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F202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AFA5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0055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0100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EA93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3CF0FF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492549">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4E6EC8">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D3A3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2.重复申请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596C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51BC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C5FB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A5C1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D770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43F7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1F62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2BFA49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542BEC">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430B3F">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FDE7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3.要求提供公开出版物</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3660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C78E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A01A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FC87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913A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CD70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4459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49DB94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5EF3A7">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6FC794">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F9F2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4.无正当理由大量反复申请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B755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DE84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8DA3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7D5F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3FB1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9AE9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CAB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4BEA83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86C7B3">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AE9D68">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2D7A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5.要求行政机关确认或重新出具已获取信息</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15BB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01FF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FE73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70DC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F511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F2C6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EFB4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08C329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EA13AC">
            <w:pPr>
              <w:rPr>
                <w:rFonts w:hint="default" w:ascii="sans-serif" w:hAnsi="sans-serif" w:eastAsia="sans-serif" w:cs="sans-serif"/>
                <w:i w:val="0"/>
                <w:iCs w:val="0"/>
                <w:caps w:val="0"/>
                <w:color w:val="000000"/>
                <w:spacing w:val="0"/>
                <w:sz w:val="27"/>
                <w:szCs w:val="27"/>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504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（六）其他处理</w:t>
            </w:r>
          </w:p>
        </w:tc>
        <w:tc>
          <w:tcPr>
            <w:tcW w:w="26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19F15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1.申请人无正当理由逾期不补正、行政机关不再处理其政府信息公开申请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C26C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1A9C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C28B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6980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6D87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3FB1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E2B4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60FF91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B36674">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675ED3">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2646B5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2.申请人逾期未按收费通知要求缴纳费用、行政机关不再处理其政府信息公开申请</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CABA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9E94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00DE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A315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CC5B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17F3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1FC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393E16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B35339">
            <w:pPr>
              <w:rPr>
                <w:rFonts w:hint="default" w:ascii="sans-serif" w:hAnsi="sans-serif" w:eastAsia="sans-serif" w:cs="sans-serif"/>
                <w:i w:val="0"/>
                <w:iCs w:val="0"/>
                <w:caps w:val="0"/>
                <w:color w:val="000000"/>
                <w:spacing w:val="0"/>
                <w:sz w:val="27"/>
                <w:szCs w:val="27"/>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16BF0B">
            <w:pPr>
              <w:rPr>
                <w:rFonts w:hint="default" w:ascii="sans-serif" w:hAnsi="sans-serif" w:eastAsia="sans-serif" w:cs="sans-serif"/>
                <w:i w:val="0"/>
                <w:iCs w:val="0"/>
                <w:caps w:val="0"/>
                <w:color w:val="000000"/>
                <w:spacing w:val="0"/>
                <w:sz w:val="27"/>
                <w:szCs w:val="27"/>
              </w:rPr>
            </w:pPr>
          </w:p>
        </w:tc>
        <w:tc>
          <w:tcPr>
            <w:tcW w:w="267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EEB9C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hAnsi="sans-serif" w:eastAsia="仿宋_GB2312" w:cs="仿宋_GB2312"/>
                <w:i w:val="0"/>
                <w:iCs w:val="0"/>
                <w:caps w:val="0"/>
                <w:color w:val="000000"/>
                <w:spacing w:val="0"/>
                <w:sz w:val="21"/>
                <w:szCs w:val="21"/>
              </w:rPr>
              <w:t>3.其他</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8248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6D6C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C9B7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FCEE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8255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BF4F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F523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74991E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B43E0C">
            <w:pPr>
              <w:rPr>
                <w:rFonts w:hint="default" w:ascii="sans-serif" w:hAnsi="sans-serif" w:eastAsia="sans-serif" w:cs="sans-serif"/>
                <w:i w:val="0"/>
                <w:iCs w:val="0"/>
                <w:caps w:val="0"/>
                <w:color w:val="000000"/>
                <w:spacing w:val="0"/>
                <w:sz w:val="27"/>
                <w:szCs w:val="27"/>
              </w:rPr>
            </w:pPr>
          </w:p>
        </w:tc>
        <w:tc>
          <w:tcPr>
            <w:tcW w:w="35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BBDE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（七）总计</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316A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090C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AE6D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2894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3B1B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6B22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E9B3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r w14:paraId="26274B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414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546E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aps w:val="0"/>
                <w:color w:val="000000"/>
                <w:spacing w:val="0"/>
                <w:sz w:val="21"/>
                <w:szCs w:val="21"/>
              </w:rPr>
              <w:t>四、结转下年度继续办理</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E302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36AC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CD61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56B6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2A41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2A8A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3602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hAnsi="sans-serif" w:eastAsia="仿宋_GB2312" w:cs="仿宋_GB2312"/>
                <w:i w:val="0"/>
                <w:iCs w:val="0"/>
                <w:caps w:val="0"/>
                <w:color w:val="000000"/>
                <w:spacing w:val="0"/>
                <w:sz w:val="21"/>
                <w:szCs w:val="21"/>
              </w:rPr>
              <w:t>0</w:t>
            </w:r>
          </w:p>
        </w:tc>
      </w:tr>
    </w:tbl>
    <w:p w14:paraId="7B4CF530">
      <w:pPr>
        <w:keepNext w:val="0"/>
        <w:keepLines w:val="0"/>
        <w:pageBreakBefore w:val="0"/>
        <w:widowControl/>
        <w:kinsoku w:val="0"/>
        <w:wordWrap/>
        <w:overflowPunct/>
        <w:topLinePunct w:val="0"/>
        <w:autoSpaceDE w:val="0"/>
        <w:autoSpaceDN w:val="0"/>
        <w:bidi w:val="0"/>
        <w:adjustRightInd w:val="0"/>
        <w:snapToGrid w:val="0"/>
        <w:spacing w:before="101" w:line="226" w:lineRule="auto"/>
        <w:ind w:firstLine="628" w:firstLineChars="200"/>
        <w:textAlignment w:val="baseline"/>
        <w:rPr>
          <w:rFonts w:ascii="黑体" w:hAnsi="黑体" w:eastAsia="黑体" w:cs="黑体"/>
          <w:sz w:val="31"/>
          <w:szCs w:val="31"/>
        </w:rPr>
      </w:pPr>
      <w:r>
        <w:rPr>
          <w:rFonts w:ascii="黑体" w:hAnsi="黑体" w:eastAsia="黑体" w:cs="黑体"/>
          <w:color w:val="333333"/>
          <w:spacing w:val="-3"/>
          <w:sz w:val="32"/>
          <w:szCs w:val="32"/>
        </w:rPr>
        <w:t>四、政府信息公开行政复议、行政诉讼情况</w:t>
      </w:r>
    </w:p>
    <w:p w14:paraId="0269D7DF">
      <w:pPr>
        <w:spacing w:line="91" w:lineRule="exact"/>
      </w:pPr>
    </w:p>
    <w:tbl>
      <w:tblPr>
        <w:tblStyle w:val="7"/>
        <w:tblW w:w="9075" w:type="dxa"/>
        <w:tblInd w:w="2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3"/>
        <w:gridCol w:w="603"/>
        <w:gridCol w:w="603"/>
        <w:gridCol w:w="603"/>
        <w:gridCol w:w="657"/>
        <w:gridCol w:w="549"/>
        <w:gridCol w:w="604"/>
        <w:gridCol w:w="604"/>
        <w:gridCol w:w="604"/>
        <w:gridCol w:w="604"/>
        <w:gridCol w:w="604"/>
        <w:gridCol w:w="604"/>
        <w:gridCol w:w="604"/>
        <w:gridCol w:w="605"/>
        <w:gridCol w:w="614"/>
      </w:tblGrid>
      <w:tr w14:paraId="642EA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3079" w:type="dxa"/>
            <w:gridSpan w:val="5"/>
            <w:vAlign w:val="top"/>
          </w:tcPr>
          <w:p w14:paraId="26201452">
            <w:pPr>
              <w:spacing w:before="153" w:line="230" w:lineRule="auto"/>
              <w:ind w:left="1162"/>
              <w:rPr>
                <w:rFonts w:ascii="黑体" w:hAnsi="黑体" w:eastAsia="黑体" w:cs="黑体"/>
                <w:sz w:val="19"/>
                <w:szCs w:val="19"/>
              </w:rPr>
            </w:pPr>
            <w:r>
              <w:rPr>
                <w:rFonts w:ascii="黑体" w:hAnsi="黑体" w:eastAsia="黑体" w:cs="黑体"/>
                <w:spacing w:val="-1"/>
                <w:sz w:val="19"/>
                <w:szCs w:val="19"/>
              </w:rPr>
              <w:t>行政复议</w:t>
            </w:r>
          </w:p>
        </w:tc>
        <w:tc>
          <w:tcPr>
            <w:tcW w:w="5996" w:type="dxa"/>
            <w:gridSpan w:val="10"/>
            <w:vAlign w:val="top"/>
          </w:tcPr>
          <w:p w14:paraId="743DEB52">
            <w:pPr>
              <w:spacing w:before="153" w:line="229" w:lineRule="auto"/>
              <w:ind w:left="2619"/>
              <w:rPr>
                <w:rFonts w:ascii="黑体" w:hAnsi="黑体" w:eastAsia="黑体" w:cs="黑体"/>
                <w:sz w:val="19"/>
                <w:szCs w:val="19"/>
              </w:rPr>
            </w:pPr>
            <w:r>
              <w:rPr>
                <w:rFonts w:ascii="黑体" w:hAnsi="黑体" w:eastAsia="黑体" w:cs="黑体"/>
                <w:spacing w:val="-1"/>
                <w:sz w:val="19"/>
                <w:szCs w:val="19"/>
              </w:rPr>
              <w:t>行政诉讼</w:t>
            </w:r>
          </w:p>
        </w:tc>
      </w:tr>
      <w:tr w14:paraId="0247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613" w:type="dxa"/>
            <w:vMerge w:val="restart"/>
            <w:tcBorders>
              <w:bottom w:val="nil"/>
            </w:tcBorders>
            <w:vAlign w:val="top"/>
          </w:tcPr>
          <w:p w14:paraId="4B0C0C98">
            <w:pPr>
              <w:spacing w:line="415" w:lineRule="auto"/>
              <w:rPr>
                <w:rFonts w:ascii="Arial"/>
                <w:sz w:val="21"/>
              </w:rPr>
            </w:pPr>
          </w:p>
          <w:p w14:paraId="1EAC1247">
            <w:pPr>
              <w:spacing w:before="62" w:line="288" w:lineRule="auto"/>
              <w:ind w:left="124" w:right="91"/>
              <w:rPr>
                <w:rFonts w:ascii="黑体" w:hAnsi="黑体" w:eastAsia="黑体" w:cs="黑体"/>
                <w:sz w:val="19"/>
                <w:szCs w:val="19"/>
              </w:rPr>
            </w:pPr>
            <w:r>
              <w:rPr>
                <w:rFonts w:ascii="黑体" w:hAnsi="黑体" w:eastAsia="黑体" w:cs="黑体"/>
                <w:sz w:val="19"/>
                <w:szCs w:val="19"/>
              </w:rPr>
              <w:t xml:space="preserve">结果 </w:t>
            </w:r>
            <w:r>
              <w:rPr>
                <w:rFonts w:ascii="黑体" w:hAnsi="黑体" w:eastAsia="黑体" w:cs="黑体"/>
                <w:spacing w:val="1"/>
                <w:sz w:val="19"/>
                <w:szCs w:val="19"/>
              </w:rPr>
              <w:t>维持</w:t>
            </w:r>
          </w:p>
        </w:tc>
        <w:tc>
          <w:tcPr>
            <w:tcW w:w="603" w:type="dxa"/>
            <w:vMerge w:val="restart"/>
            <w:tcBorders>
              <w:bottom w:val="nil"/>
            </w:tcBorders>
            <w:vAlign w:val="top"/>
          </w:tcPr>
          <w:p w14:paraId="456AFEF7">
            <w:pPr>
              <w:spacing w:line="415" w:lineRule="auto"/>
              <w:rPr>
                <w:rFonts w:ascii="Arial"/>
                <w:sz w:val="21"/>
              </w:rPr>
            </w:pPr>
          </w:p>
          <w:p w14:paraId="627FCBBA">
            <w:pPr>
              <w:spacing w:before="62" w:line="289" w:lineRule="auto"/>
              <w:ind w:left="150" w:right="58" w:hanging="2"/>
              <w:rPr>
                <w:rFonts w:ascii="黑体" w:hAnsi="黑体" w:eastAsia="黑体" w:cs="黑体"/>
                <w:sz w:val="19"/>
                <w:szCs w:val="19"/>
              </w:rPr>
            </w:pPr>
            <w:r>
              <w:rPr>
                <w:rFonts w:ascii="黑体" w:hAnsi="黑体" w:eastAsia="黑体" w:cs="黑体"/>
                <w:sz w:val="19"/>
                <w:szCs w:val="19"/>
              </w:rPr>
              <w:t xml:space="preserve">结果 </w:t>
            </w:r>
            <w:r>
              <w:rPr>
                <w:rFonts w:ascii="黑体" w:hAnsi="黑体" w:eastAsia="黑体" w:cs="黑体"/>
                <w:spacing w:val="-1"/>
                <w:sz w:val="19"/>
                <w:szCs w:val="19"/>
              </w:rPr>
              <w:t>纠正</w:t>
            </w:r>
          </w:p>
        </w:tc>
        <w:tc>
          <w:tcPr>
            <w:tcW w:w="603" w:type="dxa"/>
            <w:vMerge w:val="restart"/>
            <w:tcBorders>
              <w:bottom w:val="nil"/>
            </w:tcBorders>
            <w:vAlign w:val="top"/>
          </w:tcPr>
          <w:p w14:paraId="0471C39A">
            <w:pPr>
              <w:spacing w:line="415" w:lineRule="auto"/>
              <w:rPr>
                <w:rFonts w:ascii="Arial"/>
                <w:sz w:val="21"/>
              </w:rPr>
            </w:pPr>
          </w:p>
          <w:p w14:paraId="6CF2AE5A">
            <w:pPr>
              <w:spacing w:before="61" w:line="290" w:lineRule="auto"/>
              <w:ind w:left="114" w:right="92" w:firstLine="3"/>
              <w:rPr>
                <w:rFonts w:ascii="黑体" w:hAnsi="黑体" w:eastAsia="黑体" w:cs="黑体"/>
                <w:sz w:val="19"/>
                <w:szCs w:val="19"/>
              </w:rPr>
            </w:pPr>
            <w:r>
              <w:rPr>
                <w:rFonts w:ascii="黑体" w:hAnsi="黑体" w:eastAsia="黑体" w:cs="黑体"/>
                <w:spacing w:val="-1"/>
                <w:sz w:val="19"/>
                <w:szCs w:val="19"/>
              </w:rPr>
              <w:t>其他</w:t>
            </w:r>
            <w:r>
              <w:rPr>
                <w:rFonts w:ascii="黑体" w:hAnsi="黑体" w:eastAsia="黑体" w:cs="黑体"/>
                <w:sz w:val="19"/>
                <w:szCs w:val="19"/>
              </w:rPr>
              <w:t xml:space="preserve"> 结果</w:t>
            </w:r>
          </w:p>
        </w:tc>
        <w:tc>
          <w:tcPr>
            <w:tcW w:w="603" w:type="dxa"/>
            <w:vMerge w:val="restart"/>
            <w:tcBorders>
              <w:bottom w:val="nil"/>
            </w:tcBorders>
            <w:vAlign w:val="top"/>
          </w:tcPr>
          <w:p w14:paraId="3E8EFE27">
            <w:pPr>
              <w:spacing w:line="415" w:lineRule="auto"/>
              <w:rPr>
                <w:rFonts w:ascii="Arial"/>
                <w:sz w:val="21"/>
              </w:rPr>
            </w:pPr>
          </w:p>
          <w:p w14:paraId="4BD707B2">
            <w:pPr>
              <w:spacing w:before="62" w:line="288" w:lineRule="auto"/>
              <w:ind w:left="114" w:right="97" w:firstLine="5"/>
              <w:rPr>
                <w:rFonts w:ascii="黑体" w:hAnsi="黑体" w:eastAsia="黑体" w:cs="黑体"/>
                <w:sz w:val="19"/>
                <w:szCs w:val="19"/>
              </w:rPr>
            </w:pPr>
            <w:r>
              <w:rPr>
                <w:rFonts w:ascii="黑体" w:hAnsi="黑体" w:eastAsia="黑体" w:cs="黑体"/>
                <w:spacing w:val="-6"/>
                <w:sz w:val="19"/>
                <w:szCs w:val="19"/>
              </w:rPr>
              <w:t>尚未</w:t>
            </w:r>
            <w:r>
              <w:rPr>
                <w:rFonts w:ascii="黑体" w:hAnsi="黑体" w:eastAsia="黑体" w:cs="黑体"/>
                <w:sz w:val="19"/>
                <w:szCs w:val="19"/>
              </w:rPr>
              <w:t xml:space="preserve"> </w:t>
            </w:r>
            <w:r>
              <w:rPr>
                <w:rFonts w:ascii="黑体" w:hAnsi="黑体" w:eastAsia="黑体" w:cs="黑体"/>
                <w:spacing w:val="-3"/>
                <w:sz w:val="19"/>
                <w:szCs w:val="19"/>
              </w:rPr>
              <w:t>审结</w:t>
            </w:r>
          </w:p>
        </w:tc>
        <w:tc>
          <w:tcPr>
            <w:tcW w:w="657" w:type="dxa"/>
            <w:vMerge w:val="restart"/>
            <w:tcBorders>
              <w:bottom w:val="nil"/>
            </w:tcBorders>
            <w:textDirection w:val="tbRlV"/>
            <w:vAlign w:val="top"/>
          </w:tcPr>
          <w:p w14:paraId="4FD033EC">
            <w:pPr>
              <w:spacing w:before="219" w:line="218" w:lineRule="auto"/>
              <w:ind w:left="501"/>
              <w:rPr>
                <w:rFonts w:ascii="黑体" w:hAnsi="黑体" w:eastAsia="黑体" w:cs="黑体"/>
                <w:sz w:val="19"/>
                <w:szCs w:val="19"/>
              </w:rPr>
            </w:pPr>
            <w:r>
              <w:rPr>
                <w:rFonts w:ascii="黑体" w:hAnsi="黑体" w:eastAsia="黑体" w:cs="黑体"/>
                <w:spacing w:val="11"/>
                <w:sz w:val="19"/>
                <w:szCs w:val="19"/>
              </w:rPr>
              <w:t>总</w:t>
            </w:r>
            <w:r>
              <w:rPr>
                <w:rFonts w:ascii="黑体" w:hAnsi="黑体" w:eastAsia="黑体" w:cs="黑体"/>
                <w:spacing w:val="23"/>
                <w:sz w:val="19"/>
                <w:szCs w:val="19"/>
              </w:rPr>
              <w:t xml:space="preserve"> </w:t>
            </w:r>
            <w:r>
              <w:rPr>
                <w:rFonts w:ascii="黑体" w:hAnsi="黑体" w:eastAsia="黑体" w:cs="黑体"/>
                <w:spacing w:val="11"/>
                <w:sz w:val="19"/>
                <w:szCs w:val="19"/>
              </w:rPr>
              <w:t>计</w:t>
            </w:r>
          </w:p>
        </w:tc>
        <w:tc>
          <w:tcPr>
            <w:tcW w:w="2965" w:type="dxa"/>
            <w:gridSpan w:val="5"/>
            <w:vAlign w:val="top"/>
          </w:tcPr>
          <w:p w14:paraId="742ED028">
            <w:pPr>
              <w:spacing w:before="172" w:line="229" w:lineRule="auto"/>
              <w:ind w:left="730"/>
              <w:rPr>
                <w:rFonts w:ascii="黑体" w:hAnsi="黑体" w:eastAsia="黑体" w:cs="黑体"/>
                <w:sz w:val="19"/>
                <w:szCs w:val="19"/>
              </w:rPr>
            </w:pPr>
            <w:r>
              <w:rPr>
                <w:rFonts w:ascii="黑体" w:hAnsi="黑体" w:eastAsia="黑体" w:cs="黑体"/>
                <w:spacing w:val="-1"/>
                <w:sz w:val="19"/>
                <w:szCs w:val="19"/>
              </w:rPr>
              <w:t>未经复议直接起诉</w:t>
            </w:r>
          </w:p>
        </w:tc>
        <w:tc>
          <w:tcPr>
            <w:tcW w:w="3031" w:type="dxa"/>
            <w:gridSpan w:val="5"/>
            <w:vAlign w:val="top"/>
          </w:tcPr>
          <w:p w14:paraId="7AEE457A">
            <w:pPr>
              <w:spacing w:before="172" w:line="229" w:lineRule="auto"/>
              <w:ind w:left="1046"/>
              <w:rPr>
                <w:rFonts w:ascii="黑体" w:hAnsi="黑体" w:eastAsia="黑体" w:cs="黑体"/>
                <w:sz w:val="19"/>
                <w:szCs w:val="19"/>
              </w:rPr>
            </w:pPr>
            <w:r>
              <w:rPr>
                <w:rFonts w:ascii="黑体" w:hAnsi="黑体" w:eastAsia="黑体" w:cs="黑体"/>
                <w:spacing w:val="-1"/>
                <w:sz w:val="19"/>
                <w:szCs w:val="19"/>
              </w:rPr>
              <w:t>复议后起诉</w:t>
            </w:r>
          </w:p>
        </w:tc>
      </w:tr>
      <w:tr w14:paraId="3E57F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trPr>
        <w:tc>
          <w:tcPr>
            <w:tcW w:w="613" w:type="dxa"/>
            <w:vMerge w:val="continue"/>
            <w:tcBorders>
              <w:top w:val="nil"/>
            </w:tcBorders>
            <w:vAlign w:val="top"/>
          </w:tcPr>
          <w:p w14:paraId="5FD5DE0D">
            <w:pPr>
              <w:rPr>
                <w:rFonts w:ascii="Arial"/>
                <w:sz w:val="21"/>
              </w:rPr>
            </w:pPr>
          </w:p>
        </w:tc>
        <w:tc>
          <w:tcPr>
            <w:tcW w:w="603" w:type="dxa"/>
            <w:vMerge w:val="continue"/>
            <w:tcBorders>
              <w:top w:val="nil"/>
            </w:tcBorders>
            <w:vAlign w:val="top"/>
          </w:tcPr>
          <w:p w14:paraId="2149A9A4">
            <w:pPr>
              <w:rPr>
                <w:rFonts w:ascii="Arial"/>
                <w:sz w:val="21"/>
              </w:rPr>
            </w:pPr>
          </w:p>
        </w:tc>
        <w:tc>
          <w:tcPr>
            <w:tcW w:w="603" w:type="dxa"/>
            <w:vMerge w:val="continue"/>
            <w:tcBorders>
              <w:top w:val="nil"/>
            </w:tcBorders>
            <w:vAlign w:val="top"/>
          </w:tcPr>
          <w:p w14:paraId="77577B21">
            <w:pPr>
              <w:rPr>
                <w:rFonts w:ascii="Arial"/>
                <w:sz w:val="21"/>
              </w:rPr>
            </w:pPr>
          </w:p>
        </w:tc>
        <w:tc>
          <w:tcPr>
            <w:tcW w:w="603" w:type="dxa"/>
            <w:vMerge w:val="continue"/>
            <w:tcBorders>
              <w:top w:val="nil"/>
            </w:tcBorders>
            <w:vAlign w:val="top"/>
          </w:tcPr>
          <w:p w14:paraId="1BCDD874">
            <w:pPr>
              <w:rPr>
                <w:rFonts w:ascii="Arial"/>
                <w:sz w:val="21"/>
              </w:rPr>
            </w:pPr>
          </w:p>
        </w:tc>
        <w:tc>
          <w:tcPr>
            <w:tcW w:w="657" w:type="dxa"/>
            <w:vMerge w:val="continue"/>
            <w:tcBorders>
              <w:top w:val="nil"/>
            </w:tcBorders>
            <w:textDirection w:val="tbRlV"/>
            <w:vAlign w:val="top"/>
          </w:tcPr>
          <w:p w14:paraId="1140EE9B">
            <w:pPr>
              <w:rPr>
                <w:rFonts w:ascii="Arial"/>
                <w:sz w:val="21"/>
              </w:rPr>
            </w:pPr>
          </w:p>
        </w:tc>
        <w:tc>
          <w:tcPr>
            <w:tcW w:w="549" w:type="dxa"/>
            <w:vAlign w:val="top"/>
          </w:tcPr>
          <w:p w14:paraId="38B42DA8">
            <w:pPr>
              <w:spacing w:before="199" w:line="288" w:lineRule="auto"/>
              <w:ind w:left="93" w:right="58"/>
              <w:rPr>
                <w:rFonts w:ascii="黑体" w:hAnsi="黑体" w:eastAsia="黑体" w:cs="黑体"/>
                <w:sz w:val="19"/>
                <w:szCs w:val="19"/>
              </w:rPr>
            </w:pPr>
            <w:r>
              <w:rPr>
                <w:rFonts w:ascii="黑体" w:hAnsi="黑体" w:eastAsia="黑体" w:cs="黑体"/>
                <w:sz w:val="19"/>
                <w:szCs w:val="19"/>
              </w:rPr>
              <w:t xml:space="preserve">结果 </w:t>
            </w:r>
            <w:r>
              <w:rPr>
                <w:rFonts w:ascii="黑体" w:hAnsi="黑体" w:eastAsia="黑体" w:cs="黑体"/>
                <w:spacing w:val="1"/>
                <w:sz w:val="19"/>
                <w:szCs w:val="19"/>
              </w:rPr>
              <w:t>维持</w:t>
            </w:r>
          </w:p>
        </w:tc>
        <w:tc>
          <w:tcPr>
            <w:tcW w:w="604" w:type="dxa"/>
            <w:vAlign w:val="top"/>
          </w:tcPr>
          <w:p w14:paraId="2AD082C3">
            <w:pPr>
              <w:spacing w:before="199" w:line="289" w:lineRule="auto"/>
              <w:ind w:left="113" w:right="95" w:hanging="2"/>
              <w:rPr>
                <w:rFonts w:ascii="黑体" w:hAnsi="黑体" w:eastAsia="黑体" w:cs="黑体"/>
                <w:sz w:val="19"/>
                <w:szCs w:val="19"/>
              </w:rPr>
            </w:pPr>
            <w:r>
              <w:rPr>
                <w:rFonts w:ascii="黑体" w:hAnsi="黑体" w:eastAsia="黑体" w:cs="黑体"/>
                <w:sz w:val="19"/>
                <w:szCs w:val="19"/>
              </w:rPr>
              <w:t xml:space="preserve">结果 </w:t>
            </w:r>
            <w:r>
              <w:rPr>
                <w:rFonts w:ascii="黑体" w:hAnsi="黑体" w:eastAsia="黑体" w:cs="黑体"/>
                <w:spacing w:val="-1"/>
                <w:sz w:val="19"/>
                <w:szCs w:val="19"/>
              </w:rPr>
              <w:t>纠正</w:t>
            </w:r>
          </w:p>
        </w:tc>
        <w:tc>
          <w:tcPr>
            <w:tcW w:w="604" w:type="dxa"/>
            <w:vAlign w:val="top"/>
          </w:tcPr>
          <w:p w14:paraId="09033B4E">
            <w:pPr>
              <w:spacing w:before="198" w:line="290" w:lineRule="auto"/>
              <w:ind w:left="117" w:right="90" w:firstLine="3"/>
              <w:rPr>
                <w:rFonts w:ascii="黑体" w:hAnsi="黑体" w:eastAsia="黑体" w:cs="黑体"/>
                <w:sz w:val="19"/>
                <w:szCs w:val="19"/>
              </w:rPr>
            </w:pPr>
            <w:r>
              <w:rPr>
                <w:rFonts w:ascii="黑体" w:hAnsi="黑体" w:eastAsia="黑体" w:cs="黑体"/>
                <w:spacing w:val="-1"/>
                <w:sz w:val="19"/>
                <w:szCs w:val="19"/>
              </w:rPr>
              <w:t>其他</w:t>
            </w:r>
            <w:r>
              <w:rPr>
                <w:rFonts w:ascii="黑体" w:hAnsi="黑体" w:eastAsia="黑体" w:cs="黑体"/>
                <w:sz w:val="19"/>
                <w:szCs w:val="19"/>
              </w:rPr>
              <w:t xml:space="preserve"> 结果</w:t>
            </w:r>
          </w:p>
        </w:tc>
        <w:tc>
          <w:tcPr>
            <w:tcW w:w="604" w:type="dxa"/>
            <w:vAlign w:val="top"/>
          </w:tcPr>
          <w:p w14:paraId="2E808985">
            <w:pPr>
              <w:spacing w:before="199" w:line="288" w:lineRule="auto"/>
              <w:ind w:left="114" w:right="98" w:firstLine="5"/>
              <w:rPr>
                <w:rFonts w:ascii="黑体" w:hAnsi="黑体" w:eastAsia="黑体" w:cs="黑体"/>
                <w:sz w:val="19"/>
                <w:szCs w:val="19"/>
              </w:rPr>
            </w:pPr>
            <w:r>
              <w:rPr>
                <w:rFonts w:ascii="黑体" w:hAnsi="黑体" w:eastAsia="黑体" w:cs="黑体"/>
                <w:spacing w:val="-6"/>
                <w:sz w:val="19"/>
                <w:szCs w:val="19"/>
              </w:rPr>
              <w:t>尚未</w:t>
            </w:r>
            <w:r>
              <w:rPr>
                <w:rFonts w:ascii="黑体" w:hAnsi="黑体" w:eastAsia="黑体" w:cs="黑体"/>
                <w:sz w:val="19"/>
                <w:szCs w:val="19"/>
              </w:rPr>
              <w:t xml:space="preserve"> </w:t>
            </w:r>
            <w:r>
              <w:rPr>
                <w:rFonts w:ascii="黑体" w:hAnsi="黑体" w:eastAsia="黑体" w:cs="黑体"/>
                <w:spacing w:val="-3"/>
                <w:sz w:val="19"/>
                <w:szCs w:val="19"/>
              </w:rPr>
              <w:t>审结</w:t>
            </w:r>
          </w:p>
        </w:tc>
        <w:tc>
          <w:tcPr>
            <w:tcW w:w="604" w:type="dxa"/>
            <w:vAlign w:val="top"/>
          </w:tcPr>
          <w:p w14:paraId="2367D485">
            <w:pPr>
              <w:spacing w:line="291" w:lineRule="auto"/>
              <w:rPr>
                <w:rFonts w:ascii="Arial"/>
                <w:sz w:val="21"/>
              </w:rPr>
            </w:pPr>
          </w:p>
          <w:p w14:paraId="0EDE4C0C">
            <w:pPr>
              <w:spacing w:before="62" w:line="234" w:lineRule="auto"/>
              <w:ind w:left="118"/>
              <w:rPr>
                <w:rFonts w:ascii="黑体" w:hAnsi="黑体" w:eastAsia="黑体" w:cs="黑体"/>
                <w:sz w:val="19"/>
                <w:szCs w:val="19"/>
              </w:rPr>
            </w:pPr>
            <w:r>
              <w:rPr>
                <w:rFonts w:ascii="黑体" w:hAnsi="黑体" w:eastAsia="黑体" w:cs="黑体"/>
                <w:spacing w:val="-2"/>
                <w:sz w:val="19"/>
                <w:szCs w:val="19"/>
              </w:rPr>
              <w:t>总计</w:t>
            </w:r>
          </w:p>
        </w:tc>
        <w:tc>
          <w:tcPr>
            <w:tcW w:w="604" w:type="dxa"/>
            <w:vAlign w:val="top"/>
          </w:tcPr>
          <w:p w14:paraId="4D3C5923">
            <w:pPr>
              <w:spacing w:before="199" w:line="288" w:lineRule="auto"/>
              <w:ind w:left="104" w:right="102"/>
              <w:rPr>
                <w:rFonts w:ascii="黑体" w:hAnsi="黑体" w:eastAsia="黑体" w:cs="黑体"/>
                <w:sz w:val="19"/>
                <w:szCs w:val="19"/>
              </w:rPr>
            </w:pPr>
            <w:r>
              <w:rPr>
                <w:rFonts w:ascii="黑体" w:hAnsi="黑体" w:eastAsia="黑体" w:cs="黑体"/>
                <w:sz w:val="19"/>
                <w:szCs w:val="19"/>
              </w:rPr>
              <w:t xml:space="preserve">结果 </w:t>
            </w:r>
            <w:r>
              <w:rPr>
                <w:rFonts w:ascii="黑体" w:hAnsi="黑体" w:eastAsia="黑体" w:cs="黑体"/>
                <w:spacing w:val="1"/>
                <w:sz w:val="19"/>
                <w:szCs w:val="19"/>
              </w:rPr>
              <w:t>维持</w:t>
            </w:r>
          </w:p>
        </w:tc>
        <w:tc>
          <w:tcPr>
            <w:tcW w:w="604" w:type="dxa"/>
            <w:vAlign w:val="top"/>
          </w:tcPr>
          <w:p w14:paraId="58EC6EFA">
            <w:pPr>
              <w:spacing w:before="199" w:line="289" w:lineRule="auto"/>
              <w:ind w:left="112" w:right="96" w:hanging="2"/>
              <w:rPr>
                <w:rFonts w:ascii="黑体" w:hAnsi="黑体" w:eastAsia="黑体" w:cs="黑体"/>
                <w:sz w:val="19"/>
                <w:szCs w:val="19"/>
              </w:rPr>
            </w:pPr>
            <w:r>
              <w:rPr>
                <w:rFonts w:ascii="黑体" w:hAnsi="黑体" w:eastAsia="黑体" w:cs="黑体"/>
                <w:sz w:val="19"/>
                <w:szCs w:val="19"/>
              </w:rPr>
              <w:t xml:space="preserve">结果 </w:t>
            </w:r>
            <w:r>
              <w:rPr>
                <w:rFonts w:ascii="黑体" w:hAnsi="黑体" w:eastAsia="黑体" w:cs="黑体"/>
                <w:spacing w:val="-1"/>
                <w:sz w:val="19"/>
                <w:szCs w:val="19"/>
              </w:rPr>
              <w:t>纠正</w:t>
            </w:r>
          </w:p>
        </w:tc>
        <w:tc>
          <w:tcPr>
            <w:tcW w:w="604" w:type="dxa"/>
            <w:vAlign w:val="top"/>
          </w:tcPr>
          <w:p w14:paraId="539C032F">
            <w:pPr>
              <w:spacing w:before="198" w:line="290" w:lineRule="auto"/>
              <w:ind w:left="99" w:right="107" w:firstLine="3"/>
              <w:rPr>
                <w:rFonts w:ascii="黑体" w:hAnsi="黑体" w:eastAsia="黑体" w:cs="黑体"/>
                <w:sz w:val="19"/>
                <w:szCs w:val="19"/>
              </w:rPr>
            </w:pPr>
            <w:r>
              <w:rPr>
                <w:rFonts w:ascii="黑体" w:hAnsi="黑体" w:eastAsia="黑体" w:cs="黑体"/>
                <w:spacing w:val="-1"/>
                <w:sz w:val="19"/>
                <w:szCs w:val="19"/>
              </w:rPr>
              <w:t>其他</w:t>
            </w:r>
            <w:r>
              <w:rPr>
                <w:rFonts w:ascii="黑体" w:hAnsi="黑体" w:eastAsia="黑体" w:cs="黑体"/>
                <w:sz w:val="19"/>
                <w:szCs w:val="19"/>
              </w:rPr>
              <w:t xml:space="preserve"> 结果</w:t>
            </w:r>
          </w:p>
        </w:tc>
        <w:tc>
          <w:tcPr>
            <w:tcW w:w="605" w:type="dxa"/>
            <w:vAlign w:val="top"/>
          </w:tcPr>
          <w:p w14:paraId="02345C03">
            <w:pPr>
              <w:spacing w:before="199" w:line="288" w:lineRule="auto"/>
              <w:ind w:left="142" w:right="71" w:firstLine="5"/>
              <w:rPr>
                <w:rFonts w:ascii="黑体" w:hAnsi="黑体" w:eastAsia="黑体" w:cs="黑体"/>
                <w:sz w:val="19"/>
                <w:szCs w:val="19"/>
              </w:rPr>
            </w:pPr>
            <w:r>
              <w:rPr>
                <w:rFonts w:ascii="黑体" w:hAnsi="黑体" w:eastAsia="黑体" w:cs="黑体"/>
                <w:spacing w:val="-6"/>
                <w:sz w:val="19"/>
                <w:szCs w:val="19"/>
              </w:rPr>
              <w:t>尚未</w:t>
            </w:r>
            <w:r>
              <w:rPr>
                <w:rFonts w:ascii="黑体" w:hAnsi="黑体" w:eastAsia="黑体" w:cs="黑体"/>
                <w:sz w:val="19"/>
                <w:szCs w:val="19"/>
              </w:rPr>
              <w:t xml:space="preserve"> </w:t>
            </w:r>
            <w:r>
              <w:rPr>
                <w:rFonts w:ascii="黑体" w:hAnsi="黑体" w:eastAsia="黑体" w:cs="黑体"/>
                <w:spacing w:val="-3"/>
                <w:sz w:val="19"/>
                <w:szCs w:val="19"/>
              </w:rPr>
              <w:t>审结</w:t>
            </w:r>
          </w:p>
        </w:tc>
        <w:tc>
          <w:tcPr>
            <w:tcW w:w="614" w:type="dxa"/>
            <w:vAlign w:val="top"/>
          </w:tcPr>
          <w:p w14:paraId="53C6E509">
            <w:pPr>
              <w:spacing w:line="291" w:lineRule="auto"/>
              <w:rPr>
                <w:rFonts w:ascii="Arial"/>
                <w:sz w:val="21"/>
              </w:rPr>
            </w:pPr>
          </w:p>
          <w:p w14:paraId="176A04EB">
            <w:pPr>
              <w:spacing w:before="62" w:line="234" w:lineRule="auto"/>
              <w:ind w:left="124"/>
              <w:rPr>
                <w:rFonts w:ascii="黑体" w:hAnsi="黑体" w:eastAsia="黑体" w:cs="黑体"/>
                <w:sz w:val="19"/>
                <w:szCs w:val="19"/>
              </w:rPr>
            </w:pPr>
            <w:r>
              <w:rPr>
                <w:rFonts w:ascii="黑体" w:hAnsi="黑体" w:eastAsia="黑体" w:cs="黑体"/>
                <w:spacing w:val="-2"/>
                <w:sz w:val="19"/>
                <w:szCs w:val="19"/>
              </w:rPr>
              <w:t>总计</w:t>
            </w:r>
          </w:p>
        </w:tc>
      </w:tr>
      <w:tr w14:paraId="728C1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13" w:type="dxa"/>
            <w:vAlign w:val="center"/>
          </w:tcPr>
          <w:p w14:paraId="726EE5E6">
            <w:pPr>
              <w:jc w:val="center"/>
              <w:rPr>
                <w:rFonts w:hint="eastAsia" w:ascii="Arial" w:eastAsia="宋体"/>
                <w:sz w:val="21"/>
                <w:lang w:val="en-US" w:eastAsia="zh-CN"/>
              </w:rPr>
            </w:pPr>
            <w:r>
              <w:rPr>
                <w:rFonts w:hint="eastAsia" w:eastAsia="宋体"/>
                <w:sz w:val="21"/>
                <w:lang w:val="en-US" w:eastAsia="zh-CN"/>
              </w:rPr>
              <w:t>0</w:t>
            </w:r>
          </w:p>
        </w:tc>
        <w:tc>
          <w:tcPr>
            <w:tcW w:w="603" w:type="dxa"/>
            <w:vAlign w:val="center"/>
          </w:tcPr>
          <w:p w14:paraId="4C9B87E4">
            <w:pPr>
              <w:jc w:val="center"/>
              <w:rPr>
                <w:rFonts w:hint="eastAsia" w:ascii="Arial" w:eastAsia="宋体"/>
                <w:sz w:val="21"/>
                <w:lang w:val="en-US" w:eastAsia="zh-CN"/>
              </w:rPr>
            </w:pPr>
            <w:r>
              <w:rPr>
                <w:rFonts w:hint="eastAsia" w:eastAsia="宋体"/>
                <w:sz w:val="21"/>
                <w:lang w:val="en-US" w:eastAsia="zh-CN"/>
              </w:rPr>
              <w:t>0</w:t>
            </w:r>
          </w:p>
        </w:tc>
        <w:tc>
          <w:tcPr>
            <w:tcW w:w="603" w:type="dxa"/>
            <w:vAlign w:val="center"/>
          </w:tcPr>
          <w:p w14:paraId="5ED7C0D4">
            <w:pPr>
              <w:jc w:val="center"/>
              <w:rPr>
                <w:rFonts w:hint="eastAsia" w:ascii="Arial" w:eastAsia="宋体"/>
                <w:sz w:val="21"/>
                <w:lang w:val="en-US" w:eastAsia="zh-CN"/>
              </w:rPr>
            </w:pPr>
            <w:r>
              <w:rPr>
                <w:rFonts w:hint="eastAsia" w:eastAsia="宋体"/>
                <w:sz w:val="21"/>
                <w:lang w:val="en-US" w:eastAsia="zh-CN"/>
              </w:rPr>
              <w:t>0</w:t>
            </w:r>
          </w:p>
        </w:tc>
        <w:tc>
          <w:tcPr>
            <w:tcW w:w="603" w:type="dxa"/>
            <w:vAlign w:val="center"/>
          </w:tcPr>
          <w:p w14:paraId="4368A4DC">
            <w:pPr>
              <w:jc w:val="center"/>
              <w:rPr>
                <w:rFonts w:hint="eastAsia" w:ascii="Arial" w:eastAsia="宋体"/>
                <w:sz w:val="21"/>
                <w:lang w:val="en-US" w:eastAsia="zh-CN"/>
              </w:rPr>
            </w:pPr>
            <w:r>
              <w:rPr>
                <w:rFonts w:hint="eastAsia" w:eastAsia="宋体"/>
                <w:sz w:val="21"/>
                <w:lang w:val="en-US" w:eastAsia="zh-CN"/>
              </w:rPr>
              <w:t>0</w:t>
            </w:r>
          </w:p>
        </w:tc>
        <w:tc>
          <w:tcPr>
            <w:tcW w:w="657" w:type="dxa"/>
            <w:vAlign w:val="center"/>
          </w:tcPr>
          <w:p w14:paraId="456DD94E">
            <w:pPr>
              <w:jc w:val="center"/>
              <w:rPr>
                <w:rFonts w:hint="eastAsia" w:ascii="Arial" w:eastAsia="宋体"/>
                <w:sz w:val="21"/>
                <w:lang w:val="en-US" w:eastAsia="zh-CN"/>
              </w:rPr>
            </w:pPr>
            <w:r>
              <w:rPr>
                <w:rFonts w:hint="eastAsia" w:eastAsia="宋体"/>
                <w:sz w:val="21"/>
                <w:lang w:val="en-US" w:eastAsia="zh-CN"/>
              </w:rPr>
              <w:t>0</w:t>
            </w:r>
          </w:p>
        </w:tc>
        <w:tc>
          <w:tcPr>
            <w:tcW w:w="549" w:type="dxa"/>
            <w:vAlign w:val="center"/>
          </w:tcPr>
          <w:p w14:paraId="6F80D806">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14:paraId="37ECE7E8">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14:paraId="22C2E672">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14:paraId="0149BBAE">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14:paraId="48CBA1B0">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14:paraId="088B8938">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14:paraId="7753EC7C">
            <w:pPr>
              <w:jc w:val="center"/>
              <w:rPr>
                <w:rFonts w:hint="eastAsia" w:ascii="Arial" w:eastAsia="宋体"/>
                <w:sz w:val="21"/>
                <w:lang w:val="en-US" w:eastAsia="zh-CN"/>
              </w:rPr>
            </w:pPr>
            <w:r>
              <w:rPr>
                <w:rFonts w:hint="eastAsia" w:eastAsia="宋体"/>
                <w:sz w:val="21"/>
                <w:lang w:val="en-US" w:eastAsia="zh-CN"/>
              </w:rPr>
              <w:t>0</w:t>
            </w:r>
          </w:p>
        </w:tc>
        <w:tc>
          <w:tcPr>
            <w:tcW w:w="604" w:type="dxa"/>
            <w:vAlign w:val="center"/>
          </w:tcPr>
          <w:p w14:paraId="16A59155">
            <w:pPr>
              <w:jc w:val="center"/>
              <w:rPr>
                <w:rFonts w:hint="eastAsia" w:ascii="Arial" w:eastAsia="宋体"/>
                <w:sz w:val="21"/>
                <w:lang w:val="en-US" w:eastAsia="zh-CN"/>
              </w:rPr>
            </w:pPr>
            <w:r>
              <w:rPr>
                <w:rFonts w:hint="eastAsia" w:eastAsia="宋体"/>
                <w:sz w:val="21"/>
                <w:lang w:val="en-US" w:eastAsia="zh-CN"/>
              </w:rPr>
              <w:t>0</w:t>
            </w:r>
          </w:p>
        </w:tc>
        <w:tc>
          <w:tcPr>
            <w:tcW w:w="605" w:type="dxa"/>
            <w:vAlign w:val="center"/>
          </w:tcPr>
          <w:p w14:paraId="68B6F9FC">
            <w:pPr>
              <w:jc w:val="center"/>
              <w:rPr>
                <w:rFonts w:hint="eastAsia" w:ascii="Arial" w:eastAsia="宋体"/>
                <w:sz w:val="21"/>
                <w:lang w:val="en-US" w:eastAsia="zh-CN"/>
              </w:rPr>
            </w:pPr>
            <w:r>
              <w:rPr>
                <w:rFonts w:hint="eastAsia" w:eastAsia="宋体"/>
                <w:sz w:val="21"/>
                <w:lang w:val="en-US" w:eastAsia="zh-CN"/>
              </w:rPr>
              <w:t>0</w:t>
            </w:r>
          </w:p>
        </w:tc>
        <w:tc>
          <w:tcPr>
            <w:tcW w:w="614" w:type="dxa"/>
            <w:vAlign w:val="center"/>
          </w:tcPr>
          <w:p w14:paraId="15E1F8E5">
            <w:pPr>
              <w:jc w:val="center"/>
              <w:rPr>
                <w:rFonts w:hint="eastAsia" w:ascii="Arial" w:eastAsia="宋体"/>
                <w:sz w:val="21"/>
                <w:lang w:val="en-US" w:eastAsia="zh-CN"/>
              </w:rPr>
            </w:pPr>
            <w:r>
              <w:rPr>
                <w:rFonts w:hint="eastAsia" w:eastAsia="宋体"/>
                <w:sz w:val="21"/>
                <w:lang w:val="en-US" w:eastAsia="zh-CN"/>
              </w:rPr>
              <w:t>0</w:t>
            </w:r>
          </w:p>
        </w:tc>
      </w:tr>
    </w:tbl>
    <w:p w14:paraId="703F23EB">
      <w:pPr>
        <w:keepNext w:val="0"/>
        <w:keepLines w:val="0"/>
        <w:pageBreakBefore w:val="0"/>
        <w:widowControl/>
        <w:kinsoku w:val="0"/>
        <w:wordWrap/>
        <w:overflowPunct/>
        <w:topLinePunct w:val="0"/>
        <w:autoSpaceDE w:val="0"/>
        <w:autoSpaceDN w:val="0"/>
        <w:bidi w:val="0"/>
        <w:adjustRightInd w:val="0"/>
        <w:snapToGrid w:val="0"/>
        <w:spacing w:before="101" w:line="228" w:lineRule="auto"/>
        <w:ind w:firstLine="628" w:firstLineChars="200"/>
        <w:textAlignment w:val="baseline"/>
        <w:rPr>
          <w:rFonts w:ascii="黑体" w:hAnsi="黑体" w:eastAsia="黑体" w:cs="黑体"/>
          <w:sz w:val="32"/>
          <w:szCs w:val="32"/>
        </w:rPr>
      </w:pPr>
      <w:r>
        <w:rPr>
          <w:rFonts w:ascii="黑体" w:hAnsi="黑体" w:eastAsia="黑体" w:cs="黑体"/>
          <w:color w:val="333333"/>
          <w:spacing w:val="-3"/>
          <w:sz w:val="32"/>
          <w:szCs w:val="32"/>
        </w:rPr>
        <w:t>五、存在的主要问题及改进情况</w:t>
      </w:r>
    </w:p>
    <w:p w14:paraId="32763CE4">
      <w:pPr>
        <w:pStyle w:val="2"/>
        <w:numPr>
          <w:ilvl w:val="0"/>
          <w:numId w:val="0"/>
        </w:numPr>
        <w:spacing w:before="101" w:line="363" w:lineRule="auto"/>
        <w:ind w:firstLine="632" w:firstLineChars="200"/>
        <w:rPr>
          <w:rFonts w:hint="eastAsia" w:ascii="楷体_GB2312" w:hAnsi="楷体_GB2312" w:eastAsia="楷体_GB2312" w:cs="楷体_GB2312"/>
          <w:b w:val="0"/>
          <w:bCs w:val="0"/>
          <w:color w:val="auto"/>
          <w:spacing w:val="-2"/>
          <w:sz w:val="32"/>
          <w:szCs w:val="32"/>
          <w:lang w:val="en-US" w:eastAsia="zh-CN"/>
        </w:rPr>
      </w:pPr>
      <w:r>
        <w:rPr>
          <w:rFonts w:hint="eastAsia" w:ascii="楷体_GB2312" w:hAnsi="楷体_GB2312" w:eastAsia="楷体_GB2312" w:cs="楷体_GB2312"/>
          <w:b w:val="0"/>
          <w:bCs w:val="0"/>
          <w:color w:val="auto"/>
          <w:spacing w:val="-2"/>
          <w:sz w:val="32"/>
          <w:szCs w:val="32"/>
          <w:lang w:val="en-US" w:eastAsia="zh-CN"/>
        </w:rPr>
        <w:t>（一）存在的主要问题</w:t>
      </w:r>
    </w:p>
    <w:p w14:paraId="1A841183">
      <w:pPr>
        <w:pStyle w:val="2"/>
        <w:numPr>
          <w:ilvl w:val="0"/>
          <w:numId w:val="0"/>
        </w:numPr>
        <w:spacing w:before="101" w:line="363" w:lineRule="auto"/>
        <w:ind w:firstLine="612" w:firstLineChars="200"/>
        <w:rPr>
          <w:rFonts w:hint="eastAsia"/>
          <w:color w:val="auto"/>
          <w:spacing w:val="-2"/>
          <w:lang w:val="en-US" w:eastAsia="zh-CN"/>
        </w:rPr>
      </w:pPr>
      <w:r>
        <w:rPr>
          <w:rFonts w:hint="eastAsia"/>
          <w:color w:val="auto"/>
          <w:spacing w:val="-2"/>
          <w:lang w:val="en-US" w:eastAsia="zh-CN"/>
        </w:rPr>
        <w:t>2024年，新能源公司政府信息公开工作取得一定成效，但还存在以下的不足：一是单位工作人员公开意识及思想认识不足，错敏信息、更新不及时等问题时有发生；二是公开渠道建设需要进一步完善；三是基层政务公开标准化规范化工作有待提高，部分领域信息不够完善。</w:t>
      </w:r>
    </w:p>
    <w:p w14:paraId="150C1BF0">
      <w:pPr>
        <w:pStyle w:val="2"/>
        <w:numPr>
          <w:ilvl w:val="0"/>
          <w:numId w:val="2"/>
        </w:numPr>
        <w:spacing w:before="101" w:line="363" w:lineRule="auto"/>
        <w:ind w:firstLine="632" w:firstLineChars="200"/>
        <w:rPr>
          <w:rFonts w:hint="eastAsia" w:ascii="楷体_GB2312" w:hAnsi="楷体_GB2312" w:eastAsia="楷体_GB2312" w:cs="楷体_GB2312"/>
          <w:color w:val="auto"/>
          <w:spacing w:val="-2"/>
          <w:sz w:val="32"/>
          <w:szCs w:val="32"/>
          <w:lang w:val="en-US" w:eastAsia="zh-CN"/>
        </w:rPr>
      </w:pPr>
      <w:r>
        <w:rPr>
          <w:rFonts w:hint="eastAsia" w:ascii="楷体_GB2312" w:hAnsi="楷体_GB2312" w:eastAsia="楷体_GB2312" w:cs="楷体_GB2312"/>
          <w:color w:val="auto"/>
          <w:spacing w:val="-2"/>
          <w:sz w:val="32"/>
          <w:szCs w:val="32"/>
          <w:lang w:val="en-US" w:eastAsia="zh-CN"/>
        </w:rPr>
        <w:t>改进情况</w:t>
      </w:r>
    </w:p>
    <w:p w14:paraId="3E98EB2E">
      <w:pPr>
        <w:pStyle w:val="2"/>
        <w:numPr>
          <w:ilvl w:val="0"/>
          <w:numId w:val="0"/>
        </w:numPr>
        <w:spacing w:before="101" w:line="363" w:lineRule="auto"/>
        <w:ind w:firstLine="612" w:firstLineChars="200"/>
        <w:rPr>
          <w:color w:val="auto"/>
        </w:rPr>
      </w:pPr>
      <w:r>
        <w:rPr>
          <w:rFonts w:hint="eastAsia"/>
          <w:color w:val="auto"/>
          <w:spacing w:val="-2"/>
          <w:lang w:val="en-US" w:eastAsia="zh-CN"/>
        </w:rPr>
        <w:t>一是加强政务公开业务知识培训，丰富培训形式和内容，强化主动公开意识，全面提升政务公开队伍的业务水平；二是进一步拓宽信息公开服务渠道，提高公众对信息公开的关注度和认可度；三是持续推进基层政务公开标准化规范化工作，完善更新各领域主动公开标准目录清单，压实主体责任。</w:t>
      </w:r>
    </w:p>
    <w:p w14:paraId="6A026878">
      <w:pPr>
        <w:keepNext w:val="0"/>
        <w:keepLines w:val="0"/>
        <w:pageBreakBefore w:val="0"/>
        <w:widowControl/>
        <w:kinsoku w:val="0"/>
        <w:wordWrap/>
        <w:overflowPunct/>
        <w:topLinePunct w:val="0"/>
        <w:autoSpaceDE w:val="0"/>
        <w:autoSpaceDN w:val="0"/>
        <w:bidi w:val="0"/>
        <w:adjustRightInd w:val="0"/>
        <w:snapToGrid w:val="0"/>
        <w:spacing w:before="54" w:line="228" w:lineRule="auto"/>
        <w:ind w:firstLine="608" w:firstLineChars="200"/>
        <w:textAlignment w:val="baseline"/>
        <w:rPr>
          <w:rFonts w:ascii="黑体" w:hAnsi="黑体" w:eastAsia="黑体" w:cs="黑体"/>
          <w:color w:val="auto"/>
          <w:sz w:val="31"/>
          <w:szCs w:val="31"/>
        </w:rPr>
      </w:pPr>
      <w:r>
        <w:rPr>
          <w:rFonts w:ascii="黑体" w:hAnsi="黑体" w:eastAsia="黑体" w:cs="黑体"/>
          <w:color w:val="auto"/>
          <w:spacing w:val="-3"/>
          <w:sz w:val="31"/>
          <w:szCs w:val="31"/>
        </w:rPr>
        <w:t>六、其他需要报告的事项</w:t>
      </w:r>
    </w:p>
    <w:p w14:paraId="7B3160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6"/>
        <w:textAlignment w:val="baseline"/>
        <w:rPr>
          <w:rFonts w:ascii="Ã¥Â¾Â®Ã¨Â½Â¯Ã©â€ºâ€¦Ã©Â»â€˜" w:hAnsi="Ã¥Â¾Â®Ã¨Â½Â¯Ã©â€ºâ€¦Ã©Â»â€˜" w:eastAsia="Ã¥Â¾Â®Ã¨Â½Â¯Ã©â€ºâ€¦Ã©Â»â€˜" w:cs="Ã¥Â¾Â®Ã¨Â½Â¯Ã©â€ºâ€¦Ã©Â»â€˜"/>
          <w:i w:val="0"/>
          <w:iCs w:val="0"/>
          <w:caps w:val="0"/>
          <w:color w:val="000000"/>
          <w:spacing w:val="0"/>
          <w:sz w:val="32"/>
          <w:szCs w:val="32"/>
        </w:rPr>
      </w:pPr>
      <w:r>
        <w:rPr>
          <w:rFonts w:ascii="仿宋_GB2312" w:hAnsi="Ã¥Â¾Â®Ã¨Â½Â¯Ã©â€ºâ€¦Ã©Â»â€˜" w:eastAsia="仿宋_GB2312" w:cs="仿宋_GB2312"/>
          <w:i w:val="0"/>
          <w:iCs w:val="0"/>
          <w:caps w:val="0"/>
          <w:color w:val="000000"/>
          <w:spacing w:val="0"/>
          <w:sz w:val="32"/>
          <w:szCs w:val="32"/>
          <w:shd w:val="clear" w:fill="FFFFFF"/>
        </w:rPr>
        <w:t>（一）本年度政府信息公开申请未达到《政府信息公开信息处理费管理办法》（国办函〔</w:t>
      </w:r>
      <w:r>
        <w:rPr>
          <w:rFonts w:hint="eastAsia" w:ascii="仿宋_GB2312" w:hAnsi="Ã¥Â¾Â®Ã¨Â½Â¯Ã©â€ºâ€¦Ã©Â»â€˜" w:eastAsia="仿宋_GB2312" w:cs="仿宋_GB2312"/>
          <w:i w:val="0"/>
          <w:iCs w:val="0"/>
          <w:caps w:val="0"/>
          <w:color w:val="000000"/>
          <w:spacing w:val="0"/>
          <w:sz w:val="32"/>
          <w:szCs w:val="32"/>
          <w:shd w:val="clear" w:fill="FFFFFF"/>
        </w:rPr>
        <w:t>2020〕109号）所规定的信息处理费收费标准，故未收取信息处理费。</w:t>
      </w:r>
    </w:p>
    <w:p w14:paraId="173CF8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6"/>
        <w:textAlignment w:val="baseline"/>
        <w:rPr>
          <w:rFonts w:hint="default" w:ascii="Ã¥Â¾Â®Ã¨Â½Â¯Ã©â€ºâ€¦Ã©Â»â€˜" w:hAnsi="Ã¥Â¾Â®Ã¨Â½Â¯Ã©â€ºâ€¦Ã©Â»â€˜" w:eastAsia="Ã¥Â¾Â®Ã¨Â½Â¯Ã©â€ºâ€¦Ã©Â»â€˜" w:cs="Ã¥Â¾Â®Ã¨Â½Â¯Ã©â€ºâ€¦Ã©Â»â€˜"/>
          <w:i w:val="0"/>
          <w:iCs w:val="0"/>
          <w:caps w:val="0"/>
          <w:color w:val="000000"/>
          <w:spacing w:val="0"/>
          <w:sz w:val="32"/>
          <w:szCs w:val="32"/>
        </w:rPr>
      </w:pPr>
      <w:r>
        <w:rPr>
          <w:rFonts w:hint="eastAsia" w:ascii="仿宋_GB2312" w:hAnsi="Ã¥Â¾Â®Ã¨Â½Â¯Ã©â€ºâ€¦Ã©Â»â€˜" w:eastAsia="仿宋_GB2312" w:cs="仿宋_GB2312"/>
          <w:i w:val="0"/>
          <w:iCs w:val="0"/>
          <w:caps w:val="0"/>
          <w:color w:val="000000"/>
          <w:spacing w:val="0"/>
          <w:sz w:val="32"/>
          <w:szCs w:val="32"/>
          <w:shd w:val="clear" w:fill="FFFFFF"/>
        </w:rPr>
        <w:t>（二）落实上级政务公开重点工作情况。根据省、市、区有关工作要求要求，结合</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新能源公司工作</w:t>
      </w:r>
      <w:r>
        <w:rPr>
          <w:rFonts w:hint="eastAsia" w:ascii="仿宋_GB2312" w:hAnsi="Ã¥Â¾Â®Ã¨Â½Â¯Ã©â€ºâ€¦Ã©Â»â€˜" w:eastAsia="仿宋_GB2312" w:cs="仿宋_GB2312"/>
          <w:i w:val="0"/>
          <w:iCs w:val="0"/>
          <w:caps w:val="0"/>
          <w:color w:val="000000"/>
          <w:spacing w:val="0"/>
          <w:sz w:val="32"/>
          <w:szCs w:val="32"/>
          <w:shd w:val="clear" w:fill="FFFFFF"/>
        </w:rPr>
        <w:t>实际，制作主动公开基本目录清单等工作，并及时更新部门信息、产业发展、重点项目等各类信息，促进我单位政务公开工作提质增效。</w:t>
      </w:r>
    </w:p>
    <w:p w14:paraId="205E7E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6"/>
        <w:textAlignment w:val="baseline"/>
        <w:rPr>
          <w:rFonts w:hint="eastAsia" w:ascii="仿宋_GB2312" w:hAnsi="Ã¥Â¾Â®Ã¨Â½Â¯Ã©â€ºâ€¦Ã©Â»â€˜" w:eastAsia="仿宋_GB2312" w:cs="仿宋_GB2312"/>
          <w:i w:val="0"/>
          <w:iCs w:val="0"/>
          <w:caps w:val="0"/>
          <w:color w:val="000000"/>
          <w:spacing w:val="0"/>
          <w:sz w:val="32"/>
          <w:szCs w:val="32"/>
          <w:shd w:val="clear" w:fill="FFFFFF"/>
        </w:rPr>
      </w:pPr>
      <w:r>
        <w:rPr>
          <w:rFonts w:hint="eastAsia" w:ascii="仿宋_GB2312" w:hAnsi="Ã¥Â¾Â®Ã¨Â½Â¯Ã©â€ºâ€¦Ã©Â»â€˜" w:eastAsia="仿宋_GB2312" w:cs="仿宋_GB2312"/>
          <w:i w:val="0"/>
          <w:iCs w:val="0"/>
          <w:caps w:val="0"/>
          <w:color w:val="000000"/>
          <w:spacing w:val="0"/>
          <w:sz w:val="32"/>
          <w:szCs w:val="32"/>
          <w:shd w:val="clear" w:fill="FFFFFF"/>
        </w:rPr>
        <w:t>（三）2024年全年接到市人大常委会交办的人大代表建议办理工作0件，收到市政协十一届三次会议提案0件。</w:t>
      </w:r>
    </w:p>
    <w:p w14:paraId="08AD117F">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6"/>
        <w:textAlignment w:val="baseline"/>
        <w:rPr>
          <w:rFonts w:hint="eastAsia" w:ascii="仿宋_GB2312" w:hAnsi="Ã¥Â¾Â®Ã¨Â½Â¯Ã©â€ºâ€¦Ã©Â»â€˜" w:eastAsia="仿宋_GB2312" w:cs="仿宋_GB2312"/>
          <w:i w:val="0"/>
          <w:iCs w:val="0"/>
          <w:caps w:val="0"/>
          <w:color w:val="000000"/>
          <w:spacing w:val="0"/>
          <w:sz w:val="32"/>
          <w:szCs w:val="32"/>
          <w:shd w:val="clear" w:fill="FFFFFF"/>
        </w:rPr>
      </w:pPr>
      <w:r>
        <w:rPr>
          <w:rFonts w:hint="eastAsia" w:ascii="仿宋_GB2312" w:hAnsi="Ã¥Â¾Â®Ã¨Â½Â¯Ã©â€ºâ€¦Ã©Â»â€˜" w:eastAsia="仿宋_GB2312" w:cs="仿宋_GB2312"/>
          <w:i w:val="0"/>
          <w:iCs w:val="0"/>
          <w:caps w:val="0"/>
          <w:color w:val="000000"/>
          <w:spacing w:val="0"/>
          <w:sz w:val="32"/>
          <w:szCs w:val="32"/>
          <w:shd w:val="clear" w:fill="FFFFFF"/>
        </w:rPr>
        <w:t>本行政机关年度政务公开工作创新情况。定期开展“政府开放日”活动，切实保障人民群众的知情权、参与权、监督权；充分利用政府网站</w:t>
      </w:r>
      <w:r>
        <w:rPr>
          <w:rFonts w:hint="eastAsia" w:ascii="仿宋_GB2312" w:hAnsi="Ã¥Â¾Â®Ã¨Â½Â¯Ã©â€ºâ€¦Ã©Â»â€˜" w:eastAsia="仿宋_GB2312" w:cs="仿宋_GB2312"/>
          <w:i w:val="0"/>
          <w:iCs w:val="0"/>
          <w:caps w:val="0"/>
          <w:color w:val="000000"/>
          <w:spacing w:val="0"/>
          <w:sz w:val="32"/>
          <w:szCs w:val="32"/>
          <w:shd w:val="clear" w:fill="FFFFFF"/>
          <w:lang w:eastAsia="zh-CN"/>
        </w:rPr>
        <w:t>，</w:t>
      </w:r>
      <w:r>
        <w:rPr>
          <w:rFonts w:hint="eastAsia" w:ascii="仿宋_GB2312" w:hAnsi="Ã¥Â¾Â®Ã¨Â½Â¯Ã©â€ºâ€¦Ã©Â»â€˜" w:eastAsia="仿宋_GB2312" w:cs="仿宋_GB2312"/>
          <w:i w:val="0"/>
          <w:iCs w:val="0"/>
          <w:caps w:val="0"/>
          <w:color w:val="000000"/>
          <w:spacing w:val="0"/>
          <w:sz w:val="32"/>
          <w:szCs w:val="32"/>
          <w:shd w:val="clear" w:fill="FFFFFF"/>
        </w:rPr>
        <w:t>加大宣传力度，扩大政府公报知晓度和影响力。提供word或PDF等多格式下载，方便群众查阅。</w:t>
      </w:r>
    </w:p>
    <w:p w14:paraId="10500D4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textAlignment w:val="baseline"/>
        <w:rPr>
          <w:rFonts w:hint="default" w:ascii="Ã¥Â¾Â®Ã¨Â½Â¯Ã©â€ºâ€¦Ã©Â»â€˜" w:hAnsi="Ã¥Â¾Â®Ã¨Â½Â¯Ã©â€ºâ€¦Ã©Â»â€˜" w:eastAsia="Ã¥Â¾Â®Ã¨Â½Â¯Ã©â€ºâ€¦Ã©Â»â€˜" w:cs="Ã¥Â¾Â®Ã¨Â½Â¯Ã©â€ºâ€¦Ã©Â»â€˜"/>
          <w:i w:val="0"/>
          <w:iCs w:val="0"/>
          <w:caps w:val="0"/>
          <w:color w:val="000000"/>
          <w:spacing w:val="0"/>
          <w:sz w:val="32"/>
          <w:szCs w:val="32"/>
        </w:rPr>
      </w:pPr>
      <w:r>
        <w:rPr>
          <w:rFonts w:hint="eastAsia" w:ascii="仿宋_GB2312" w:hAnsi="Ã¥Â¾Â®Ã¨Â½Â¯Ã©â€ºâ€¦Ã©Â»â€˜" w:eastAsia="仿宋_GB2312" w:cs="仿宋_GB2312"/>
          <w:i w:val="0"/>
          <w:iCs w:val="0"/>
          <w:caps w:val="0"/>
          <w:color w:val="000000"/>
          <w:spacing w:val="0"/>
          <w:sz w:val="32"/>
          <w:szCs w:val="32"/>
          <w:shd w:val="clear" w:fill="FFFFFF"/>
        </w:rPr>
        <w:t>（五）本行政机关政府信息公开工作年度报告数据统计需要说明的事项。本报告中所列数据的统计时限为202</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4</w:t>
      </w:r>
      <w:r>
        <w:rPr>
          <w:rFonts w:hint="eastAsia" w:ascii="仿宋_GB2312" w:hAnsi="Ã¥Â¾Â®Ã¨Â½Â¯Ã©â€ºâ€¦Ã©Â»â€˜" w:eastAsia="仿宋_GB2312" w:cs="仿宋_GB2312"/>
          <w:i w:val="0"/>
          <w:iCs w:val="0"/>
          <w:caps w:val="0"/>
          <w:color w:val="000000"/>
          <w:spacing w:val="0"/>
          <w:sz w:val="32"/>
          <w:szCs w:val="32"/>
          <w:shd w:val="clear" w:fill="FFFFFF"/>
        </w:rPr>
        <w:t>年1月1日至202</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4</w:t>
      </w:r>
      <w:r>
        <w:rPr>
          <w:rFonts w:hint="eastAsia" w:ascii="仿宋_GB2312" w:hAnsi="Ã¥Â¾Â®Ã¨Â½Â¯Ã©â€ºâ€¦Ã©Â»â€˜" w:eastAsia="仿宋_GB2312" w:cs="仿宋_GB2312"/>
          <w:i w:val="0"/>
          <w:iCs w:val="0"/>
          <w:caps w:val="0"/>
          <w:color w:val="000000"/>
          <w:spacing w:val="0"/>
          <w:sz w:val="32"/>
          <w:szCs w:val="32"/>
          <w:shd w:val="clear" w:fill="FFFFFF"/>
        </w:rPr>
        <w:t>年12月31日。</w:t>
      </w:r>
    </w:p>
    <w:p w14:paraId="52D5AE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6"/>
        <w:textAlignment w:val="baseline"/>
        <w:rPr>
          <w:rFonts w:hint="default" w:ascii="Ã¥Â¾Â®Ã¨Â½Â¯Ã©â€ºâ€¦Ã©Â»â€˜" w:hAnsi="Ã¥Â¾Â®Ã¨Â½Â¯Ã©â€ºâ€¦Ã©Â»â€˜" w:eastAsia="Ã¥Â¾Â®Ã¨Â½Â¯Ã©â€ºâ€¦Ã©Â»â€˜" w:cs="Ã¥Â¾Â®Ã¨Â½Â¯Ã©â€ºâ€¦Ã©Â»â€˜"/>
          <w:i w:val="0"/>
          <w:iCs w:val="0"/>
          <w:caps w:val="0"/>
          <w:color w:val="000000"/>
          <w:spacing w:val="0"/>
          <w:sz w:val="32"/>
          <w:szCs w:val="32"/>
        </w:rPr>
      </w:pPr>
      <w:r>
        <w:rPr>
          <w:rFonts w:hint="eastAsia" w:ascii="仿宋_GB2312" w:hAnsi="Ã¥Â¾Â®Ã¨Â½Â¯Ã©â€ºâ€¦Ã©Â»â€˜" w:eastAsia="仿宋_GB2312" w:cs="仿宋_GB2312"/>
          <w:i w:val="0"/>
          <w:iCs w:val="0"/>
          <w:caps w:val="0"/>
          <w:color w:val="000000"/>
          <w:spacing w:val="0"/>
          <w:sz w:val="32"/>
          <w:szCs w:val="32"/>
          <w:shd w:val="clear" w:fill="FFFFFF"/>
        </w:rPr>
        <w:t>（六）本行政机关认为需要报告的其他事项：无。</w:t>
      </w:r>
    </w:p>
    <w:p w14:paraId="7C6F59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5"/>
        <w:textAlignment w:val="baseline"/>
        <w:rPr>
          <w:rFonts w:hint="default" w:ascii="Ã¥Â¾Â®Ã¨Â½Â¯Ã©â€ºâ€¦Ã©Â»â€˜" w:hAnsi="Ã¥Â¾Â®Ã¨Â½Â¯Ã©â€ºâ€¦Ã©Â»â€˜" w:eastAsia="Ã¥Â¾Â®Ã¨Â½Â¯Ã©â€ºâ€¦Ã©Â»â€˜" w:cs="Ã¥Â¾Â®Ã¨Â½Â¯Ã©â€ºâ€¦Ã©Â»â€˜"/>
          <w:i w:val="0"/>
          <w:iCs w:val="0"/>
          <w:caps w:val="0"/>
          <w:color w:val="000000"/>
          <w:spacing w:val="0"/>
          <w:sz w:val="32"/>
          <w:szCs w:val="32"/>
        </w:rPr>
      </w:pPr>
      <w:r>
        <w:rPr>
          <w:rFonts w:hint="eastAsia" w:ascii="仿宋_GB2312" w:hAnsi="Ã¥Â¾Â®Ã¨Â½Â¯Ã©â€ºâ€¦Ã©Â»â€˜" w:eastAsia="仿宋_GB2312" w:cs="仿宋_GB2312"/>
          <w:i w:val="0"/>
          <w:iCs w:val="0"/>
          <w:caps w:val="0"/>
          <w:color w:val="000000"/>
          <w:spacing w:val="0"/>
          <w:sz w:val="32"/>
          <w:szCs w:val="32"/>
          <w:shd w:val="clear" w:fill="FFFFFF"/>
        </w:rPr>
        <w:t>（七）其他有关文件专门要求通过政府信息公开工作年度报告予以报告的事项：无。</w:t>
      </w:r>
    </w:p>
    <w:p w14:paraId="175E8EF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color w:val="auto"/>
          <w:sz w:val="32"/>
          <w:szCs w:val="32"/>
        </w:rPr>
      </w:pPr>
    </w:p>
    <w:sectPr>
      <w:footerReference r:id="rId5" w:type="default"/>
      <w:pgSz w:w="11906" w:h="16839"/>
      <w:pgMar w:top="1431" w:right="1564" w:bottom="1826" w:left="1597" w:header="0" w:footer="15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Ã¥Â¾Â®Ã¨Â½Â¯Ã©â€ºâ€¦Ã©Â»â€˜">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C504">
    <w:pPr>
      <w:spacing w:line="172" w:lineRule="auto"/>
      <w:ind w:right="15"/>
      <w:jc w:val="both"/>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BC3BC"/>
    <w:multiLevelType w:val="singleLevel"/>
    <w:tmpl w:val="825BC3BC"/>
    <w:lvl w:ilvl="0" w:tentative="0">
      <w:start w:val="1"/>
      <w:numFmt w:val="chineseCounting"/>
      <w:suff w:val="nothing"/>
      <w:lvlText w:val="（%1）"/>
      <w:lvlJc w:val="left"/>
      <w:rPr>
        <w:rFonts w:hint="eastAsia"/>
      </w:rPr>
    </w:lvl>
  </w:abstractNum>
  <w:abstractNum w:abstractNumId="1">
    <w:nsid w:val="03DBD8D5"/>
    <w:multiLevelType w:val="singleLevel"/>
    <w:tmpl w:val="03DBD8D5"/>
    <w:lvl w:ilvl="0" w:tentative="0">
      <w:start w:val="4"/>
      <w:numFmt w:val="chineseCounting"/>
      <w:suff w:val="nothing"/>
      <w:lvlText w:val="（%1）"/>
      <w:lvlJc w:val="left"/>
      <w:rPr>
        <w:rFonts w:hint="eastAsia"/>
      </w:rPr>
    </w:lvl>
  </w:abstractNum>
  <w:abstractNum w:abstractNumId="2">
    <w:nsid w:val="092B3978"/>
    <w:multiLevelType w:val="singleLevel"/>
    <w:tmpl w:val="092B397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346C8"/>
    <w:rsid w:val="12A0561E"/>
    <w:rsid w:val="1C38412B"/>
    <w:rsid w:val="1DE24E96"/>
    <w:rsid w:val="27F84A8D"/>
    <w:rsid w:val="34C46423"/>
    <w:rsid w:val="37B92D21"/>
    <w:rsid w:val="47087116"/>
    <w:rsid w:val="59810AE7"/>
    <w:rsid w:val="61D25E16"/>
    <w:rsid w:val="65D346C8"/>
    <w:rsid w:val="6A977C84"/>
    <w:rsid w:val="72620456"/>
    <w:rsid w:val="74CB41D9"/>
    <w:rsid w:val="75E9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1428</Words>
  <Characters>1523</Characters>
  <Lines>0</Lines>
  <Paragraphs>0</Paragraphs>
  <TotalTime>2</TotalTime>
  <ScaleCrop>false</ScaleCrop>
  <LinksUpToDate>false</LinksUpToDate>
  <CharactersWithSpaces>1523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2025-01-17T02:09:00Z</dcterms:created>
  <dc:creator>Persue  Future</dc:creator>
  <cp:lastModifiedBy>Persue  Future</cp:lastModifiedBy>
  <dcterms:modified xsi:type="dcterms:W3CDTF">2025-01-23T01:36:20Z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A1566FBC91DB4DD78DDFFA76317184E4_13</vt:lpwstr>
  </property>
  <property fmtid="{D5CDD505-2E9C-101B-9397-08002B2CF9AE}" pid="4" name="KSOTemplateDocerSaveRecord">
    <vt:lpwstr>eyJoZGlkIjoiOGI1ZWRhZTY0YjE5YmExYmM2NGI5NTc0MjFhMzAwMjIiLCJ1c2VySWQiOiI0NzE4MzI5MTEifQ==</vt:lpwstr>
  </property>
</Properties>
</file>