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E3B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枣庄高新区兴城街道</w:t>
      </w:r>
      <w:r>
        <w:rPr>
          <w:rFonts w:hint="eastAsia" w:ascii="方正小标宋简体" w:hAnsi="方正小标宋简体" w:eastAsia="方正小标宋简体" w:cs="方正小标宋简体"/>
          <w:color w:val="auto"/>
          <w:sz w:val="44"/>
          <w:szCs w:val="44"/>
          <w:lang w:eastAsia="zh-CN"/>
        </w:rPr>
        <w:t>办事处</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年政府信息公开工作年度报告</w:t>
      </w:r>
    </w:p>
    <w:p w14:paraId="41D44FF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14:paraId="5588C06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根据《中华人民共和国政府信息公开条例》要求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结合我街道实际，编制并向社会公开枣庄高新区兴城街道</w:t>
      </w:r>
      <w:r>
        <w:rPr>
          <w:rFonts w:hint="default" w:ascii="Times New Roman" w:hAnsi="Times New Roman" w:eastAsia="仿宋_GB2312" w:cs="Times New Roman"/>
          <w:color w:val="auto"/>
          <w:sz w:val="32"/>
          <w:szCs w:val="32"/>
          <w:lang w:eastAsia="zh-CN"/>
        </w:rPr>
        <w:t>办事处</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年政府信息公开工作年度报告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年报由总体情况、行政机关主动公开政府信息情况、行政机关收到和处理政府信息公开申请情况、因政府信息公开工作被申请行政复议、提起行政诉讼情况、政府信息公开工作存在的主要问题及改进情况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其他需要报告的事项六个部分组成。所列数据的统计期限为</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日至</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报告电子版可在枣庄高新技术产业开发区官网（http://www.zzctp.gov.cn/）</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政府信息公开年度报告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栏目下载。如对本报告有疑问，请与</w:t>
      </w:r>
      <w:r>
        <w:rPr>
          <w:rFonts w:hint="eastAsia" w:ascii="Times New Roman" w:hAnsi="Times New Roman" w:eastAsia="仿宋_GB2312" w:cs="Times New Roman"/>
          <w:color w:val="auto"/>
          <w:sz w:val="32"/>
          <w:szCs w:val="32"/>
          <w:lang w:eastAsia="zh-CN"/>
        </w:rPr>
        <w:t>兴城街道办事处党政办公室</w:t>
      </w:r>
      <w:r>
        <w:rPr>
          <w:rFonts w:hint="default" w:ascii="Times New Roman" w:hAnsi="Times New Roman" w:eastAsia="仿宋_GB2312" w:cs="Times New Roman"/>
          <w:color w:val="auto"/>
          <w:sz w:val="32"/>
          <w:szCs w:val="32"/>
        </w:rPr>
        <w:t>联系（联系电话:0632-</w:t>
      </w:r>
      <w:r>
        <w:rPr>
          <w:rFonts w:hint="eastAsia" w:ascii="Times New Roman" w:hAnsi="Times New Roman" w:eastAsia="仿宋_GB2312" w:cs="Times New Roman"/>
          <w:color w:val="auto"/>
          <w:sz w:val="32"/>
          <w:szCs w:val="32"/>
          <w:lang w:val="en-US" w:eastAsia="zh-CN"/>
        </w:rPr>
        <w:t>8671008</w:t>
      </w:r>
      <w:r>
        <w:rPr>
          <w:rFonts w:hint="default" w:ascii="Times New Roman" w:hAnsi="Times New Roman" w:eastAsia="仿宋_GB2312" w:cs="Times New Roman"/>
          <w:color w:val="auto"/>
          <w:sz w:val="32"/>
          <w:szCs w:val="32"/>
        </w:rPr>
        <w:t>，电子邮箱:</w:t>
      </w:r>
      <w:r>
        <w:rPr>
          <w:rFonts w:hint="eastAsia" w:ascii="Times New Roman" w:hAnsi="Times New Roman" w:eastAsia="仿宋_GB2312" w:cs="Times New Roman"/>
          <w:color w:val="auto"/>
          <w:sz w:val="32"/>
          <w:szCs w:val="32"/>
          <w:lang w:val="en-US" w:eastAsia="zh-CN"/>
        </w:rPr>
        <w:t>xingchengjieban@163.com</w:t>
      </w:r>
      <w:r>
        <w:rPr>
          <w:rFonts w:hint="default" w:ascii="Times New Roman" w:hAnsi="Times New Roman" w:eastAsia="仿宋_GB2312" w:cs="Times New Roman"/>
          <w:color w:val="auto"/>
          <w:sz w:val="32"/>
          <w:szCs w:val="32"/>
        </w:rPr>
        <w:t>）。</w:t>
      </w:r>
    </w:p>
    <w:p w14:paraId="0AD233C7">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总体情况</w:t>
      </w:r>
    </w:p>
    <w:p w14:paraId="515B399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枣庄高新区兴城街道办事处全面贯彻落实政府信息公开各项工作，持续拓宽公开领域，深化公开细节标准，创新公开形式，完善公开机制，切实保障人民群众的知情权、参与权、监督权和表达权。现将我街道2024年度政府信息公开工作情况报告如下：</w:t>
      </w:r>
    </w:p>
    <w:p w14:paraId="0015727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（一）主动公开</w:t>
      </w:r>
    </w:p>
    <w:p w14:paraId="22D3E49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兴城街道办事处主动公开政府信息368条，通过政府门户网站公开政府信息237条，通过兴城街道办事处微信公众号发布信息131期。2024年街道通过政府门户网站公开主任办公会议12次，发布会议解读12次，发布通知公告6条，</w:t>
      </w:r>
      <w:r>
        <w:rPr>
          <w:rFonts w:hint="default" w:ascii="Times New Roman" w:hAnsi="Times New Roman" w:eastAsia="仿宋_GB2312" w:cs="Times New Roman"/>
          <w:color w:val="auto"/>
          <w:sz w:val="32"/>
          <w:szCs w:val="32"/>
        </w:rPr>
        <w:t>发布街道信息</w:t>
      </w:r>
      <w:r>
        <w:rPr>
          <w:rFonts w:hint="eastAsia" w:ascii="Times New Roman" w:hAnsi="Times New Roman" w:eastAsia="仿宋_GB2312" w:cs="Times New Roman"/>
          <w:color w:val="auto"/>
          <w:sz w:val="32"/>
          <w:szCs w:val="32"/>
          <w:lang w:val="en-US" w:eastAsia="zh-CN"/>
        </w:rPr>
        <w:t>68</w:t>
      </w:r>
      <w:r>
        <w:rPr>
          <w:rFonts w:hint="default" w:ascii="Times New Roman" w:hAnsi="Times New Roman" w:eastAsia="仿宋_GB2312" w:cs="Times New Roman"/>
          <w:color w:val="auto"/>
          <w:sz w:val="32"/>
          <w:szCs w:val="32"/>
        </w:rPr>
        <w:t>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2024年街道</w:t>
      </w:r>
      <w:r>
        <w:rPr>
          <w:rFonts w:hint="eastAsia" w:ascii="Times New Roman" w:hAnsi="Times New Roman" w:eastAsia="仿宋_GB2312" w:cs="Times New Roman"/>
          <w:color w:val="auto"/>
          <w:sz w:val="32"/>
          <w:szCs w:val="32"/>
          <w:lang w:eastAsia="zh-CN"/>
        </w:rPr>
        <w:t>处理</w:t>
      </w:r>
      <w:bookmarkStart w:id="10" w:name="_GoBack"/>
      <w:bookmarkEnd w:id="10"/>
      <w:r>
        <w:rPr>
          <w:rFonts w:hint="eastAsia" w:ascii="Times New Roman" w:hAnsi="Times New Roman" w:eastAsia="仿宋_GB2312" w:cs="Times New Roman"/>
          <w:color w:val="auto"/>
          <w:sz w:val="32"/>
          <w:szCs w:val="32"/>
          <w:lang w:val="en-US" w:eastAsia="zh-CN"/>
        </w:rPr>
        <w:t>政府门户网站</w:t>
      </w:r>
      <w:r>
        <w:rPr>
          <w:rFonts w:hint="eastAsia" w:ascii="Times New Roman" w:hAnsi="Times New Roman" w:eastAsia="仿宋_GB2312" w:cs="Times New Roman"/>
          <w:color w:val="auto"/>
          <w:sz w:val="32"/>
          <w:szCs w:val="32"/>
          <w:lang w:eastAsia="zh-CN"/>
        </w:rPr>
        <w:t>互动交流件1件。</w:t>
      </w:r>
    </w:p>
    <w:p w14:paraId="178B24F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jc w:val="both"/>
        <w:textAlignment w:val="auto"/>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277495</wp:posOffset>
            </wp:positionH>
            <wp:positionV relativeFrom="paragraph">
              <wp:posOffset>2767330</wp:posOffset>
            </wp:positionV>
            <wp:extent cx="4711700" cy="2332990"/>
            <wp:effectExtent l="0" t="0" r="12700" b="13970"/>
            <wp:wrapSquare wrapText="bothSides"/>
            <wp:docPr id="1" name="图片 1" descr="ccbf0d40aca5c0a07dfb6e303d3a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bf0d40aca5c0a07dfb6e303d3aad2"/>
                    <pic:cNvPicPr>
                      <a:picLocks noChangeAspect="1"/>
                    </pic:cNvPicPr>
                  </pic:nvPicPr>
                  <pic:blipFill>
                    <a:blip r:embed="rId5"/>
                    <a:stretch>
                      <a:fillRect/>
                    </a:stretch>
                  </pic:blipFill>
                  <pic:spPr>
                    <a:xfrm>
                      <a:off x="0" y="0"/>
                      <a:ext cx="4711700" cy="2332990"/>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290830</wp:posOffset>
            </wp:positionH>
            <wp:positionV relativeFrom="paragraph">
              <wp:posOffset>103505</wp:posOffset>
            </wp:positionV>
            <wp:extent cx="4701540" cy="2576830"/>
            <wp:effectExtent l="0" t="0" r="0" b="0"/>
            <wp:wrapSquare wrapText="bothSides"/>
            <wp:docPr id="3" name="图片 3" descr="3bc515aebaee0ad4781afbee86b5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bc515aebaee0ad4781afbee86b5b40"/>
                    <pic:cNvPicPr>
                      <a:picLocks noChangeAspect="1"/>
                    </pic:cNvPicPr>
                  </pic:nvPicPr>
                  <pic:blipFill>
                    <a:blip r:embed="rId6"/>
                    <a:srcRect t="3104"/>
                    <a:stretch>
                      <a:fillRect/>
                    </a:stretch>
                  </pic:blipFill>
                  <pic:spPr>
                    <a:xfrm>
                      <a:off x="0" y="0"/>
                      <a:ext cx="4701540" cy="2576830"/>
                    </a:xfrm>
                    <a:prstGeom prst="rect">
                      <a:avLst/>
                    </a:prstGeom>
                  </pic:spPr>
                </pic:pic>
              </a:graphicData>
            </a:graphic>
          </wp:anchor>
        </w:drawing>
      </w:r>
    </w:p>
    <w:p w14:paraId="49722B0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jc w:val="both"/>
        <w:textAlignment w:val="auto"/>
        <w:rPr>
          <w:rFonts w:hint="eastAsia" w:ascii="楷体_GB2312" w:hAnsi="楷体_GB2312" w:eastAsia="楷体_GB2312" w:cs="楷体_GB2312"/>
          <w:b/>
          <w:bCs/>
          <w:color w:val="auto"/>
          <w:sz w:val="32"/>
          <w:szCs w:val="32"/>
          <w:lang w:val="en-US" w:eastAsia="zh-CN"/>
        </w:rPr>
      </w:pPr>
      <w:r>
        <w:rPr>
          <w:rFonts w:hint="eastAsia"/>
          <w:lang w:val="en-US" w:eastAsia="zh-CN"/>
        </w:rPr>
        <w:t xml:space="preserve">     </w:t>
      </w:r>
      <w:r>
        <w:rPr>
          <w:rFonts w:hint="eastAsia" w:ascii="楷体_GB2312" w:hAnsi="楷体_GB2312" w:eastAsia="楷体_GB2312" w:cs="楷体_GB2312"/>
          <w:b/>
          <w:bCs/>
          <w:color w:val="auto"/>
          <w:sz w:val="32"/>
          <w:szCs w:val="32"/>
          <w:lang w:val="en-US" w:eastAsia="zh-CN"/>
        </w:rPr>
        <w:t>（二）依申请公开</w:t>
      </w:r>
    </w:p>
    <w:p w14:paraId="2AA6470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枣庄高新区兴城街道办事处认真执行《中华人民共和国政府信息公开条例》，严格规范依申请公开办理流程，加强政府信息依申请公开事项办理标准化规范化建设。兴城街道共收到依申请公开件0件（其中官网收到0件，信件0件），按时回复0件，接收申请数量较2023年减少2件。兴城街道公开行政复议0件，政府信息公开行政诉讼总数0件。</w:t>
      </w:r>
    </w:p>
    <w:p w14:paraId="2184BCC3">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2213A6E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（三）政府信息管理</w:t>
      </w:r>
    </w:p>
    <w:p w14:paraId="4A53835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严格按照法定时限发布并实时更新法定主动公开内容。明确责任，街道党政办公室为信息公开工作主管部门，并配备专职工作人员1名，负责推进、协调街道办事处政府信息公开工作，不断增强工作透明度，切实保障群众的知情权、参与权和监督权。</w:t>
      </w:r>
    </w:p>
    <w:p w14:paraId="2D7710B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（四）政府信息公开平台建设</w:t>
      </w:r>
    </w:p>
    <w:p w14:paraId="16E5317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利用政务新媒体“创新创业 兴业兴城”公众号，确保街道的工作动态及时且准确的发布；</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在街道便民服务中心设立“政务公开专区”和“自助服务区”，引进智能信息查询设备，安装政务服务一体机、自助查阅电脑、打印机等设备，方便企业群众查阅政府信息；</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依托高新区政府门户网站，积极主动将与群众切身利益密切相关的各类信息，在网站上全面、及时、准确地予以公开。让群众能够轻松便捷地通过网络渠道获取到所需信息。</w:t>
      </w:r>
    </w:p>
    <w:p w14:paraId="24994E4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（五）监督保障</w:t>
      </w:r>
    </w:p>
    <w:p w14:paraId="6DAF6F4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定期组织政务公开相关工作人员进行培训学习，提高工作人员业务能力和工作素养，进一步提升街道政务公开工作的标准化与规范化程度。</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完善政务公开的日常监管体系，每月对公开信息的及时性、政策解读的准确度、和政务新媒体的发布等方面进行监督检查。</w:t>
      </w:r>
    </w:p>
    <w:p w14:paraId="4D1F131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rPr>
        <w:t>二、行政机关主动公开政府信息情况</w:t>
      </w:r>
    </w:p>
    <w:tbl>
      <w:tblPr>
        <w:tblStyle w:val="5"/>
        <w:tblW w:w="8824" w:type="dxa"/>
        <w:tblInd w:w="0" w:type="dxa"/>
        <w:shd w:val="clear" w:color="auto" w:fill="auto"/>
        <w:tblLayout w:type="fixed"/>
        <w:tblCellMar>
          <w:top w:w="0" w:type="dxa"/>
          <w:left w:w="108" w:type="dxa"/>
          <w:bottom w:w="0" w:type="dxa"/>
          <w:right w:w="108" w:type="dxa"/>
        </w:tblCellMar>
      </w:tblPr>
      <w:tblGrid>
        <w:gridCol w:w="2206"/>
        <w:gridCol w:w="2206"/>
        <w:gridCol w:w="2206"/>
        <w:gridCol w:w="2206"/>
      </w:tblGrid>
      <w:tr w14:paraId="19677F1D">
        <w:tblPrEx>
          <w:shd w:val="clear" w:color="auto" w:fill="auto"/>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54BD528D">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14:paraId="436DC66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79DE2F5">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0329A2FB">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57D23742">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04432977">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14:paraId="4FC9F10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9B66611">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1B8BE0DE">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74877492">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3B4D8675">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093C1BF3">
        <w:tblPrEx>
          <w:tblCellMar>
            <w:top w:w="0" w:type="dxa"/>
            <w:left w:w="108" w:type="dxa"/>
            <w:bottom w:w="0" w:type="dxa"/>
            <w:right w:w="108" w:type="dxa"/>
          </w:tblCellMar>
        </w:tblPrEx>
        <w:trPr>
          <w:trHeight w:val="95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B0B1573">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7D42D64C">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B1C8558">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759A2DAC">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3CF9E9B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5E6F77BD">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14:paraId="1B60231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1CAD73C">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3308BD4">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10DF1FF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4B46B5E">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F5D324F">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281A194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1AB9A97D">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14:paraId="1B80BC9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3C39ED8">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6AA289E">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432F1F1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F718ED6">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2A7A5EA">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14:paraId="277D826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DB91A19">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3DED0D2">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14:paraId="0416A05C">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14:paraId="47F061E5">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14:paraId="1E60293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0A3048B">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D434B90">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14:paraId="39CAA7C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9762BB7">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4042CC6">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14:paraId="7D305512">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行政机关收到和处理政府信息公开申请情况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0D0DE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1632691A">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14:paraId="248CDDB7">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14:paraId="3799B613">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14:paraId="05410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63B9DDC">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14:paraId="1D145C04">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14:paraId="2E7BF94A">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14:paraId="5666046B">
            <w:pPr>
              <w:widowControl/>
              <w:jc w:val="center"/>
              <w:rPr>
                <w:rFonts w:ascii="黑体" w:hAnsi="黑体" w:eastAsia="黑体"/>
                <w:color w:val="auto"/>
                <w:szCs w:val="21"/>
              </w:rPr>
            </w:pPr>
            <w:r>
              <w:rPr>
                <w:rFonts w:hint="eastAsia" w:ascii="黑体" w:hAnsi="黑体" w:eastAsia="黑体"/>
                <w:color w:val="auto"/>
                <w:kern w:val="0"/>
                <w:szCs w:val="21"/>
              </w:rPr>
              <w:t>总计</w:t>
            </w:r>
          </w:p>
        </w:tc>
      </w:tr>
      <w:tr w14:paraId="67FC5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9390267">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14:paraId="7D05C2E0">
            <w:pPr>
              <w:jc w:val="center"/>
              <w:rPr>
                <w:rFonts w:ascii="黑体" w:hAnsi="黑体" w:eastAsia="黑体"/>
                <w:color w:val="auto"/>
                <w:szCs w:val="21"/>
              </w:rPr>
            </w:pPr>
          </w:p>
        </w:tc>
        <w:tc>
          <w:tcPr>
            <w:tcW w:w="567" w:type="dxa"/>
            <w:shd w:val="clear" w:color="auto" w:fill="auto"/>
            <w:tcMar>
              <w:left w:w="108" w:type="dxa"/>
              <w:right w:w="108" w:type="dxa"/>
            </w:tcMar>
            <w:vAlign w:val="center"/>
          </w:tcPr>
          <w:p w14:paraId="5E963D32">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14:paraId="3C276634">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14:paraId="502A9272">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14:paraId="607BB37A">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14:paraId="5A0B7D6C">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14:paraId="74E4BFC8">
            <w:pPr>
              <w:jc w:val="center"/>
              <w:rPr>
                <w:rFonts w:ascii="仿宋_GB2312" w:hAnsi="Times New Roman" w:eastAsia="仿宋_GB2312"/>
                <w:color w:val="auto"/>
                <w:szCs w:val="21"/>
              </w:rPr>
            </w:pPr>
          </w:p>
        </w:tc>
      </w:tr>
      <w:tr w14:paraId="5E520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D4ACBFD">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14:paraId="707FFE2B">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5D0E7B5">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1D2C738">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431814C9">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4443FA8B">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9307A57">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007CC598">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18467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09BBB62">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14:paraId="70FF0992">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E5E1046">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1932EC6">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61E56AA6">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C44036C">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CA3EBCC">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372E360C">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6D5830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56EF27C6">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14:paraId="715CF26F">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14:paraId="486F1402">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BAB392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234A03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6E1DEA5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322AA9B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D14DD7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06C4104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B802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17F67DF">
            <w:pPr>
              <w:rPr>
                <w:rFonts w:ascii="黑体" w:hAnsi="黑体" w:eastAsia="黑体"/>
                <w:color w:val="auto"/>
                <w:szCs w:val="21"/>
              </w:rPr>
            </w:pPr>
          </w:p>
        </w:tc>
        <w:tc>
          <w:tcPr>
            <w:tcW w:w="4677" w:type="dxa"/>
            <w:gridSpan w:val="2"/>
            <w:shd w:val="clear" w:color="auto" w:fill="auto"/>
            <w:tcMar>
              <w:left w:w="108" w:type="dxa"/>
              <w:right w:w="108" w:type="dxa"/>
            </w:tcMar>
            <w:vAlign w:val="center"/>
          </w:tcPr>
          <w:p w14:paraId="277936B4">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14:paraId="5396BA4A">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180C8E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9D31A6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59D71BE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4C54632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A5D895B">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3123418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D12F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8F377B5">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4C89662D">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14:paraId="411478D9">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14:paraId="05458CB5">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6C9B0A9">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4834C6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1486190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CE57FE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32CCE7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7C936986">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33EF2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B2CBFB9">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79B37C39">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116CCB24">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14:paraId="7FE42192">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0AA02E9">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486CBC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81A5BD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2BA88EA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759BF2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D23DA84">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7EBE3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24085">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2A2523FE">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49DC5A93">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14:paraId="19A0CAA7">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2A95E8E">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1D3F04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399A1C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636819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BA6D0B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645AAB57">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614540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CC05709">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132CFE19">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27FD4E10">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14:paraId="0539E488">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BC41118">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EE8638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170F1CF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6D1A76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89D4C0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04382F3D">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573FE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0649166">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6F60961C">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56204D0A">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14:paraId="5A2FC6FA">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DD85180">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03FDF1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1BA0643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8A08D1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256A84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1FC73F9C">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7797A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D74448C">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20009B91">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28C8D54C">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14:paraId="2ADEC1E9">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97A5897">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734612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59073B4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2F9CFF3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4CC431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4E5E18D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37C90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057D248">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615CDFA6">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2F82B795">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14:paraId="3D67D97F">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90DB365">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5DA32F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5B9D7D3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01E1F23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0CA86E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2A11E93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B0C1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E73BAA3">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31B21B74">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11D4C1CA">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14:paraId="4897ABE0">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0F9BB5A">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326517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04FA04B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02B94B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2FDF47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70787A5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5D27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C5E59DE">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6F4B9472">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14:paraId="2FA47661">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14:paraId="6A8EB74B">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1032941">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66C7D3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567EA26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42E10CF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0A9352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29F2962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63466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E4128B9">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08A9FDAC">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14:paraId="6299083F">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14:paraId="7CD08A3E">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2528DE8">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C1178E3">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6CE2F4C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486EF25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903681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6BE18CEA">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F89D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8797807">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21E1F824">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14:paraId="76616DEA">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14:paraId="01D96ED8">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F462F2D">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353EBC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4F94367D">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B35CD7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56D4FC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22B7F9F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6BF5F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0CC71B1">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65A426B7">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14:paraId="06AD5A24">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14:paraId="5CAFF3CB">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F2CC8F6">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7B89D7B">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C586E8B">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140595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D6E40B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D5B1F5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FDDA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9D50C08">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4493C0A9">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50A571C4">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14:paraId="195E73FE">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3D95BBD">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F06F16B">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0E5E2A5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5B680DA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04CEAE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7BA6919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2416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6730FAA">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7ABD11C5">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7E62D116">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14:paraId="0CAA0D89">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5E09186">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E55327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F569009">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C0BE7F6">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695FED1">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3E0E5AAF">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48E5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89F308D">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4E78CA04">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1A6A93FB">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14:paraId="0DC2410B">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965DF77">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DC4F0B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2FE22D9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7CD3EED4">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B5E8A3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5A5C53C7">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0E33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F423690">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7A9872FF">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14:paraId="79961B55">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14:paraId="6ABFABFB">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14:paraId="5B95A563">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174FD8E">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BD87130">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3E5E03CC">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232B3D2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2BED1FE">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43691B2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1DD2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10BD1CC">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14:paraId="7A42CAE5">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14:paraId="1AA89150">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14:paraId="10CFD0AB">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D68E623">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3A73AF2">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7BE85F3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9BEAD1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DFE4EF5">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098BBF28">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703FB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E50175">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07DDE8AC">
            <w:pPr>
              <w:widowControl/>
              <w:spacing w:line="300" w:lineRule="exact"/>
              <w:rPr>
                <w:rFonts w:ascii="黑体" w:hAnsi="黑体" w:eastAsia="黑体"/>
                <w:color w:val="auto"/>
                <w:kern w:val="0"/>
                <w:szCs w:val="21"/>
              </w:rPr>
            </w:pPr>
          </w:p>
        </w:tc>
        <w:tc>
          <w:tcPr>
            <w:tcW w:w="2976" w:type="dxa"/>
            <w:shd w:val="clear" w:color="auto" w:fill="auto"/>
            <w:vAlign w:val="center"/>
          </w:tcPr>
          <w:p w14:paraId="667D9319">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24708C77">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A4A2775">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694A0BEB">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45B9D64D">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7133B15">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9686B93">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00B8349C">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0F8E6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50E8BDF">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14:paraId="66ABCC42">
            <w:pPr>
              <w:widowControl/>
              <w:spacing w:line="300" w:lineRule="exact"/>
              <w:rPr>
                <w:rFonts w:ascii="黑体" w:hAnsi="黑体" w:eastAsia="黑体"/>
                <w:color w:val="auto"/>
                <w:kern w:val="0"/>
                <w:szCs w:val="21"/>
              </w:rPr>
            </w:pPr>
          </w:p>
        </w:tc>
        <w:tc>
          <w:tcPr>
            <w:tcW w:w="2976" w:type="dxa"/>
            <w:shd w:val="clear" w:color="auto" w:fill="auto"/>
            <w:vAlign w:val="center"/>
          </w:tcPr>
          <w:p w14:paraId="056BE43B">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14:paraId="393B1CA3">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C117D83">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479C9340">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51C2BDDE">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62604524">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7B4DF589">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20ACB4D7">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1C00E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11BD584">
            <w:pPr>
              <w:rPr>
                <w:rFonts w:ascii="黑体" w:hAnsi="黑体" w:eastAsia="黑体"/>
                <w:color w:val="auto"/>
                <w:szCs w:val="21"/>
              </w:rPr>
            </w:pPr>
          </w:p>
        </w:tc>
        <w:tc>
          <w:tcPr>
            <w:tcW w:w="4677" w:type="dxa"/>
            <w:gridSpan w:val="2"/>
            <w:shd w:val="clear" w:color="auto" w:fill="auto"/>
            <w:tcMar>
              <w:left w:w="108" w:type="dxa"/>
              <w:right w:w="108" w:type="dxa"/>
            </w:tcMar>
            <w:vAlign w:val="center"/>
          </w:tcPr>
          <w:p w14:paraId="6250CB0E">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14:paraId="51820296">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03E415E">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02038570">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369BEB34">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BF5CB1A">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3677D0C3">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6238A6CB">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42D46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5308117">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14:paraId="0ACD7CB0">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20046FA1">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133E8907">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14:paraId="4382107E">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14:paraId="18BF5B5F">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14:paraId="5C785A7A">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14:paraId="0DA42A7C">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14:paraId="6443794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both"/>
        <w:textAlignment w:val="auto"/>
        <w:rPr>
          <w:rFonts w:hint="eastAsia" w:ascii="黑体" w:hAnsi="黑体" w:eastAsia="黑体" w:cs="黑体"/>
          <w:b w:val="0"/>
          <w:bCs/>
          <w:color w:val="auto"/>
          <w:sz w:val="32"/>
          <w:szCs w:val="32"/>
          <w:lang w:val="en-US" w:eastAsia="zh-CN"/>
        </w:rPr>
      </w:pPr>
      <w:r>
        <w:rPr>
          <w:rStyle w:val="7"/>
          <w:rFonts w:hint="eastAsia" w:ascii="楷体" w:hAnsi="楷体" w:eastAsia="楷体" w:cs="楷体"/>
          <w:spacing w:val="8"/>
          <w:sz w:val="32"/>
          <w:szCs w:val="32"/>
        </w:rPr>
        <w:t> </w:t>
      </w:r>
      <w:r>
        <w:rPr>
          <w:rStyle w:val="7"/>
          <w:rFonts w:hint="eastAsia" w:ascii="楷体" w:hAnsi="楷体" w:eastAsia="楷体" w:cs="楷体"/>
          <w:spacing w:val="8"/>
          <w:sz w:val="32"/>
          <w:szCs w:val="32"/>
          <w:lang w:val="en-US" w:eastAsia="zh-CN"/>
        </w:rPr>
        <w:t xml:space="preserve">   </w:t>
      </w:r>
      <w:r>
        <w:rPr>
          <w:rStyle w:val="7"/>
          <w:rFonts w:hint="eastAsia" w:ascii="黑体" w:hAnsi="黑体" w:eastAsia="黑体" w:cs="黑体"/>
          <w:b w:val="0"/>
          <w:bCs/>
          <w:spacing w:val="8"/>
          <w:sz w:val="32"/>
          <w:szCs w:val="32"/>
        </w:rPr>
        <w:t>四</w:t>
      </w:r>
      <w:r>
        <w:rPr>
          <w:rStyle w:val="7"/>
          <w:rFonts w:hint="eastAsia" w:ascii="黑体" w:hAnsi="黑体" w:eastAsia="黑体" w:cs="黑体"/>
          <w:b w:val="0"/>
          <w:bCs/>
          <w:spacing w:val="8"/>
          <w:sz w:val="32"/>
          <w:szCs w:val="32"/>
          <w:lang w:eastAsia="zh-CN"/>
        </w:rPr>
        <w:t>、</w:t>
      </w:r>
      <w:r>
        <w:rPr>
          <w:rStyle w:val="7"/>
          <w:rFonts w:hint="eastAsia" w:ascii="黑体" w:hAnsi="黑体" w:eastAsia="黑体" w:cs="黑体"/>
          <w:b w:val="0"/>
          <w:bCs/>
          <w:spacing w:val="8"/>
          <w:sz w:val="32"/>
          <w:szCs w:val="32"/>
        </w:rPr>
        <w:t>因政府信息公开工作被申请行政复议、提起行政诉讼情况</w:t>
      </w:r>
    </w:p>
    <w:tbl>
      <w:tblPr>
        <w:tblStyle w:val="5"/>
        <w:tblW w:w="99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4"/>
        <w:gridCol w:w="664"/>
        <w:gridCol w:w="664"/>
        <w:gridCol w:w="664"/>
        <w:gridCol w:w="731"/>
        <w:gridCol w:w="605"/>
        <w:gridCol w:w="665"/>
        <w:gridCol w:w="665"/>
        <w:gridCol w:w="665"/>
        <w:gridCol w:w="674"/>
        <w:gridCol w:w="665"/>
        <w:gridCol w:w="665"/>
        <w:gridCol w:w="665"/>
        <w:gridCol w:w="666"/>
        <w:gridCol w:w="677"/>
      </w:tblGrid>
      <w:tr w14:paraId="3E1AEF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338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F89BF7F">
            <w:pPr>
              <w:widowControl/>
              <w:jc w:val="center"/>
              <w:rPr>
                <w:rFonts w:ascii="黑体" w:hAnsi="黑体" w:eastAsia="黑体"/>
                <w:color w:val="auto"/>
              </w:rPr>
            </w:pPr>
            <w:r>
              <w:rPr>
                <w:rFonts w:ascii="黑体" w:hAnsi="黑体" w:eastAsia="黑体"/>
                <w:color w:val="auto"/>
                <w:kern w:val="0"/>
                <w:sz w:val="20"/>
                <w:szCs w:val="20"/>
              </w:rPr>
              <w:t>行政复议</w:t>
            </w:r>
          </w:p>
        </w:tc>
        <w:tc>
          <w:tcPr>
            <w:tcW w:w="6612"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40D33F">
            <w:pPr>
              <w:widowControl/>
              <w:jc w:val="center"/>
              <w:rPr>
                <w:rFonts w:ascii="黑体" w:hAnsi="黑体" w:eastAsia="黑体"/>
                <w:color w:val="auto"/>
              </w:rPr>
            </w:pPr>
            <w:r>
              <w:rPr>
                <w:rFonts w:ascii="黑体" w:hAnsi="黑体" w:eastAsia="黑体"/>
                <w:color w:val="auto"/>
                <w:kern w:val="0"/>
                <w:sz w:val="20"/>
                <w:szCs w:val="20"/>
              </w:rPr>
              <w:t>行政诉讼</w:t>
            </w:r>
          </w:p>
        </w:tc>
      </w:tr>
      <w:tr w14:paraId="431550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66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C60392">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14:paraId="4238AE0B">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6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BEEDB89">
            <w:pPr>
              <w:widowControl/>
              <w:ind w:left="-43" w:leftChars="-21" w:right="-132" w:rightChars="-63" w:hanging="1"/>
              <w:jc w:val="center"/>
              <w:rPr>
                <w:rFonts w:ascii="黑体" w:hAnsi="黑体" w:eastAsia="黑体"/>
                <w:color w:val="auto"/>
                <w:kern w:val="0"/>
                <w:sz w:val="20"/>
                <w:szCs w:val="20"/>
              </w:rPr>
            </w:pPr>
            <w:r>
              <w:rPr>
                <w:rFonts w:ascii="黑体" w:hAnsi="黑体" w:eastAsia="黑体"/>
                <w:color w:val="auto"/>
                <w:kern w:val="0"/>
                <w:sz w:val="20"/>
                <w:szCs w:val="20"/>
              </w:rPr>
              <w:t>结果</w:t>
            </w:r>
          </w:p>
          <w:p w14:paraId="2575BE89">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纠正</w:t>
            </w:r>
          </w:p>
        </w:tc>
        <w:tc>
          <w:tcPr>
            <w:tcW w:w="6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4A9591">
            <w:pPr>
              <w:widowControl/>
              <w:ind w:left="-82" w:leftChars="-39" w:right="-97" w:rightChars="-46"/>
              <w:jc w:val="center"/>
              <w:rPr>
                <w:rFonts w:ascii="黑体" w:hAnsi="黑体" w:eastAsia="黑体"/>
                <w:color w:val="auto"/>
                <w:kern w:val="0"/>
                <w:sz w:val="20"/>
                <w:szCs w:val="20"/>
              </w:rPr>
            </w:pPr>
            <w:r>
              <w:rPr>
                <w:rFonts w:ascii="黑体" w:hAnsi="黑体" w:eastAsia="黑体"/>
                <w:color w:val="auto"/>
                <w:kern w:val="0"/>
                <w:sz w:val="20"/>
                <w:szCs w:val="20"/>
              </w:rPr>
              <w:t>其他</w:t>
            </w:r>
          </w:p>
          <w:p w14:paraId="5D8A1153">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结果</w:t>
            </w:r>
          </w:p>
        </w:tc>
        <w:tc>
          <w:tcPr>
            <w:tcW w:w="6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5A1177">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14:paraId="178B38DF">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73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313C7BB">
            <w:pPr>
              <w:widowControl/>
              <w:spacing w:line="320" w:lineRule="exact"/>
              <w:jc w:val="center"/>
              <w:rPr>
                <w:rFonts w:ascii="黑体" w:hAnsi="黑体" w:eastAsia="黑体"/>
                <w:color w:val="auto"/>
              </w:rPr>
            </w:pPr>
            <w:r>
              <w:rPr>
                <w:rFonts w:ascii="黑体" w:hAnsi="黑体" w:eastAsia="黑体"/>
                <w:color w:val="auto"/>
                <w:kern w:val="0"/>
                <w:sz w:val="20"/>
                <w:szCs w:val="20"/>
              </w:rPr>
              <w:t>总计</w:t>
            </w:r>
          </w:p>
        </w:tc>
        <w:tc>
          <w:tcPr>
            <w:tcW w:w="327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5E6ED0">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3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4CC5C4">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14:paraId="4A1B0F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23" w:hRule="atLeast"/>
          <w:jc w:val="center"/>
        </w:trPr>
        <w:tc>
          <w:tcPr>
            <w:tcW w:w="66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A5281A">
            <w:pPr>
              <w:jc w:val="center"/>
              <w:rPr>
                <w:rFonts w:ascii="黑体" w:hAnsi="黑体" w:eastAsia="黑体"/>
                <w:color w:val="auto"/>
                <w:sz w:val="24"/>
              </w:rPr>
            </w:pPr>
          </w:p>
        </w:tc>
        <w:tc>
          <w:tcPr>
            <w:tcW w:w="66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8C3CA1B">
            <w:pPr>
              <w:jc w:val="center"/>
              <w:rPr>
                <w:rFonts w:ascii="黑体" w:hAnsi="黑体" w:eastAsia="黑体"/>
                <w:color w:val="auto"/>
                <w:sz w:val="24"/>
              </w:rPr>
            </w:pPr>
          </w:p>
        </w:tc>
        <w:tc>
          <w:tcPr>
            <w:tcW w:w="6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BE4EF4">
            <w:pPr>
              <w:jc w:val="center"/>
              <w:rPr>
                <w:rFonts w:ascii="黑体" w:hAnsi="黑体" w:eastAsia="黑体"/>
                <w:color w:val="auto"/>
                <w:sz w:val="24"/>
              </w:rPr>
            </w:pPr>
          </w:p>
        </w:tc>
        <w:tc>
          <w:tcPr>
            <w:tcW w:w="6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512058">
            <w:pPr>
              <w:jc w:val="center"/>
              <w:rPr>
                <w:rFonts w:ascii="黑体" w:hAnsi="黑体" w:eastAsia="黑体"/>
                <w:color w:val="auto"/>
                <w:sz w:val="24"/>
              </w:rPr>
            </w:pPr>
          </w:p>
        </w:tc>
        <w:tc>
          <w:tcPr>
            <w:tcW w:w="73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A26D7D">
            <w:pPr>
              <w:jc w:val="center"/>
              <w:rPr>
                <w:rFonts w:ascii="黑体" w:hAnsi="黑体" w:eastAsia="黑体"/>
                <w:color w:val="auto"/>
                <w:sz w:val="24"/>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DD17D0">
            <w:pPr>
              <w:widowControl/>
              <w:ind w:left="-105" w:leftChars="-50" w:right="-126" w:rightChars="-60"/>
              <w:jc w:val="center"/>
              <w:rPr>
                <w:rFonts w:ascii="黑体" w:hAnsi="黑体" w:eastAsia="黑体"/>
                <w:color w:val="auto"/>
                <w:kern w:val="0"/>
                <w:sz w:val="20"/>
                <w:szCs w:val="20"/>
              </w:rPr>
            </w:pPr>
            <w:r>
              <w:rPr>
                <w:rFonts w:ascii="黑体" w:hAnsi="黑体" w:eastAsia="黑体"/>
                <w:color w:val="auto"/>
                <w:kern w:val="0"/>
                <w:sz w:val="20"/>
                <w:szCs w:val="20"/>
              </w:rPr>
              <w:t>结果</w:t>
            </w:r>
          </w:p>
          <w:p w14:paraId="2F6990E4">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维持</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14:paraId="69E5126F">
            <w:pPr>
              <w:widowControl/>
              <w:ind w:left="-86" w:leftChars="-41" w:right="-88" w:rightChars="-42"/>
              <w:jc w:val="center"/>
              <w:rPr>
                <w:rFonts w:ascii="黑体" w:hAnsi="黑体" w:eastAsia="黑体"/>
                <w:color w:val="auto"/>
                <w:kern w:val="0"/>
                <w:sz w:val="20"/>
                <w:szCs w:val="20"/>
              </w:rPr>
            </w:pPr>
            <w:r>
              <w:rPr>
                <w:rFonts w:ascii="黑体" w:hAnsi="黑体" w:eastAsia="黑体"/>
                <w:color w:val="auto"/>
                <w:kern w:val="0"/>
                <w:sz w:val="20"/>
                <w:szCs w:val="20"/>
              </w:rPr>
              <w:t>结果</w:t>
            </w:r>
          </w:p>
          <w:p w14:paraId="2CF5C384">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纠正</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F3C411">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14:paraId="38AA6C04">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24FBFB3">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14:paraId="77A29488">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42D9E8">
            <w:pPr>
              <w:widowControl/>
              <w:jc w:val="center"/>
              <w:rPr>
                <w:rFonts w:ascii="黑体" w:hAnsi="黑体" w:eastAsia="黑体"/>
                <w:color w:val="auto"/>
              </w:rPr>
            </w:pPr>
            <w:r>
              <w:rPr>
                <w:rFonts w:ascii="黑体" w:hAnsi="黑体" w:eastAsia="黑体"/>
                <w:color w:val="auto"/>
                <w:kern w:val="0"/>
                <w:sz w:val="20"/>
                <w:szCs w:val="20"/>
              </w:rPr>
              <w:t>总计</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D2404DC">
            <w:pPr>
              <w:widowControl/>
              <w:ind w:left="-99" w:leftChars="-47" w:right="-78" w:rightChars="-37"/>
              <w:jc w:val="center"/>
              <w:rPr>
                <w:rFonts w:ascii="黑体" w:hAnsi="黑体" w:eastAsia="黑体"/>
                <w:color w:val="auto"/>
                <w:kern w:val="0"/>
                <w:sz w:val="20"/>
                <w:szCs w:val="20"/>
              </w:rPr>
            </w:pPr>
            <w:r>
              <w:rPr>
                <w:rFonts w:ascii="黑体" w:hAnsi="黑体" w:eastAsia="黑体"/>
                <w:color w:val="auto"/>
                <w:kern w:val="0"/>
                <w:sz w:val="20"/>
                <w:szCs w:val="20"/>
              </w:rPr>
              <w:t>结果</w:t>
            </w:r>
          </w:p>
          <w:p w14:paraId="7B982921">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维持</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3E50EE">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14:paraId="799D719A">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CF73A0">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14:paraId="6BD9848B">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6408689">
            <w:pPr>
              <w:widowControl/>
              <w:ind w:left="-67" w:leftChars="-33" w:right="-105" w:rightChars="-50" w:hanging="2" w:hangingChars="1"/>
              <w:jc w:val="center"/>
              <w:rPr>
                <w:rFonts w:ascii="黑体" w:hAnsi="黑体" w:eastAsia="黑体"/>
                <w:color w:val="auto"/>
                <w:kern w:val="0"/>
                <w:sz w:val="20"/>
                <w:szCs w:val="20"/>
              </w:rPr>
            </w:pPr>
            <w:r>
              <w:rPr>
                <w:rFonts w:ascii="黑体" w:hAnsi="黑体" w:eastAsia="黑体"/>
                <w:color w:val="auto"/>
                <w:kern w:val="0"/>
                <w:sz w:val="20"/>
                <w:szCs w:val="20"/>
              </w:rPr>
              <w:t>尚未</w:t>
            </w:r>
          </w:p>
          <w:p w14:paraId="560285CD">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审结</w:t>
            </w:r>
          </w:p>
        </w:tc>
        <w:tc>
          <w:tcPr>
            <w:tcW w:w="6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8F7E696">
            <w:pPr>
              <w:widowControl/>
              <w:jc w:val="center"/>
              <w:rPr>
                <w:rFonts w:ascii="黑体" w:hAnsi="黑体" w:eastAsia="黑体"/>
                <w:color w:val="auto"/>
              </w:rPr>
            </w:pPr>
            <w:r>
              <w:rPr>
                <w:rFonts w:ascii="黑体" w:hAnsi="黑体" w:eastAsia="黑体"/>
                <w:color w:val="auto"/>
                <w:kern w:val="0"/>
                <w:sz w:val="20"/>
                <w:szCs w:val="20"/>
              </w:rPr>
              <w:t>总计</w:t>
            </w:r>
          </w:p>
        </w:tc>
      </w:tr>
      <w:tr w14:paraId="21295E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6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F2094E">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14:paraId="1A63D38E">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14:paraId="36A24D64">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14:paraId="5D5A4683">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14:paraId="3AFDCCBC">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81FF844">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14:paraId="664567D1">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14:paraId="5BF32FC2">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14:paraId="45144C69">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74" w:type="dxa"/>
            <w:tcBorders>
              <w:top w:val="nil"/>
              <w:left w:val="nil"/>
              <w:bottom w:val="single" w:color="auto" w:sz="8" w:space="0"/>
              <w:right w:val="single" w:color="auto" w:sz="8" w:space="0"/>
            </w:tcBorders>
            <w:shd w:val="clear" w:color="auto" w:fill="auto"/>
            <w:tcMar>
              <w:left w:w="108" w:type="dxa"/>
              <w:right w:w="108" w:type="dxa"/>
            </w:tcMar>
            <w:vAlign w:val="center"/>
          </w:tcPr>
          <w:p w14:paraId="0B9D97C2">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14:paraId="2C6F4C75">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14:paraId="1874AEFB">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14:paraId="168708E4">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14:paraId="1F9881A4">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77" w:type="dxa"/>
            <w:tcBorders>
              <w:top w:val="nil"/>
              <w:left w:val="nil"/>
              <w:bottom w:val="single" w:color="auto" w:sz="8" w:space="0"/>
              <w:right w:val="single" w:color="auto" w:sz="8" w:space="0"/>
            </w:tcBorders>
            <w:shd w:val="clear" w:color="auto" w:fill="auto"/>
            <w:tcMar>
              <w:left w:w="108" w:type="dxa"/>
              <w:right w:w="108" w:type="dxa"/>
            </w:tcMar>
            <w:vAlign w:val="center"/>
          </w:tcPr>
          <w:p w14:paraId="1507AD4B">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14:paraId="47C049C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五、政府信息公开工作存在的主要问题及改进情况</w:t>
      </w:r>
    </w:p>
    <w:p w14:paraId="6AB3DB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Chars="0" w:firstLine="643" w:firstLineChars="200"/>
        <w:jc w:val="both"/>
        <w:textAlignment w:val="auto"/>
        <w:rPr>
          <w:rFonts w:hint="eastAsia" w:ascii="楷体_GB2312" w:hAnsi="楷体_GB2312" w:eastAsia="楷体_GB2312" w:cs="楷体_GB2312"/>
          <w:b/>
          <w:bCs/>
          <w:color w:val="0000FF"/>
          <w:sz w:val="32"/>
          <w:szCs w:val="32"/>
        </w:rPr>
      </w:pPr>
      <w:r>
        <w:rPr>
          <w:rFonts w:hint="eastAsia" w:ascii="楷体_GB2312" w:hAnsi="楷体_GB2312" w:eastAsia="楷体_GB2312" w:cs="楷体_GB2312"/>
          <w:b/>
          <w:bCs/>
          <w:color w:val="auto"/>
          <w:sz w:val="32"/>
          <w:szCs w:val="32"/>
        </w:rPr>
        <w:t>（一）存在的主要问题</w:t>
      </w:r>
    </w:p>
    <w:p w14:paraId="3B3B37F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leftChars="0" w:right="0" w:rightChars="0" w:firstLine="643" w:firstLineChars="200"/>
        <w:jc w:val="both"/>
        <w:textAlignment w:val="auto"/>
        <w:rPr>
          <w:rFonts w:hint="eastAsia" w:ascii="黑体" w:hAnsi="黑体" w:eastAsia="黑体" w:cs="黑体"/>
          <w:color w:val="0000FF"/>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政府网站和政务新媒体信息发布不够及时；</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政府信息公开范围不够全面；</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政府信息公开管理机制不够完善。</w:t>
      </w:r>
    </w:p>
    <w:p w14:paraId="70B021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rPr>
        <w:t>（二）改进措施</w:t>
      </w:r>
    </w:p>
    <w:p w14:paraId="39FDEC7F">
      <w:pPr>
        <w:pStyle w:val="4"/>
        <w:keepNext w:val="0"/>
        <w:keepLines w:val="0"/>
        <w:pageBreakBefore w:val="0"/>
        <w:widowControl/>
        <w:numPr>
          <w:ilvl w:val="0"/>
          <w:numId w:val="0"/>
        </w:numPr>
        <w:suppressLineNumbers w:val="0"/>
        <w:tabs>
          <w:tab w:val="left" w:pos="1465"/>
        </w:tabs>
        <w:kinsoku/>
        <w:wordWrap/>
        <w:overflowPunct/>
        <w:topLinePunct w:val="0"/>
        <w:autoSpaceDE/>
        <w:autoSpaceDN/>
        <w:bidi w:val="0"/>
        <w:adjustRightInd/>
        <w:snapToGrid/>
        <w:spacing w:before="0" w:beforeAutospacing="0" w:afterAutospacing="0" w:line="560" w:lineRule="exact"/>
        <w:ind w:right="0" w:rightChars="0" w:firstLine="643"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b w:val="0"/>
          <w:bCs w:val="0"/>
          <w:color w:val="auto"/>
          <w:sz w:val="32"/>
          <w:szCs w:val="32"/>
          <w:lang w:val="en-US" w:eastAsia="zh-CN"/>
        </w:rPr>
        <w:t>按照制度要求及时发布更新信息，提高信息发布的时效性</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val="0"/>
          <w:bCs w:val="0"/>
          <w:color w:val="auto"/>
          <w:sz w:val="32"/>
          <w:szCs w:val="32"/>
          <w:lang w:val="en-US" w:eastAsia="zh-CN"/>
        </w:rPr>
        <w:t>按照政府信息公开的法律法规，明确政府信息公开的范围和标准，拓宽政府信息公开的内容和范围。</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b w:val="0"/>
          <w:bCs w:val="0"/>
          <w:color w:val="auto"/>
          <w:sz w:val="32"/>
          <w:szCs w:val="32"/>
          <w:lang w:val="en-US" w:eastAsia="zh-CN"/>
        </w:rPr>
        <w:t>完善政府信息公开管理制度，加强对政府信息公开工作的管理，提高工作效率。</w:t>
      </w:r>
    </w:p>
    <w:p w14:paraId="7557B6A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六、其他需要报告的事项</w:t>
      </w:r>
    </w:p>
    <w:p w14:paraId="1C2AF14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Times New Roman"/>
          <w:color w:val="0000FF"/>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2024年全年接到市人大常委会交办的人大代表建议办理工作0件，收到市政协十一届三次会议提案</w:t>
      </w:r>
      <w:r>
        <w:rPr>
          <w:rFonts w:hint="eastAsia" w:ascii="Times New Roman" w:hAnsi="Times New Roman" w:eastAsia="仿宋_GB2312" w:cs="Times New Roman"/>
          <w:color w:val="auto"/>
          <w:sz w:val="32"/>
          <w:szCs w:val="32"/>
          <w:lang w:val="en-US" w:eastAsia="zh-CN"/>
        </w:rPr>
        <w:t>01</w:t>
      </w:r>
      <w:r>
        <w:rPr>
          <w:rFonts w:hint="default" w:ascii="Times New Roman" w:hAnsi="Times New Roman" w:eastAsia="仿宋_GB2312" w:cs="Times New Roman"/>
          <w:color w:val="auto"/>
          <w:sz w:val="32"/>
          <w:szCs w:val="32"/>
        </w:rPr>
        <w:t>件，均已在规定时限内答复完毕，办复率100%。</w:t>
      </w:r>
    </w:p>
    <w:p w14:paraId="1B73C3E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2.本年度政府信息公开申请未达到《政府信息公开信息处理费管理办法》（国办函〔2020〕109号）所规定的信息处理费收费标准，故未收取信息处理费。</w:t>
      </w:r>
    </w:p>
    <w:p w14:paraId="0CE959C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落实年度政务公开重点工作情况。扎实做好政务公开基础工作，持续推进基层政务公开标准化、规范化，全面梳理细化相关领域政务公开事项，明确具体事项的公开标准，制作主动公开基本目录清单等，促进街道政务公开工作提质增效。</w:t>
      </w:r>
    </w:p>
    <w:p w14:paraId="0A118E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4.本行政机关年度政务公开工作创新情况。</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b w:val="0"/>
          <w:bCs w:val="0"/>
          <w:color w:val="auto"/>
          <w:sz w:val="32"/>
          <w:szCs w:val="32"/>
          <w:lang w:val="en-US" w:eastAsia="zh-CN"/>
        </w:rPr>
        <w:t>切实提升基层工作人员综合服务素质和能力，增强企业群众办事体验感和便利度；</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val="0"/>
          <w:bCs w:val="0"/>
          <w:color w:val="auto"/>
          <w:sz w:val="32"/>
          <w:szCs w:val="32"/>
          <w:lang w:val="en-US" w:eastAsia="zh-CN"/>
        </w:rPr>
        <w:t>升级兴城街道“政务公开体验区”，进一步夯实政务公开工作基础，力争实现政务公开便民化、智能化、人性化，切实增强群众参与感。</w:t>
      </w:r>
    </w:p>
    <w:p w14:paraId="462D053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本行政机关政府信息公开工作年度报告数据统计需要说明的事项。本报告中所列数据的统计时限为</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日至</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p>
    <w:p w14:paraId="67A532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.本行政机关认为需要报告的其他事项。无。</w:t>
      </w:r>
    </w:p>
    <w:p w14:paraId="260D95E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.其他有关文件专门要求通过政府信息公开工作年度报告予以报告的事项。无。</w:t>
      </w:r>
    </w:p>
    <w:p w14:paraId="4B0CA9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如对本年度政府信息公开工作年度报告有疑问，请与枣庄高新区兴城街道联系（联系电话:0632-867</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008，电子邮箱:xingchengjieban@163.com）。</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F331">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2CD7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72CD7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3586A"/>
    <w:multiLevelType w:val="singleLevel"/>
    <w:tmpl w:val="E9A358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JlNDY2MTkyZmE1NDA1OGE0NWY3NmYwZWEzYzkifQ=="/>
  </w:docVars>
  <w:rsids>
    <w:rsidRoot w:val="00000000"/>
    <w:rsid w:val="0009075B"/>
    <w:rsid w:val="005C4D2E"/>
    <w:rsid w:val="00F9432B"/>
    <w:rsid w:val="017D54E3"/>
    <w:rsid w:val="018E53BB"/>
    <w:rsid w:val="019F1377"/>
    <w:rsid w:val="01CF32DE"/>
    <w:rsid w:val="01DF5C17"/>
    <w:rsid w:val="021B6523"/>
    <w:rsid w:val="02775E4F"/>
    <w:rsid w:val="02CD1F13"/>
    <w:rsid w:val="02CF77A5"/>
    <w:rsid w:val="036A1510"/>
    <w:rsid w:val="03BE185C"/>
    <w:rsid w:val="042913CB"/>
    <w:rsid w:val="04351B1E"/>
    <w:rsid w:val="0449381C"/>
    <w:rsid w:val="04C5045F"/>
    <w:rsid w:val="04CB5FDF"/>
    <w:rsid w:val="051F457C"/>
    <w:rsid w:val="052A53FB"/>
    <w:rsid w:val="053B4351"/>
    <w:rsid w:val="05BE1FE7"/>
    <w:rsid w:val="05CD5D86"/>
    <w:rsid w:val="05E03D0C"/>
    <w:rsid w:val="05F72E03"/>
    <w:rsid w:val="06085010"/>
    <w:rsid w:val="063D4CBA"/>
    <w:rsid w:val="065344DE"/>
    <w:rsid w:val="06654FEF"/>
    <w:rsid w:val="06913258"/>
    <w:rsid w:val="06C726BC"/>
    <w:rsid w:val="06EE2458"/>
    <w:rsid w:val="06FF4665"/>
    <w:rsid w:val="071874D5"/>
    <w:rsid w:val="078F7797"/>
    <w:rsid w:val="07F317FB"/>
    <w:rsid w:val="085F360E"/>
    <w:rsid w:val="08B60D54"/>
    <w:rsid w:val="08C416C3"/>
    <w:rsid w:val="08FE0D7F"/>
    <w:rsid w:val="090715AF"/>
    <w:rsid w:val="09383E5F"/>
    <w:rsid w:val="093C394F"/>
    <w:rsid w:val="094C0719"/>
    <w:rsid w:val="09E26350"/>
    <w:rsid w:val="09E55D95"/>
    <w:rsid w:val="0A8C6210"/>
    <w:rsid w:val="0AEA1189"/>
    <w:rsid w:val="0B0B182B"/>
    <w:rsid w:val="0B5605CC"/>
    <w:rsid w:val="0BAD4690"/>
    <w:rsid w:val="0C0B585A"/>
    <w:rsid w:val="0C7E7DDA"/>
    <w:rsid w:val="0C9475FE"/>
    <w:rsid w:val="0CA57A5D"/>
    <w:rsid w:val="0CA912FB"/>
    <w:rsid w:val="0CCF0636"/>
    <w:rsid w:val="0CDB347F"/>
    <w:rsid w:val="0D86163D"/>
    <w:rsid w:val="0DB717F6"/>
    <w:rsid w:val="0DD759F4"/>
    <w:rsid w:val="0E460DCC"/>
    <w:rsid w:val="0E4A08BC"/>
    <w:rsid w:val="0E601E8E"/>
    <w:rsid w:val="0E8611C8"/>
    <w:rsid w:val="0EA53D44"/>
    <w:rsid w:val="0EAC6E81"/>
    <w:rsid w:val="0EC853E9"/>
    <w:rsid w:val="0EE4486D"/>
    <w:rsid w:val="0F164219"/>
    <w:rsid w:val="0F2C1D70"/>
    <w:rsid w:val="0F4946D0"/>
    <w:rsid w:val="0F803E6A"/>
    <w:rsid w:val="0FB6788B"/>
    <w:rsid w:val="0FDA7A1E"/>
    <w:rsid w:val="0FF20B75"/>
    <w:rsid w:val="0FFE195E"/>
    <w:rsid w:val="100F3B6B"/>
    <w:rsid w:val="10240C99"/>
    <w:rsid w:val="10480E2B"/>
    <w:rsid w:val="10637A13"/>
    <w:rsid w:val="10FE14EA"/>
    <w:rsid w:val="11164A85"/>
    <w:rsid w:val="115A0E16"/>
    <w:rsid w:val="11904838"/>
    <w:rsid w:val="11B5604C"/>
    <w:rsid w:val="11C72224"/>
    <w:rsid w:val="11FA7F03"/>
    <w:rsid w:val="124F633D"/>
    <w:rsid w:val="12582E7C"/>
    <w:rsid w:val="13070B2A"/>
    <w:rsid w:val="13217712"/>
    <w:rsid w:val="133E2072"/>
    <w:rsid w:val="134E49AB"/>
    <w:rsid w:val="13871C6A"/>
    <w:rsid w:val="13CA1B57"/>
    <w:rsid w:val="140E5EE8"/>
    <w:rsid w:val="140E7C96"/>
    <w:rsid w:val="143811B7"/>
    <w:rsid w:val="144731A8"/>
    <w:rsid w:val="14CB6448"/>
    <w:rsid w:val="14E32ED1"/>
    <w:rsid w:val="15043711"/>
    <w:rsid w:val="153B2D0D"/>
    <w:rsid w:val="158A77F0"/>
    <w:rsid w:val="159348F7"/>
    <w:rsid w:val="15A308B2"/>
    <w:rsid w:val="16021A7C"/>
    <w:rsid w:val="165D6CB3"/>
    <w:rsid w:val="16F77107"/>
    <w:rsid w:val="1706559C"/>
    <w:rsid w:val="171E28E6"/>
    <w:rsid w:val="17822E75"/>
    <w:rsid w:val="179B7A92"/>
    <w:rsid w:val="17CA62D4"/>
    <w:rsid w:val="17E55ACB"/>
    <w:rsid w:val="17E86A50"/>
    <w:rsid w:val="180E64B6"/>
    <w:rsid w:val="182A7068"/>
    <w:rsid w:val="18463EA2"/>
    <w:rsid w:val="18496DE3"/>
    <w:rsid w:val="18700F1F"/>
    <w:rsid w:val="18876269"/>
    <w:rsid w:val="18AB1F57"/>
    <w:rsid w:val="18C63235"/>
    <w:rsid w:val="18DF42F7"/>
    <w:rsid w:val="193E726F"/>
    <w:rsid w:val="1954439D"/>
    <w:rsid w:val="19801636"/>
    <w:rsid w:val="19B72B7E"/>
    <w:rsid w:val="19EF056A"/>
    <w:rsid w:val="19F85670"/>
    <w:rsid w:val="1A4C59BC"/>
    <w:rsid w:val="1A9829AF"/>
    <w:rsid w:val="1B4D72F6"/>
    <w:rsid w:val="1BD21EF1"/>
    <w:rsid w:val="1BF43C15"/>
    <w:rsid w:val="1C47468D"/>
    <w:rsid w:val="1C7865F4"/>
    <w:rsid w:val="1CDF0421"/>
    <w:rsid w:val="1D305121"/>
    <w:rsid w:val="1D8611E5"/>
    <w:rsid w:val="1E214A6A"/>
    <w:rsid w:val="1E37428D"/>
    <w:rsid w:val="1E3E2B8A"/>
    <w:rsid w:val="1E5906A7"/>
    <w:rsid w:val="1EAE09F3"/>
    <w:rsid w:val="1EE75CB3"/>
    <w:rsid w:val="1F1A1BE5"/>
    <w:rsid w:val="1F2E743E"/>
    <w:rsid w:val="1F7F7C9A"/>
    <w:rsid w:val="1F8D23B7"/>
    <w:rsid w:val="202F346E"/>
    <w:rsid w:val="20315438"/>
    <w:rsid w:val="20566C4C"/>
    <w:rsid w:val="20586E69"/>
    <w:rsid w:val="209B6D55"/>
    <w:rsid w:val="20CE2C87"/>
    <w:rsid w:val="20D14525"/>
    <w:rsid w:val="20F052F3"/>
    <w:rsid w:val="21052421"/>
    <w:rsid w:val="21091F11"/>
    <w:rsid w:val="21260D15"/>
    <w:rsid w:val="21556F04"/>
    <w:rsid w:val="21635AC5"/>
    <w:rsid w:val="21676C37"/>
    <w:rsid w:val="217A0447"/>
    <w:rsid w:val="220E68C5"/>
    <w:rsid w:val="221C3EC6"/>
    <w:rsid w:val="22327245"/>
    <w:rsid w:val="226D4721"/>
    <w:rsid w:val="22FD5AA5"/>
    <w:rsid w:val="2342170A"/>
    <w:rsid w:val="23582CDC"/>
    <w:rsid w:val="23737B15"/>
    <w:rsid w:val="2375388E"/>
    <w:rsid w:val="23CD34DC"/>
    <w:rsid w:val="23E565FA"/>
    <w:rsid w:val="23F21382"/>
    <w:rsid w:val="23F86C88"/>
    <w:rsid w:val="24013373"/>
    <w:rsid w:val="24417C14"/>
    <w:rsid w:val="2479115B"/>
    <w:rsid w:val="247B1377"/>
    <w:rsid w:val="24DB0068"/>
    <w:rsid w:val="24DF3966"/>
    <w:rsid w:val="250E3F9A"/>
    <w:rsid w:val="251E574A"/>
    <w:rsid w:val="252E63EA"/>
    <w:rsid w:val="2561056D"/>
    <w:rsid w:val="25B82157"/>
    <w:rsid w:val="25C74149"/>
    <w:rsid w:val="25F767DC"/>
    <w:rsid w:val="2610789E"/>
    <w:rsid w:val="263B20A0"/>
    <w:rsid w:val="26775B6F"/>
    <w:rsid w:val="268F4C66"/>
    <w:rsid w:val="26A30712"/>
    <w:rsid w:val="26E56F7C"/>
    <w:rsid w:val="26F70A5D"/>
    <w:rsid w:val="274C2B57"/>
    <w:rsid w:val="27CB6172"/>
    <w:rsid w:val="28074CD0"/>
    <w:rsid w:val="28235FAE"/>
    <w:rsid w:val="28DE1ED5"/>
    <w:rsid w:val="29177195"/>
    <w:rsid w:val="291853E7"/>
    <w:rsid w:val="294A30C6"/>
    <w:rsid w:val="294C5091"/>
    <w:rsid w:val="29CF6BA5"/>
    <w:rsid w:val="29D05CC2"/>
    <w:rsid w:val="29D3130E"/>
    <w:rsid w:val="29EF3C6E"/>
    <w:rsid w:val="2A181417"/>
    <w:rsid w:val="2A6603D4"/>
    <w:rsid w:val="2A691C72"/>
    <w:rsid w:val="2AF7102C"/>
    <w:rsid w:val="2AFA28CA"/>
    <w:rsid w:val="2B3C2EE3"/>
    <w:rsid w:val="2B473D61"/>
    <w:rsid w:val="2B5C03AE"/>
    <w:rsid w:val="2B69017C"/>
    <w:rsid w:val="2BA50A88"/>
    <w:rsid w:val="2C994A91"/>
    <w:rsid w:val="2CC43190"/>
    <w:rsid w:val="2CFC0B7C"/>
    <w:rsid w:val="2D12214D"/>
    <w:rsid w:val="2D222C56"/>
    <w:rsid w:val="2D67693D"/>
    <w:rsid w:val="2D8F7C42"/>
    <w:rsid w:val="2DA27975"/>
    <w:rsid w:val="2DD85145"/>
    <w:rsid w:val="2DE47F8D"/>
    <w:rsid w:val="2E5B7B24"/>
    <w:rsid w:val="2E7806D6"/>
    <w:rsid w:val="2EDF2503"/>
    <w:rsid w:val="2F1523C9"/>
    <w:rsid w:val="2F1F0B51"/>
    <w:rsid w:val="2F3F11F4"/>
    <w:rsid w:val="2F754C15"/>
    <w:rsid w:val="2FBE480E"/>
    <w:rsid w:val="2FF124EE"/>
    <w:rsid w:val="30640F12"/>
    <w:rsid w:val="30ED53AB"/>
    <w:rsid w:val="312F7772"/>
    <w:rsid w:val="313D27D5"/>
    <w:rsid w:val="31C003CA"/>
    <w:rsid w:val="320A5AE9"/>
    <w:rsid w:val="321F2C5E"/>
    <w:rsid w:val="326E6078"/>
    <w:rsid w:val="32A10A97"/>
    <w:rsid w:val="334E5EA9"/>
    <w:rsid w:val="33C63C91"/>
    <w:rsid w:val="347926F3"/>
    <w:rsid w:val="34A22009"/>
    <w:rsid w:val="34D81ECE"/>
    <w:rsid w:val="34F767F8"/>
    <w:rsid w:val="34F85D6A"/>
    <w:rsid w:val="3502519D"/>
    <w:rsid w:val="353C420B"/>
    <w:rsid w:val="355F7EFA"/>
    <w:rsid w:val="35CD57AB"/>
    <w:rsid w:val="366854D4"/>
    <w:rsid w:val="3699743B"/>
    <w:rsid w:val="369D517D"/>
    <w:rsid w:val="36B67FED"/>
    <w:rsid w:val="37227431"/>
    <w:rsid w:val="372413FB"/>
    <w:rsid w:val="37531CE0"/>
    <w:rsid w:val="37B02C8E"/>
    <w:rsid w:val="380C3143"/>
    <w:rsid w:val="38C2711D"/>
    <w:rsid w:val="396E4BAF"/>
    <w:rsid w:val="39706B79"/>
    <w:rsid w:val="397321C6"/>
    <w:rsid w:val="398E5251"/>
    <w:rsid w:val="39D4535A"/>
    <w:rsid w:val="39EE5CF0"/>
    <w:rsid w:val="3A267238"/>
    <w:rsid w:val="3A6B10EF"/>
    <w:rsid w:val="3A777A93"/>
    <w:rsid w:val="3A7E0E22"/>
    <w:rsid w:val="3B143534"/>
    <w:rsid w:val="3BD778AE"/>
    <w:rsid w:val="3BD80A06"/>
    <w:rsid w:val="3BE455FD"/>
    <w:rsid w:val="3C0A1C8C"/>
    <w:rsid w:val="3C9E39FD"/>
    <w:rsid w:val="3CB054DF"/>
    <w:rsid w:val="3CF90C34"/>
    <w:rsid w:val="3D023F8C"/>
    <w:rsid w:val="3D89020A"/>
    <w:rsid w:val="3DC76F84"/>
    <w:rsid w:val="3DD82F3F"/>
    <w:rsid w:val="3DF15DAF"/>
    <w:rsid w:val="3E4E3201"/>
    <w:rsid w:val="3E7013C9"/>
    <w:rsid w:val="3E734A16"/>
    <w:rsid w:val="3E860BED"/>
    <w:rsid w:val="3EAD617A"/>
    <w:rsid w:val="3F4A1C1A"/>
    <w:rsid w:val="3F4C367C"/>
    <w:rsid w:val="3F80388E"/>
    <w:rsid w:val="3FAC01DF"/>
    <w:rsid w:val="3FB928FC"/>
    <w:rsid w:val="3FD55988"/>
    <w:rsid w:val="40297A82"/>
    <w:rsid w:val="405A7C3B"/>
    <w:rsid w:val="40825401"/>
    <w:rsid w:val="409E3FCC"/>
    <w:rsid w:val="40C31C84"/>
    <w:rsid w:val="417116E0"/>
    <w:rsid w:val="417E204F"/>
    <w:rsid w:val="41E00614"/>
    <w:rsid w:val="41EC520B"/>
    <w:rsid w:val="42894808"/>
    <w:rsid w:val="43170066"/>
    <w:rsid w:val="431C567C"/>
    <w:rsid w:val="43324E9F"/>
    <w:rsid w:val="433A3D54"/>
    <w:rsid w:val="44022AC4"/>
    <w:rsid w:val="4427077C"/>
    <w:rsid w:val="44775260"/>
    <w:rsid w:val="447B4624"/>
    <w:rsid w:val="44872FC9"/>
    <w:rsid w:val="4496320C"/>
    <w:rsid w:val="44C61D43"/>
    <w:rsid w:val="44CD30D2"/>
    <w:rsid w:val="451E56DB"/>
    <w:rsid w:val="454113CA"/>
    <w:rsid w:val="4550160D"/>
    <w:rsid w:val="4554734F"/>
    <w:rsid w:val="459E4A6E"/>
    <w:rsid w:val="45CA7611"/>
    <w:rsid w:val="46B04A59"/>
    <w:rsid w:val="46E12E64"/>
    <w:rsid w:val="46E6047B"/>
    <w:rsid w:val="471C20EE"/>
    <w:rsid w:val="473A2575"/>
    <w:rsid w:val="479F062A"/>
    <w:rsid w:val="47AB5220"/>
    <w:rsid w:val="47B10A89"/>
    <w:rsid w:val="47EF335F"/>
    <w:rsid w:val="4860425D"/>
    <w:rsid w:val="48B40105"/>
    <w:rsid w:val="48CE11C6"/>
    <w:rsid w:val="48CE6244"/>
    <w:rsid w:val="49090450"/>
    <w:rsid w:val="49267254"/>
    <w:rsid w:val="494D47E1"/>
    <w:rsid w:val="49942410"/>
    <w:rsid w:val="49BF360C"/>
    <w:rsid w:val="49F033BE"/>
    <w:rsid w:val="4A655B5A"/>
    <w:rsid w:val="4A69564B"/>
    <w:rsid w:val="4A745D9D"/>
    <w:rsid w:val="4ACA3C0F"/>
    <w:rsid w:val="4B441C14"/>
    <w:rsid w:val="4BF076A6"/>
    <w:rsid w:val="4CAA1F4A"/>
    <w:rsid w:val="4CE4545C"/>
    <w:rsid w:val="4D693BB4"/>
    <w:rsid w:val="4D8B58D8"/>
    <w:rsid w:val="4E577EB0"/>
    <w:rsid w:val="4E8642F1"/>
    <w:rsid w:val="4E8A3DE2"/>
    <w:rsid w:val="4E915170"/>
    <w:rsid w:val="4F0973FC"/>
    <w:rsid w:val="4F2204BE"/>
    <w:rsid w:val="4F9B5B7A"/>
    <w:rsid w:val="4F9F1B0F"/>
    <w:rsid w:val="4FE47521"/>
    <w:rsid w:val="4FF27E90"/>
    <w:rsid w:val="4FF84D7B"/>
    <w:rsid w:val="4FFA4F97"/>
    <w:rsid w:val="4FFE4A87"/>
    <w:rsid w:val="50175B49"/>
    <w:rsid w:val="505E043D"/>
    <w:rsid w:val="50B769E4"/>
    <w:rsid w:val="50D21A70"/>
    <w:rsid w:val="50F33EC0"/>
    <w:rsid w:val="51022355"/>
    <w:rsid w:val="511B6F73"/>
    <w:rsid w:val="51542485"/>
    <w:rsid w:val="519C4558"/>
    <w:rsid w:val="51CC64BF"/>
    <w:rsid w:val="51D6733E"/>
    <w:rsid w:val="51E732F9"/>
    <w:rsid w:val="51EE640D"/>
    <w:rsid w:val="51FD2B1C"/>
    <w:rsid w:val="520C2D5F"/>
    <w:rsid w:val="52EB0BC7"/>
    <w:rsid w:val="532540D9"/>
    <w:rsid w:val="532F4F57"/>
    <w:rsid w:val="532F6D06"/>
    <w:rsid w:val="53360094"/>
    <w:rsid w:val="53487DC7"/>
    <w:rsid w:val="536C61AC"/>
    <w:rsid w:val="53BA6F17"/>
    <w:rsid w:val="5435659E"/>
    <w:rsid w:val="545804DE"/>
    <w:rsid w:val="54D062C6"/>
    <w:rsid w:val="54D9517B"/>
    <w:rsid w:val="54DB5397"/>
    <w:rsid w:val="54E51D72"/>
    <w:rsid w:val="5503669C"/>
    <w:rsid w:val="55175CA3"/>
    <w:rsid w:val="5523289A"/>
    <w:rsid w:val="55B61960"/>
    <w:rsid w:val="55D3606E"/>
    <w:rsid w:val="55EB785C"/>
    <w:rsid w:val="5604091D"/>
    <w:rsid w:val="5640122A"/>
    <w:rsid w:val="56503B63"/>
    <w:rsid w:val="565A22EB"/>
    <w:rsid w:val="56CF2CD9"/>
    <w:rsid w:val="56DA342C"/>
    <w:rsid w:val="570D3802"/>
    <w:rsid w:val="57607DD5"/>
    <w:rsid w:val="57727B09"/>
    <w:rsid w:val="57A001D2"/>
    <w:rsid w:val="57DB745C"/>
    <w:rsid w:val="57DD4F82"/>
    <w:rsid w:val="584A6390"/>
    <w:rsid w:val="58A12453"/>
    <w:rsid w:val="58DF2F7C"/>
    <w:rsid w:val="59123351"/>
    <w:rsid w:val="59361E5E"/>
    <w:rsid w:val="59AC7302"/>
    <w:rsid w:val="59B63CDD"/>
    <w:rsid w:val="5A252C10"/>
    <w:rsid w:val="5A290952"/>
    <w:rsid w:val="5A8913F1"/>
    <w:rsid w:val="5AC97A40"/>
    <w:rsid w:val="5B0311A3"/>
    <w:rsid w:val="5BA1276A"/>
    <w:rsid w:val="5BB406F0"/>
    <w:rsid w:val="5BD743DE"/>
    <w:rsid w:val="5BD91F04"/>
    <w:rsid w:val="5C427AAA"/>
    <w:rsid w:val="5CBC5AAE"/>
    <w:rsid w:val="5D373386"/>
    <w:rsid w:val="5D375134"/>
    <w:rsid w:val="5D485594"/>
    <w:rsid w:val="5D8B5480"/>
    <w:rsid w:val="5DCB3ACF"/>
    <w:rsid w:val="5DE60909"/>
    <w:rsid w:val="5E053485"/>
    <w:rsid w:val="5E7423B8"/>
    <w:rsid w:val="5EB10F16"/>
    <w:rsid w:val="5EE40171"/>
    <w:rsid w:val="5EE7088B"/>
    <w:rsid w:val="5EF332DD"/>
    <w:rsid w:val="5EF579DB"/>
    <w:rsid w:val="5F100333"/>
    <w:rsid w:val="5F1720EB"/>
    <w:rsid w:val="5F337B7D"/>
    <w:rsid w:val="5F3833E6"/>
    <w:rsid w:val="5F6D7533"/>
    <w:rsid w:val="5FCF3D4A"/>
    <w:rsid w:val="604007A4"/>
    <w:rsid w:val="611834CF"/>
    <w:rsid w:val="616B5851"/>
    <w:rsid w:val="616C7377"/>
    <w:rsid w:val="61E82EA1"/>
    <w:rsid w:val="622F0AD0"/>
    <w:rsid w:val="626D784A"/>
    <w:rsid w:val="62A3501A"/>
    <w:rsid w:val="62AF7E63"/>
    <w:rsid w:val="630006BE"/>
    <w:rsid w:val="6300421A"/>
    <w:rsid w:val="63A66B70"/>
    <w:rsid w:val="6549634D"/>
    <w:rsid w:val="657F58CB"/>
    <w:rsid w:val="658A426F"/>
    <w:rsid w:val="66083B12"/>
    <w:rsid w:val="661E3335"/>
    <w:rsid w:val="66291CDA"/>
    <w:rsid w:val="66540B05"/>
    <w:rsid w:val="668F1B3D"/>
    <w:rsid w:val="66ED0F5A"/>
    <w:rsid w:val="6727621A"/>
    <w:rsid w:val="673821D5"/>
    <w:rsid w:val="673F7A07"/>
    <w:rsid w:val="674943E2"/>
    <w:rsid w:val="67694A84"/>
    <w:rsid w:val="67801DCE"/>
    <w:rsid w:val="67E376F9"/>
    <w:rsid w:val="67E57780"/>
    <w:rsid w:val="67E934CF"/>
    <w:rsid w:val="67F0485E"/>
    <w:rsid w:val="68555008"/>
    <w:rsid w:val="685C1EF3"/>
    <w:rsid w:val="687F3E33"/>
    <w:rsid w:val="68B57855"/>
    <w:rsid w:val="690031C6"/>
    <w:rsid w:val="692C7B17"/>
    <w:rsid w:val="693B5FAC"/>
    <w:rsid w:val="69407A67"/>
    <w:rsid w:val="6A114F5F"/>
    <w:rsid w:val="6AA858C3"/>
    <w:rsid w:val="6AA87672"/>
    <w:rsid w:val="6AFB1E97"/>
    <w:rsid w:val="6AFF300A"/>
    <w:rsid w:val="6B2D401B"/>
    <w:rsid w:val="6BB12556"/>
    <w:rsid w:val="6BD10E4A"/>
    <w:rsid w:val="6BD3071E"/>
    <w:rsid w:val="6BF863D7"/>
    <w:rsid w:val="6C07486C"/>
    <w:rsid w:val="6C111246"/>
    <w:rsid w:val="6C727F37"/>
    <w:rsid w:val="6C8B2DA7"/>
    <w:rsid w:val="6D2D5FF9"/>
    <w:rsid w:val="6D480C98"/>
    <w:rsid w:val="6D6D06FE"/>
    <w:rsid w:val="6DB6372B"/>
    <w:rsid w:val="6DDD3AD6"/>
    <w:rsid w:val="6E0F7A08"/>
    <w:rsid w:val="6E71421E"/>
    <w:rsid w:val="6E7A1325"/>
    <w:rsid w:val="6E95615F"/>
    <w:rsid w:val="6EDC5B3C"/>
    <w:rsid w:val="6FE949B4"/>
    <w:rsid w:val="70035904"/>
    <w:rsid w:val="7020414E"/>
    <w:rsid w:val="703F2826"/>
    <w:rsid w:val="70822713"/>
    <w:rsid w:val="70875F7B"/>
    <w:rsid w:val="70A1528F"/>
    <w:rsid w:val="70D867D7"/>
    <w:rsid w:val="70E37655"/>
    <w:rsid w:val="716342F2"/>
    <w:rsid w:val="718A7AD1"/>
    <w:rsid w:val="71BE3C1E"/>
    <w:rsid w:val="71C879D4"/>
    <w:rsid w:val="7205184D"/>
    <w:rsid w:val="721C3B20"/>
    <w:rsid w:val="72255A4C"/>
    <w:rsid w:val="725D4E9A"/>
    <w:rsid w:val="733B08D1"/>
    <w:rsid w:val="737E3665"/>
    <w:rsid w:val="73AA6208"/>
    <w:rsid w:val="742F670E"/>
    <w:rsid w:val="743B3304"/>
    <w:rsid w:val="744C72C0"/>
    <w:rsid w:val="749649DF"/>
    <w:rsid w:val="74A92964"/>
    <w:rsid w:val="74F82FA3"/>
    <w:rsid w:val="753D4E5A"/>
    <w:rsid w:val="75614FED"/>
    <w:rsid w:val="757E5B9F"/>
    <w:rsid w:val="75974E97"/>
    <w:rsid w:val="75C86E1A"/>
    <w:rsid w:val="75CD61DE"/>
    <w:rsid w:val="76037E52"/>
    <w:rsid w:val="76830F93"/>
    <w:rsid w:val="76AA651F"/>
    <w:rsid w:val="76F93003"/>
    <w:rsid w:val="76FA74A7"/>
    <w:rsid w:val="772269FE"/>
    <w:rsid w:val="77244524"/>
    <w:rsid w:val="77277B70"/>
    <w:rsid w:val="773504DF"/>
    <w:rsid w:val="779A47E6"/>
    <w:rsid w:val="77C43611"/>
    <w:rsid w:val="77ED2B68"/>
    <w:rsid w:val="78280044"/>
    <w:rsid w:val="78283DE0"/>
    <w:rsid w:val="784529A4"/>
    <w:rsid w:val="78E35D19"/>
    <w:rsid w:val="7961380D"/>
    <w:rsid w:val="797B41A3"/>
    <w:rsid w:val="799F682B"/>
    <w:rsid w:val="7A212F9C"/>
    <w:rsid w:val="7A523156"/>
    <w:rsid w:val="7A637111"/>
    <w:rsid w:val="7A813A3B"/>
    <w:rsid w:val="7A865511"/>
    <w:rsid w:val="7AE364A4"/>
    <w:rsid w:val="7AFE6E3A"/>
    <w:rsid w:val="7B0C59FB"/>
    <w:rsid w:val="7B205002"/>
    <w:rsid w:val="7B346CFF"/>
    <w:rsid w:val="7B783090"/>
    <w:rsid w:val="7B910C26"/>
    <w:rsid w:val="7BB06386"/>
    <w:rsid w:val="7BBF0CBF"/>
    <w:rsid w:val="7C5533D1"/>
    <w:rsid w:val="7C8F0691"/>
    <w:rsid w:val="7CB65C1E"/>
    <w:rsid w:val="7CE502B1"/>
    <w:rsid w:val="7CF90201"/>
    <w:rsid w:val="7D0C1CE2"/>
    <w:rsid w:val="7D276B1C"/>
    <w:rsid w:val="7DA55C93"/>
    <w:rsid w:val="7E130E4E"/>
    <w:rsid w:val="7E152E18"/>
    <w:rsid w:val="7E3C03A5"/>
    <w:rsid w:val="7E745D91"/>
    <w:rsid w:val="7E8B4E88"/>
    <w:rsid w:val="7ED76320"/>
    <w:rsid w:val="7F5C2810"/>
    <w:rsid w:val="7F932247"/>
    <w:rsid w:val="7FAE7080"/>
    <w:rsid w:val="7FE900B8"/>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2896</Words>
  <Characters>3077</Characters>
  <Lines>0</Lines>
  <Paragraphs>0</Paragraphs>
  <TotalTime>13</TotalTime>
  <ScaleCrop>false</ScaleCrop>
  <LinksUpToDate>false</LinksUpToDate>
  <CharactersWithSpaces>3087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2024-01-16T06:59:00Z</dcterms:created>
  <dc:creator>Administrator</dc:creator>
  <cp:lastModifiedBy>Administrator</cp:lastModifiedBy>
  <dcterms:modified xsi:type="dcterms:W3CDTF">2025-01-23T01:13:29Z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6F5E708E7BBC4991AB98E02870A3A20A_12</vt:lpwstr>
  </property>
  <property fmtid="{D5CDD505-2E9C-101B-9397-08002B2CF9AE}" pid="4" name="KSOTemplateDocerSaveRecord">
    <vt:lpwstr>eyJoZGlkIjoiZGRjY2FiNTJmZTRiNTFiNTg1YTkwMWM0NDE2MGVhODIifQ==</vt:lpwstr>
  </property>
</Properties>
</file>