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D9213">
      <w:pPr>
        <w:pStyle w:val="6"/>
        <w:widowControl/>
        <w:spacing w:beforeAutospacing="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枣庄</w:t>
      </w:r>
      <w:r>
        <w:rPr>
          <w:rFonts w:hint="eastAsia" w:ascii="方正小标宋简体" w:hAnsi="方正小标宋简体" w:eastAsia="方正小标宋简体" w:cs="方正小标宋简体"/>
          <w:sz w:val="44"/>
          <w:szCs w:val="44"/>
        </w:rPr>
        <w:t>高新区投资促进局</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政府信息公开</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年度报告</w:t>
      </w:r>
    </w:p>
    <w:p w14:paraId="66D90D28">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p>
    <w:p w14:paraId="389796EF">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本报告根据《中华人民共和国政府信息公开条例》、《山东省政府信息公开办法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和省、市有关工作要求，由枣庄高新区</w:t>
      </w:r>
      <w:r>
        <w:rPr>
          <w:rFonts w:hint="eastAsia" w:ascii="Times New Roman" w:hAnsi="Times New Roman" w:eastAsia="仿宋_GB2312"/>
          <w:sz w:val="32"/>
          <w:szCs w:val="32"/>
          <w:lang w:eastAsia="zh-CN"/>
        </w:rPr>
        <w:t>投资促进局</w:t>
      </w:r>
      <w:r>
        <w:rPr>
          <w:rFonts w:hint="eastAsia" w:ascii="Times New Roman" w:hAnsi="Times New Roman" w:eastAsia="仿宋_GB2312"/>
          <w:sz w:val="32"/>
          <w:szCs w:val="32"/>
        </w:rPr>
        <w:t>编制。全文包括202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总体</w:t>
      </w:r>
      <w:r>
        <w:rPr>
          <w:rFonts w:hint="eastAsia" w:ascii="Times New Roman" w:hAnsi="Times New Roman" w:eastAsia="仿宋_GB2312"/>
          <w:sz w:val="32"/>
          <w:szCs w:val="32"/>
        </w:rPr>
        <w:t>情况，</w:t>
      </w:r>
      <w:r>
        <w:rPr>
          <w:rFonts w:hint="eastAsia" w:ascii="Times New Roman" w:hAnsi="Times New Roman" w:eastAsia="仿宋_GB2312"/>
          <w:sz w:val="32"/>
          <w:szCs w:val="32"/>
          <w:lang w:eastAsia="zh-CN"/>
        </w:rPr>
        <w:t>行政机关</w:t>
      </w:r>
      <w:r>
        <w:rPr>
          <w:rFonts w:hint="eastAsia" w:ascii="Times New Roman" w:hAnsi="Times New Roman" w:eastAsia="仿宋_GB2312"/>
          <w:sz w:val="32"/>
          <w:szCs w:val="32"/>
        </w:rPr>
        <w:t>主动公开政府信息情况，</w:t>
      </w:r>
      <w:r>
        <w:rPr>
          <w:rFonts w:hint="eastAsia" w:ascii="Times New Roman" w:hAnsi="Times New Roman" w:eastAsia="仿宋_GB2312"/>
          <w:sz w:val="32"/>
          <w:szCs w:val="32"/>
          <w:lang w:eastAsia="zh-CN"/>
        </w:rPr>
        <w:t>行政机关</w:t>
      </w:r>
      <w:r>
        <w:rPr>
          <w:rFonts w:ascii="Times New Roman" w:hAnsi="Times New Roman" w:eastAsia="仿宋_GB2312"/>
          <w:sz w:val="32"/>
          <w:szCs w:val="32"/>
        </w:rPr>
        <w:t>收到和处理政府信息公开申请情况</w:t>
      </w:r>
      <w:r>
        <w:rPr>
          <w:rFonts w:hint="eastAsia" w:ascii="Times New Roman" w:hAnsi="Times New Roman" w:eastAsia="仿宋_GB2312"/>
          <w:sz w:val="32"/>
          <w:szCs w:val="32"/>
          <w:lang w:eastAsia="zh-CN"/>
        </w:rPr>
        <w:t>，因</w:t>
      </w:r>
      <w:r>
        <w:rPr>
          <w:rFonts w:ascii="Times New Roman" w:hAnsi="Times New Roman" w:eastAsia="仿宋_GB2312"/>
          <w:sz w:val="32"/>
          <w:szCs w:val="32"/>
        </w:rPr>
        <w:t>政府信息公开</w:t>
      </w:r>
      <w:r>
        <w:rPr>
          <w:rFonts w:hint="eastAsia" w:ascii="Times New Roman" w:hAnsi="Times New Roman" w:eastAsia="仿宋_GB2312"/>
          <w:sz w:val="32"/>
          <w:szCs w:val="32"/>
          <w:lang w:eastAsia="zh-CN"/>
        </w:rPr>
        <w:t>工作被申请</w:t>
      </w:r>
      <w:r>
        <w:rPr>
          <w:rFonts w:ascii="Times New Roman" w:hAnsi="Times New Roman" w:eastAsia="仿宋_GB2312"/>
          <w:sz w:val="32"/>
          <w:szCs w:val="32"/>
        </w:rPr>
        <w:t>行政复议</w:t>
      </w:r>
      <w:r>
        <w:rPr>
          <w:rFonts w:hint="eastAsia" w:ascii="Times New Roman" w:hAnsi="Times New Roman" w:eastAsia="仿宋_GB2312"/>
          <w:sz w:val="32"/>
          <w:szCs w:val="32"/>
          <w:lang w:eastAsia="zh-CN"/>
        </w:rPr>
        <w:t>、提起</w:t>
      </w:r>
      <w:r>
        <w:rPr>
          <w:rFonts w:ascii="Times New Roman" w:hAnsi="Times New Roman" w:eastAsia="仿宋_GB2312"/>
          <w:sz w:val="32"/>
          <w:szCs w:val="32"/>
        </w:rPr>
        <w:t>行政诉讼情况</w:t>
      </w:r>
      <w:r>
        <w:rPr>
          <w:rFonts w:hint="eastAsia" w:ascii="Times New Roman" w:hAnsi="Times New Roman" w:eastAsia="仿宋_GB2312"/>
          <w:sz w:val="32"/>
          <w:szCs w:val="32"/>
          <w:lang w:eastAsia="zh-CN"/>
        </w:rPr>
        <w:t>，政府信</w:t>
      </w:r>
      <w:r>
        <w:rPr>
          <w:rFonts w:hint="default" w:ascii="Times New Roman" w:hAnsi="Times New Roman" w:eastAsia="仿宋_GB2312" w:cs="Times New Roman"/>
          <w:sz w:val="32"/>
          <w:szCs w:val="32"/>
          <w:lang w:eastAsia="zh-CN"/>
        </w:rPr>
        <w:t>息公开工作</w:t>
      </w:r>
      <w:r>
        <w:rPr>
          <w:rFonts w:hint="default" w:ascii="Times New Roman" w:hAnsi="Times New Roman" w:eastAsia="仿宋_GB2312" w:cs="Times New Roman"/>
          <w:sz w:val="32"/>
          <w:szCs w:val="32"/>
        </w:rPr>
        <w:t>存在的主要问题及改进情况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其他需要报告的事项</w:t>
      </w:r>
      <w:r>
        <w:rPr>
          <w:rFonts w:hint="eastAsia" w:ascii="Times New Roman" w:hAnsi="Times New Roman" w:eastAsia="仿宋_GB2312"/>
          <w:sz w:val="32"/>
          <w:szCs w:val="32"/>
        </w:rPr>
        <w:t>等。本报告所列数据的统计时限自202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年1月1日至202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年12月31日。本报告全文将在枣庄高新区官网（http://www.zzctp.gov.cn/）“政府信息公开年度报告”专栏公布。</w:t>
      </w:r>
      <w:r>
        <w:rPr>
          <w:rFonts w:hint="default" w:ascii="Times New Roman" w:hAnsi="Times New Roman" w:eastAsia="仿宋_GB2312" w:cs="Times New Roman"/>
          <w:sz w:val="32"/>
          <w:szCs w:val="32"/>
        </w:rPr>
        <w:t>如对本报告有疑问，请与枣庄高新区投资促进局联系（联系电话：0632-8693709，电子邮箱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gxq8693709@163.com）。</w:t>
      </w:r>
    </w:p>
    <w:p w14:paraId="3C413651">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left"/>
        <w:textAlignment w:val="auto"/>
        <w:rPr>
          <w:b w:val="0"/>
          <w:bCs w:val="0"/>
          <w:sz w:val="32"/>
          <w:szCs w:val="32"/>
        </w:rPr>
      </w:pPr>
      <w:r>
        <w:rPr>
          <w:rFonts w:ascii="黑体" w:hAnsi="宋体" w:eastAsia="黑体" w:cs="黑体"/>
          <w:b w:val="0"/>
          <w:bCs w:val="0"/>
          <w:color w:val="333333"/>
          <w:kern w:val="0"/>
          <w:sz w:val="32"/>
          <w:szCs w:val="32"/>
          <w:lang w:val="en-US" w:eastAsia="zh-CN" w:bidi="ar"/>
        </w:rPr>
        <w:t>一、总体情况</w:t>
      </w:r>
    </w:p>
    <w:p w14:paraId="25E48D5C">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枣庄高新区</w:t>
      </w:r>
      <w:r>
        <w:rPr>
          <w:rFonts w:hint="default" w:ascii="Times New Roman" w:hAnsi="Times New Roman" w:eastAsia="仿宋_GB2312" w:cs="Times New Roman"/>
          <w:sz w:val="32"/>
          <w:szCs w:val="32"/>
        </w:rPr>
        <w:t>投资促进局围绕区政务公开中心工作，</w:t>
      </w:r>
      <w:r>
        <w:rPr>
          <w:rFonts w:ascii="仿宋_GB2312" w:hAnsi="宋体" w:eastAsia="仿宋_GB2312" w:cs="仿宋_GB2312"/>
          <w:i w:val="0"/>
          <w:iCs w:val="0"/>
          <w:caps w:val="0"/>
          <w:color w:val="000000"/>
          <w:spacing w:val="0"/>
          <w:sz w:val="32"/>
          <w:szCs w:val="32"/>
          <w:shd w:val="clear" w:fill="FFFFFF"/>
        </w:rPr>
        <w:t>不</w:t>
      </w:r>
      <w:r>
        <w:rPr>
          <w:rFonts w:hint="eastAsia" w:ascii="Times New Roman" w:hAnsi="Times New Roman" w:eastAsia="仿宋_GB2312" w:cs="Times New Roman"/>
          <w:sz w:val="32"/>
          <w:szCs w:val="32"/>
        </w:rPr>
        <w:t>不断健全完善政务公开工作制度，持续加大公开力度、拓展公开深度、提高公开精度，助力全区各项工作高质量发展。</w:t>
      </w:r>
      <w:r>
        <w:rPr>
          <w:rFonts w:hint="default" w:ascii="Times New Roman" w:hAnsi="Times New Roman" w:eastAsia="仿宋_GB2312" w:cs="Times New Roman"/>
          <w:sz w:val="32"/>
          <w:szCs w:val="32"/>
        </w:rPr>
        <w:t>现将202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年度信息公开工作报告如下：</w:t>
      </w:r>
    </w:p>
    <w:p w14:paraId="1E253920">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主动公开情况。</w:t>
      </w:r>
      <w:r>
        <w:rPr>
          <w:rFonts w:ascii="仿宋_GB2312" w:hAnsi="sans-serif" w:eastAsia="仿宋_GB2312" w:cs="仿宋_GB2312"/>
          <w:i w:val="0"/>
          <w:iCs w:val="0"/>
          <w:caps w:val="0"/>
          <w:color w:val="000000"/>
          <w:spacing w:val="0"/>
          <w:sz w:val="32"/>
          <w:szCs w:val="32"/>
          <w:shd w:val="clear" w:fill="FFFFFF"/>
        </w:rPr>
        <w:t>以</w:t>
      </w:r>
      <w:r>
        <w:rPr>
          <w:rFonts w:hint="eastAsia" w:ascii="仿宋_GB2312" w:hAnsi="sans-serif" w:eastAsia="仿宋_GB2312" w:cs="仿宋_GB2312"/>
          <w:i w:val="0"/>
          <w:iCs w:val="0"/>
          <w:caps w:val="0"/>
          <w:color w:val="000000"/>
          <w:spacing w:val="0"/>
          <w:sz w:val="32"/>
          <w:szCs w:val="32"/>
          <w:shd w:val="clear" w:fill="FFFFFF"/>
        </w:rPr>
        <w:t>管委会官网作为“主渠道”，</w:t>
      </w:r>
      <w:r>
        <w:rPr>
          <w:rFonts w:hint="eastAsia" w:ascii="仿宋_GB2312" w:hAnsi="sans-serif" w:eastAsia="仿宋_GB2312" w:cs="仿宋_GB2312"/>
          <w:i w:val="0"/>
          <w:iCs w:val="0"/>
          <w:caps w:val="0"/>
          <w:color w:val="000000"/>
          <w:spacing w:val="0"/>
          <w:sz w:val="32"/>
          <w:szCs w:val="32"/>
        </w:rPr>
        <w:t>及时更新机构职能，编制发布政府信息主动公开基本目录；</w:t>
      </w:r>
      <w:r>
        <w:rPr>
          <w:rFonts w:hint="eastAsia" w:ascii="仿宋_GB2312" w:hAnsi="sans-serif" w:eastAsia="仿宋_GB2312" w:cs="仿宋_GB2312"/>
          <w:i w:val="0"/>
          <w:iCs w:val="0"/>
          <w:caps w:val="0"/>
          <w:color w:val="000000"/>
          <w:spacing w:val="0"/>
          <w:sz w:val="32"/>
          <w:szCs w:val="32"/>
          <w:shd w:val="clear" w:fill="FFFFFF"/>
        </w:rPr>
        <w:t>定期发布招商月报、投资环境及招商项目等信息。本报告期内，以高新区门户网站为主要公开平台，充分发布工作信息动态。我局在政府信息公开专栏主动公开发布信</w:t>
      </w:r>
      <w:r>
        <w:rPr>
          <w:rFonts w:hint="eastAsia" w:ascii="仿宋_GB2312" w:hAnsi="sans-serif" w:eastAsia="仿宋_GB2312" w:cs="仿宋_GB2312"/>
          <w:i w:val="0"/>
          <w:iCs w:val="0"/>
          <w:caps w:val="0"/>
          <w:color w:val="000000"/>
          <w:spacing w:val="0"/>
          <w:sz w:val="32"/>
          <w:szCs w:val="32"/>
          <w:highlight w:val="none"/>
          <w:shd w:val="clear" w:fill="FFFFFF"/>
        </w:rPr>
        <w:t>息</w:t>
      </w:r>
      <w:r>
        <w:rPr>
          <w:rFonts w:hint="default" w:ascii="Times New Roman" w:hAnsi="Times New Roman" w:eastAsia="宋体" w:cs="Times New Roman"/>
          <w:i w:val="0"/>
          <w:iCs w:val="0"/>
          <w:caps w:val="0"/>
          <w:color w:val="000000"/>
          <w:spacing w:val="0"/>
          <w:sz w:val="32"/>
          <w:szCs w:val="32"/>
          <w:highlight w:val="none"/>
          <w:shd w:val="clear" w:fill="FFFFFF"/>
        </w:rPr>
        <w:t>10</w:t>
      </w:r>
      <w:r>
        <w:rPr>
          <w:rFonts w:hint="default" w:ascii="Times New Roman" w:hAnsi="Times New Roman" w:eastAsia="仿宋_GB2312" w:cs="Times New Roman"/>
          <w:i w:val="0"/>
          <w:iCs w:val="0"/>
          <w:caps w:val="0"/>
          <w:color w:val="000000"/>
          <w:spacing w:val="0"/>
          <w:sz w:val="32"/>
          <w:szCs w:val="32"/>
          <w:shd w:val="clear" w:fill="FFFFFF"/>
          <w:lang w:val="en-US" w:eastAsia="zh-CN"/>
        </w:rPr>
        <w:t>0</w:t>
      </w:r>
      <w:r>
        <w:rPr>
          <w:rFonts w:hint="eastAsia" w:ascii="仿宋_GB2312" w:hAnsi="sans-serif" w:eastAsia="仿宋_GB2312" w:cs="仿宋_GB2312"/>
          <w:i w:val="0"/>
          <w:iCs w:val="0"/>
          <w:caps w:val="0"/>
          <w:color w:val="000000"/>
          <w:spacing w:val="0"/>
          <w:sz w:val="32"/>
          <w:szCs w:val="32"/>
          <w:shd w:val="clear" w:fill="FFFFFF"/>
          <w:lang w:val="en-US" w:eastAsia="zh-CN"/>
        </w:rPr>
        <w:t>余</w:t>
      </w:r>
      <w:r>
        <w:rPr>
          <w:rFonts w:hint="eastAsia" w:ascii="仿宋_GB2312" w:hAnsi="sans-serif" w:eastAsia="仿宋_GB2312" w:cs="仿宋_GB2312"/>
          <w:i w:val="0"/>
          <w:iCs w:val="0"/>
          <w:caps w:val="0"/>
          <w:color w:val="000000"/>
          <w:spacing w:val="0"/>
          <w:sz w:val="32"/>
          <w:szCs w:val="32"/>
          <w:shd w:val="clear" w:fill="FFFFFF"/>
        </w:rPr>
        <w:t>条，主要包括：机构职能、部门信息、单位文件、局长办公会议及解读等各类信息。</w:t>
      </w:r>
      <w:r>
        <w:rPr>
          <w:rFonts w:hint="eastAsia" w:ascii="仿宋_GB2312" w:hAnsi="宋体" w:eastAsia="仿宋_GB2312" w:cs="仿宋_GB2312"/>
          <w:color w:val="000000"/>
          <w:kern w:val="0"/>
          <w:sz w:val="32"/>
          <w:szCs w:val="32"/>
          <w:lang w:val="en-US" w:eastAsia="zh-CN" w:bidi="ar"/>
        </w:rPr>
        <w:t>《条例》第二十条规定的法定主动公开信息情况以及部门主动公开的其他政府信息情况，政策解读和回应关切等相关情况。</w:t>
      </w:r>
    </w:p>
    <w:p w14:paraId="0D605FCE">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left="0" w:leftChars="0" w:firstLine="0" w:firstLineChars="0"/>
        <w:jc w:val="center"/>
        <w:textAlignment w:val="auto"/>
        <w:rPr>
          <w:rFonts w:hint="eastAsia" w:eastAsiaTheme="minorEastAsia"/>
          <w:lang w:eastAsia="zh-CN"/>
        </w:rPr>
      </w:pPr>
      <w:r>
        <w:rPr>
          <w:rFonts w:hint="eastAsia" w:eastAsiaTheme="minorEastAsia"/>
          <w:lang w:eastAsia="zh-CN"/>
        </w:rPr>
        <w:drawing>
          <wp:inline distT="0" distB="0" distL="114300" distR="114300">
            <wp:extent cx="3841750" cy="3157220"/>
            <wp:effectExtent l="0" t="0" r="6350" b="5080"/>
            <wp:docPr id="2" name="图片 2" descr="173745184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451849052"/>
                    <pic:cNvPicPr>
                      <a:picLocks noChangeAspect="1"/>
                    </pic:cNvPicPr>
                  </pic:nvPicPr>
                  <pic:blipFill>
                    <a:blip r:embed="rId5"/>
                    <a:stretch>
                      <a:fillRect/>
                    </a:stretch>
                  </pic:blipFill>
                  <pic:spPr>
                    <a:xfrm>
                      <a:off x="0" y="0"/>
                      <a:ext cx="3841750" cy="3157220"/>
                    </a:xfrm>
                    <a:prstGeom prst="rect">
                      <a:avLst/>
                    </a:prstGeom>
                  </pic:spPr>
                </pic:pic>
              </a:graphicData>
            </a:graphic>
          </wp:inline>
        </w:drawing>
      </w:r>
    </w:p>
    <w:p w14:paraId="082713D0">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left="0" w:leftChars="0" w:firstLine="0" w:firstLineChars="0"/>
        <w:jc w:val="center"/>
        <w:textAlignment w:val="auto"/>
        <w:rPr>
          <w:rFonts w:hint="eastAsia" w:eastAsiaTheme="minorEastAsia"/>
          <w:lang w:val="en-US" w:eastAsia="zh-CN"/>
        </w:rPr>
      </w:pPr>
      <w:r>
        <w:rPr>
          <w:rFonts w:hint="eastAsia" w:eastAsiaTheme="minorEastAsia"/>
          <w:lang w:val="en-US" w:eastAsia="zh-CN"/>
        </w:rPr>
        <w:drawing>
          <wp:inline distT="0" distB="0" distL="114300" distR="114300">
            <wp:extent cx="3954145" cy="3092450"/>
            <wp:effectExtent l="0" t="0" r="8255" b="12700"/>
            <wp:docPr id="1" name="图片 1" descr="173744485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7444857553"/>
                    <pic:cNvPicPr>
                      <a:picLocks noChangeAspect="1"/>
                    </pic:cNvPicPr>
                  </pic:nvPicPr>
                  <pic:blipFill>
                    <a:blip r:embed="rId6"/>
                    <a:stretch>
                      <a:fillRect/>
                    </a:stretch>
                  </pic:blipFill>
                  <pic:spPr>
                    <a:xfrm>
                      <a:off x="0" y="0"/>
                      <a:ext cx="3954145" cy="3092450"/>
                    </a:xfrm>
                    <a:prstGeom prst="rect">
                      <a:avLst/>
                    </a:prstGeom>
                  </pic:spPr>
                </pic:pic>
              </a:graphicData>
            </a:graphic>
          </wp:inline>
        </w:drawing>
      </w:r>
    </w:p>
    <w:p w14:paraId="59FC9400">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 w:cs="Times New Roman"/>
          <w:sz w:val="32"/>
          <w:szCs w:val="32"/>
          <w:lang w:val="en-US" w:eastAsia="zh-CN"/>
        </w:rPr>
        <w:t>2、依申请公开情况。</w:t>
      </w:r>
      <w:r>
        <w:rPr>
          <w:rFonts w:hint="default" w:ascii="Times New Roman" w:hAnsi="Times New Roman" w:eastAsia="仿宋_GB2312" w:cs="Times New Roman"/>
          <w:i w:val="0"/>
          <w:iCs w:val="0"/>
          <w:caps w:val="0"/>
          <w:color w:val="000000"/>
          <w:spacing w:val="0"/>
          <w:sz w:val="32"/>
          <w:szCs w:val="32"/>
          <w:shd w:val="clear" w:fill="FFFFFF"/>
        </w:rPr>
        <w:t>本年度</w:t>
      </w:r>
      <w:r>
        <w:rPr>
          <w:rFonts w:hint="eastAsia" w:ascii="Times New Roman" w:hAnsi="Times New Roman" w:eastAsia="仿宋_GB2312" w:cs="Times New Roman"/>
          <w:i w:val="0"/>
          <w:iCs w:val="0"/>
          <w:caps w:val="0"/>
          <w:color w:val="000000"/>
          <w:spacing w:val="0"/>
          <w:sz w:val="32"/>
          <w:szCs w:val="32"/>
          <w:shd w:val="clear" w:fill="FFFFFF"/>
          <w:lang w:eastAsia="zh-CN"/>
        </w:rPr>
        <w:t>无</w:t>
      </w:r>
      <w:r>
        <w:rPr>
          <w:rFonts w:hint="default" w:ascii="Times New Roman" w:hAnsi="Times New Roman" w:eastAsia="仿宋_GB2312" w:cs="Times New Roman"/>
          <w:i w:val="0"/>
          <w:iCs w:val="0"/>
          <w:caps w:val="0"/>
          <w:color w:val="000000"/>
          <w:spacing w:val="0"/>
          <w:sz w:val="32"/>
          <w:szCs w:val="32"/>
          <w:shd w:val="clear" w:fill="FFFFFF"/>
        </w:rPr>
        <w:t>依申请公开情况</w:t>
      </w:r>
      <w:r>
        <w:rPr>
          <w:rFonts w:hint="default" w:ascii="Times New Roman" w:hAnsi="Times New Roman" w:eastAsia="仿宋_GB2312" w:cs="Times New Roman"/>
          <w:i w:val="0"/>
          <w:iCs w:val="0"/>
          <w:caps w:val="0"/>
          <w:color w:val="000000"/>
          <w:spacing w:val="0"/>
          <w:sz w:val="32"/>
          <w:szCs w:val="32"/>
          <w:shd w:val="clear" w:fill="FFFFFF"/>
          <w:lang w:eastAsia="zh-CN"/>
        </w:rPr>
        <w:t>，与往年相比数量增减</w:t>
      </w:r>
      <w:r>
        <w:rPr>
          <w:rFonts w:hint="eastAsia" w:ascii="Times New Roman" w:hAnsi="Times New Roman" w:eastAsia="仿宋_GB2312" w:cs="Times New Roman"/>
          <w:i w:val="0"/>
          <w:iCs w:val="0"/>
          <w:caps w:val="0"/>
          <w:color w:val="000000"/>
          <w:spacing w:val="0"/>
          <w:sz w:val="32"/>
          <w:szCs w:val="32"/>
          <w:shd w:val="clear" w:fill="FFFFFF"/>
          <w:lang w:eastAsia="zh-CN"/>
        </w:rPr>
        <w:t>无</w:t>
      </w:r>
      <w:r>
        <w:rPr>
          <w:rFonts w:hint="default" w:ascii="Times New Roman" w:hAnsi="Times New Roman" w:eastAsia="仿宋_GB2312" w:cs="Times New Roman"/>
          <w:i w:val="0"/>
          <w:iCs w:val="0"/>
          <w:caps w:val="0"/>
          <w:color w:val="000000"/>
          <w:spacing w:val="0"/>
          <w:sz w:val="32"/>
          <w:szCs w:val="32"/>
          <w:shd w:val="clear" w:fill="FFFFFF"/>
          <w:lang w:eastAsia="zh-CN"/>
        </w:rPr>
        <w:t>变化</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无上年度依申请信息公开结转，无因信息公开申请提起行政复议、行政诉讼的情况。认真执行《中华人民共和国政府信息公开条例》，规范依申请公开办理流程，加强政府信息依申请公开事项办理标准化规范化建设。收费和减免情况:根据财政部、国家发展改革委联合印发的《关于清理规范一批行政事业性收费有关政策的通知》规定，本年度依申请公开政府信息未收取任何费用，包括:检索费、复制费(含案卷材料复制费)、邮寄费。</w:t>
      </w:r>
    </w:p>
    <w:p w14:paraId="0A7A3308">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3、政府信息管理情况。</w:t>
      </w:r>
      <w:r>
        <w:rPr>
          <w:rFonts w:hint="default" w:ascii="Times New Roman" w:hAnsi="Times New Roman" w:eastAsia="仿宋_GB2312" w:cs="Times New Roman"/>
          <w:i w:val="0"/>
          <w:iCs w:val="0"/>
          <w:caps w:val="0"/>
          <w:color w:val="000000"/>
          <w:spacing w:val="0"/>
          <w:sz w:val="32"/>
          <w:szCs w:val="32"/>
          <w:shd w:val="clear" w:fill="FFFFFF"/>
        </w:rPr>
        <w:t>严格按照政府信息公开目录建设要求，强化内容保障，确保公开时效</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进一步提高我局政府信息公开透明度。围绕“内容规范、渠道畅通、程序合法、机制健全”总要</w:t>
      </w:r>
      <w:r>
        <w:rPr>
          <w:rFonts w:hint="default" w:ascii="Times New Roman" w:hAnsi="Times New Roman" w:eastAsia="仿宋_GB2312" w:cs="Times New Roman"/>
          <w:sz w:val="32"/>
          <w:szCs w:val="32"/>
        </w:rPr>
        <w:t>求，加强精细管理，切实推进政务公开工作规范运行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保障信息公开数量和质量。提升政务公开工作人员业务水平和招商引资专业素养，真正将企业和群众关注的重点、难点、热点问题作为政务公开工作的切入点。</w:t>
      </w:r>
    </w:p>
    <w:p w14:paraId="1EF18D3B">
      <w:pPr>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eastAsia="zh-CN"/>
        </w:rPr>
        <w:t>政府信息</w:t>
      </w:r>
      <w:r>
        <w:rPr>
          <w:rFonts w:hint="default" w:ascii="Times New Roman" w:hAnsi="Times New Roman" w:eastAsia="楷体" w:cs="Times New Roman"/>
          <w:sz w:val="32"/>
          <w:szCs w:val="32"/>
        </w:rPr>
        <w:t>公开平台建设情况。</w:t>
      </w:r>
      <w:r>
        <w:rPr>
          <w:rFonts w:hint="eastAsia" w:ascii="Times New Roman" w:hAnsi="Times New Roman" w:eastAsia="仿宋_GB2312" w:cs="Times New Roman"/>
          <w:kern w:val="0"/>
          <w:sz w:val="32"/>
          <w:szCs w:val="32"/>
          <w:lang w:val="en-US" w:eastAsia="zh-CN" w:bidi="ar-SA"/>
        </w:rPr>
        <w:t>在网站“信息公开”、“招商引资”等专栏，及时公开基本情况及最新工作进展，保证政务公开时效性。</w:t>
      </w:r>
      <w:r>
        <w:rPr>
          <w:rFonts w:hint="default" w:ascii="Times New Roman" w:hAnsi="Times New Roman" w:eastAsia="仿宋_GB2312" w:cs="Times New Roman"/>
          <w:sz w:val="32"/>
          <w:szCs w:val="32"/>
        </w:rPr>
        <w:t>聚焦我局重点工作，将政务信息公开向纵深推进，真正实现与我局招商引资</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深度融合。</w:t>
      </w:r>
    </w:p>
    <w:p w14:paraId="4A4B513B">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lang w:eastAsia="zh-CN"/>
        </w:rPr>
        <w:t>监督保障</w:t>
      </w:r>
      <w:r>
        <w:rPr>
          <w:rFonts w:hint="eastAsia" w:ascii="Times New Roman" w:hAnsi="Times New Roman" w:eastAsia="楷体" w:cs="Times New Roman"/>
          <w:sz w:val="32"/>
          <w:szCs w:val="32"/>
          <w:lang w:eastAsia="zh-CN"/>
        </w:rPr>
        <w:t>培训</w:t>
      </w:r>
      <w:r>
        <w:rPr>
          <w:rFonts w:hint="default" w:ascii="Times New Roman" w:hAnsi="Times New Roman" w:eastAsia="楷体" w:cs="Times New Roman"/>
          <w:sz w:val="32"/>
          <w:szCs w:val="32"/>
          <w:lang w:eastAsia="zh-CN"/>
        </w:rPr>
        <w:t>情况。</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局高度重视政务公开工作，</w:t>
      </w:r>
      <w:r>
        <w:rPr>
          <w:rFonts w:hint="eastAsia" w:ascii="Times New Roman" w:hAnsi="Times New Roman" w:eastAsia="仿宋_GB2312" w:cs="Times New Roman"/>
          <w:sz w:val="32"/>
          <w:szCs w:val="32"/>
        </w:rPr>
        <w:t>建立健全政府信息公开工作制度</w:t>
      </w:r>
      <w:r>
        <w:rPr>
          <w:rFonts w:hint="default" w:ascii="Times New Roman" w:hAnsi="Times New Roman" w:eastAsia="仿宋_GB2312" w:cs="Times New Roman"/>
          <w:sz w:val="32"/>
          <w:szCs w:val="32"/>
        </w:rPr>
        <w:t>，各科室分工协作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明确办公室牵头负责推进、指导、监督、检查和组织协调</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政务公开工作。</w:t>
      </w:r>
      <w:r>
        <w:rPr>
          <w:rFonts w:hint="eastAsia" w:ascii="Times New Roman" w:hAnsi="Times New Roman" w:eastAsia="仿宋_GB2312" w:cs="Times New Roman"/>
          <w:sz w:val="32"/>
          <w:szCs w:val="32"/>
        </w:rPr>
        <w:t>将政务公开工作和业务工作紧密结合，充实信息公开内容，严格规范要求</w:t>
      </w:r>
      <w:r>
        <w:rPr>
          <w:rFonts w:hint="default" w:ascii="Times New Roman" w:hAnsi="Times New Roman" w:eastAsia="仿宋_GB2312" w:cs="Times New Roman"/>
          <w:sz w:val="32"/>
          <w:szCs w:val="32"/>
        </w:rPr>
        <w:t>，强化逐级审核把关，进一步增强政务公开规范化、制度化，严格把握应公开信息及时公开，切实保障群众知情权。</w:t>
      </w:r>
    </w:p>
    <w:p w14:paraId="1C40E022">
      <w:pPr>
        <w:pStyle w:val="6"/>
        <w:overflowPunct w:val="0"/>
        <w:spacing w:beforeAutospacing="0" w:afterAutospacing="0" w:line="360" w:lineRule="auto"/>
        <w:ind w:firstLine="640" w:firstLineChars="200"/>
        <w:jc w:val="both"/>
        <w:rPr>
          <w:rFonts w:hint="eastAsia" w:ascii="Times New Roman" w:hAnsi="Times New Roman" w:eastAsia="黑体"/>
          <w:color w:val="000000"/>
          <w:sz w:val="32"/>
          <w:szCs w:val="32"/>
        </w:rPr>
      </w:pPr>
      <w:r>
        <w:rPr>
          <w:rFonts w:ascii="Times New Roman" w:hAnsi="Times New Roman" w:eastAsia="黑体"/>
          <w:color w:val="000000"/>
          <w:sz w:val="32"/>
          <w:szCs w:val="32"/>
        </w:rPr>
        <w:t>二、主动公开政府信息情况</w:t>
      </w:r>
    </w:p>
    <w:tbl>
      <w:tblPr>
        <w:tblStyle w:val="7"/>
        <w:tblW w:w="8824" w:type="dxa"/>
        <w:jc w:val="center"/>
        <w:tblLayout w:type="fixed"/>
        <w:tblCellMar>
          <w:top w:w="0" w:type="dxa"/>
          <w:left w:w="108" w:type="dxa"/>
          <w:bottom w:w="0" w:type="dxa"/>
          <w:right w:w="108" w:type="dxa"/>
        </w:tblCellMar>
      </w:tblPr>
      <w:tblGrid>
        <w:gridCol w:w="2206"/>
        <w:gridCol w:w="2206"/>
        <w:gridCol w:w="2206"/>
        <w:gridCol w:w="2206"/>
      </w:tblGrid>
      <w:tr w14:paraId="687C8EBF">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4A2474A">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0F9F18D">
        <w:tblPrEx>
          <w:tblCellMar>
            <w:top w:w="0" w:type="dxa"/>
            <w:left w:w="108" w:type="dxa"/>
            <w:bottom w:w="0" w:type="dxa"/>
            <w:right w:w="108" w:type="dxa"/>
          </w:tblCellMar>
        </w:tblPrEx>
        <w:trPr>
          <w:trHeight w:val="35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5ADA9FF7">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2DB912BF">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CC98BE9">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62ABFA24">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23ACA2B8">
        <w:tblPrEx>
          <w:tblCellMar>
            <w:top w:w="0" w:type="dxa"/>
            <w:left w:w="108" w:type="dxa"/>
            <w:bottom w:w="0" w:type="dxa"/>
            <w:right w:w="108" w:type="dxa"/>
          </w:tblCellMar>
        </w:tblPrEx>
        <w:trPr>
          <w:trHeight w:val="29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6FD7E2D9">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4A0D105D">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F59BB09">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3E7B97CA">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4D7F77D">
        <w:tblPrEx>
          <w:tblCellMar>
            <w:top w:w="0" w:type="dxa"/>
            <w:left w:w="108" w:type="dxa"/>
            <w:bottom w:w="0" w:type="dxa"/>
            <w:right w:w="108" w:type="dxa"/>
          </w:tblCellMar>
        </w:tblPrEx>
        <w:trPr>
          <w:trHeight w:val="28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6E1718A6">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62AFA85B">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36D07435">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E2E2EE0">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5D513A92">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57C77BE">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1AC02F5F">
        <w:tblPrEx>
          <w:tblCellMar>
            <w:top w:w="0" w:type="dxa"/>
            <w:left w:w="108" w:type="dxa"/>
            <w:bottom w:w="0" w:type="dxa"/>
            <w:right w:w="108" w:type="dxa"/>
          </w:tblCellMar>
        </w:tblPrEx>
        <w:trPr>
          <w:trHeight w:val="29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33E3E4CA">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4B30A40">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72EC48B">
        <w:tblPrEx>
          <w:tblCellMar>
            <w:top w:w="0" w:type="dxa"/>
            <w:left w:w="108" w:type="dxa"/>
            <w:bottom w:w="0" w:type="dxa"/>
            <w:right w:w="108" w:type="dxa"/>
          </w:tblCellMar>
        </w:tblPrEx>
        <w:trPr>
          <w:trHeight w:val="31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04215FB3">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BAB1F93">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3414FED3">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3F7F8BB">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37B16DEA">
        <w:tblPrEx>
          <w:tblCellMar>
            <w:top w:w="0" w:type="dxa"/>
            <w:left w:w="108" w:type="dxa"/>
            <w:bottom w:w="0" w:type="dxa"/>
            <w:right w:w="108" w:type="dxa"/>
          </w:tblCellMar>
        </w:tblPrEx>
        <w:trPr>
          <w:trHeight w:val="35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148F600A">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22FDB5">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97D5581">
        <w:tblPrEx>
          <w:tblCellMar>
            <w:top w:w="0" w:type="dxa"/>
            <w:left w:w="108" w:type="dxa"/>
            <w:bottom w:w="0" w:type="dxa"/>
            <w:right w:w="108" w:type="dxa"/>
          </w:tblCellMar>
        </w:tblPrEx>
        <w:trPr>
          <w:trHeight w:val="31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547C3E32">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B04B7C0">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4729420F">
        <w:tblPrEx>
          <w:tblCellMar>
            <w:top w:w="0" w:type="dxa"/>
            <w:left w:w="108" w:type="dxa"/>
            <w:bottom w:w="0" w:type="dxa"/>
            <w:right w:w="108" w:type="dxa"/>
          </w:tblCellMar>
        </w:tblPrEx>
        <w:trPr>
          <w:trHeight w:val="31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19607188">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377849D">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8F55138">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8AE55FD">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24D1D61F">
        <w:tblPrEx>
          <w:tblCellMar>
            <w:top w:w="0" w:type="dxa"/>
            <w:left w:w="108" w:type="dxa"/>
            <w:bottom w:w="0" w:type="dxa"/>
            <w:right w:w="108" w:type="dxa"/>
          </w:tblCellMar>
        </w:tblPrEx>
        <w:trPr>
          <w:trHeight w:val="34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64ABBAC3">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6514D45">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62E3872F">
        <w:tblPrEx>
          <w:tblCellMar>
            <w:top w:w="0" w:type="dxa"/>
            <w:left w:w="108" w:type="dxa"/>
            <w:bottom w:w="0" w:type="dxa"/>
            <w:right w:w="108" w:type="dxa"/>
          </w:tblCellMar>
        </w:tblPrEx>
        <w:trPr>
          <w:trHeight w:val="35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51E98ABD">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6AA4DE8">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6A38B6F0">
      <w:pPr>
        <w:pStyle w:val="6"/>
        <w:overflowPunct w:val="0"/>
        <w:spacing w:beforeAutospacing="0" w:afterAutospacing="0" w:line="360" w:lineRule="auto"/>
        <w:ind w:firstLine="640" w:firstLineChars="200"/>
        <w:jc w:val="both"/>
        <w:rPr>
          <w:rFonts w:hint="eastAsia" w:ascii="Times New Roman" w:hAnsi="Times New Roman" w:eastAsia="黑体"/>
          <w:color w:val="000000"/>
          <w:sz w:val="32"/>
          <w:szCs w:val="32"/>
        </w:rPr>
      </w:pPr>
      <w:r>
        <w:rPr>
          <w:rFonts w:ascii="Times New Roman" w:hAnsi="Times New Roman" w:eastAsia="黑体"/>
          <w:color w:val="000000"/>
          <w:sz w:val="32"/>
          <w:szCs w:val="32"/>
        </w:rPr>
        <w:t>三、收到和处理政府信息公开申请情况</w:t>
      </w:r>
    </w:p>
    <w:tbl>
      <w:tblPr>
        <w:tblStyle w:val="7"/>
        <w:tblW w:w="96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672"/>
        <w:gridCol w:w="567"/>
        <w:gridCol w:w="567"/>
        <w:gridCol w:w="731"/>
        <w:gridCol w:w="708"/>
        <w:gridCol w:w="567"/>
        <w:gridCol w:w="720"/>
      </w:tblGrid>
      <w:tr w14:paraId="53468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C0FC1A9">
            <w:pPr>
              <w:widowControl/>
              <w:spacing w:line="240" w:lineRule="auto"/>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759C8D43">
            <w:pPr>
              <w:widowControl/>
              <w:spacing w:line="240" w:lineRule="auto"/>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532" w:type="dxa"/>
            <w:gridSpan w:val="7"/>
            <w:shd w:val="clear" w:color="auto" w:fill="auto"/>
            <w:tcMar>
              <w:left w:w="108" w:type="dxa"/>
              <w:right w:w="108" w:type="dxa"/>
            </w:tcMar>
            <w:vAlign w:val="center"/>
          </w:tcPr>
          <w:p w14:paraId="2A453247">
            <w:pPr>
              <w:widowControl/>
              <w:spacing w:line="240" w:lineRule="auto"/>
              <w:jc w:val="center"/>
              <w:rPr>
                <w:rFonts w:ascii="黑体" w:hAnsi="黑体" w:eastAsia="黑体"/>
                <w:szCs w:val="21"/>
              </w:rPr>
            </w:pPr>
            <w:r>
              <w:rPr>
                <w:rFonts w:hint="eastAsia" w:ascii="黑体" w:hAnsi="黑体" w:eastAsia="黑体"/>
                <w:kern w:val="0"/>
                <w:szCs w:val="21"/>
              </w:rPr>
              <w:t>申请人情况</w:t>
            </w:r>
          </w:p>
        </w:tc>
      </w:tr>
      <w:tr w14:paraId="631CC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98008F4">
            <w:pPr>
              <w:spacing w:line="240" w:lineRule="auto"/>
              <w:jc w:val="center"/>
              <w:rPr>
                <w:rFonts w:ascii="仿宋_GB2312" w:hAnsi="Times New Roman" w:eastAsia="仿宋_GB2312"/>
                <w:szCs w:val="21"/>
              </w:rPr>
            </w:pPr>
          </w:p>
        </w:tc>
        <w:tc>
          <w:tcPr>
            <w:tcW w:w="672" w:type="dxa"/>
            <w:vMerge w:val="restart"/>
            <w:shd w:val="clear" w:color="auto" w:fill="auto"/>
            <w:tcMar>
              <w:left w:w="108" w:type="dxa"/>
              <w:right w:w="108" w:type="dxa"/>
            </w:tcMar>
            <w:vAlign w:val="center"/>
          </w:tcPr>
          <w:p w14:paraId="1A3FFBBF">
            <w:pPr>
              <w:widowControl/>
              <w:spacing w:line="240" w:lineRule="auto"/>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2D2CF82E">
            <w:pPr>
              <w:widowControl/>
              <w:spacing w:line="240" w:lineRule="auto"/>
              <w:jc w:val="center"/>
              <w:rPr>
                <w:rFonts w:ascii="黑体" w:hAnsi="黑体" w:eastAsia="黑体"/>
                <w:szCs w:val="21"/>
              </w:rPr>
            </w:pPr>
            <w:r>
              <w:rPr>
                <w:rFonts w:hint="eastAsia" w:ascii="黑体" w:hAnsi="黑体" w:eastAsia="黑体"/>
                <w:kern w:val="0"/>
                <w:szCs w:val="21"/>
              </w:rPr>
              <w:t>法人或其他组织</w:t>
            </w:r>
          </w:p>
        </w:tc>
        <w:tc>
          <w:tcPr>
            <w:tcW w:w="720" w:type="dxa"/>
            <w:vMerge w:val="restart"/>
            <w:shd w:val="clear" w:color="auto" w:fill="auto"/>
            <w:tcMar>
              <w:left w:w="108" w:type="dxa"/>
              <w:right w:w="108" w:type="dxa"/>
            </w:tcMar>
            <w:vAlign w:val="center"/>
          </w:tcPr>
          <w:p w14:paraId="11DF3B7F">
            <w:pPr>
              <w:widowControl/>
              <w:spacing w:line="240" w:lineRule="auto"/>
              <w:jc w:val="center"/>
              <w:rPr>
                <w:rFonts w:ascii="黑体" w:hAnsi="黑体" w:eastAsia="黑体"/>
                <w:szCs w:val="21"/>
              </w:rPr>
            </w:pPr>
            <w:r>
              <w:rPr>
                <w:rFonts w:hint="eastAsia" w:ascii="黑体" w:hAnsi="黑体" w:eastAsia="黑体"/>
                <w:kern w:val="0"/>
                <w:szCs w:val="21"/>
              </w:rPr>
              <w:t>总计</w:t>
            </w:r>
          </w:p>
        </w:tc>
      </w:tr>
      <w:tr w14:paraId="69BE3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3AD4EA9">
            <w:pPr>
              <w:spacing w:line="240" w:lineRule="auto"/>
              <w:jc w:val="center"/>
              <w:rPr>
                <w:rFonts w:ascii="仿宋_GB2312" w:hAnsi="Times New Roman" w:eastAsia="仿宋_GB2312"/>
                <w:szCs w:val="21"/>
              </w:rPr>
            </w:pPr>
          </w:p>
        </w:tc>
        <w:tc>
          <w:tcPr>
            <w:tcW w:w="672" w:type="dxa"/>
            <w:vMerge w:val="continue"/>
            <w:shd w:val="clear" w:color="auto" w:fill="auto"/>
            <w:tcMar>
              <w:left w:w="108" w:type="dxa"/>
              <w:right w:w="108" w:type="dxa"/>
            </w:tcMar>
            <w:vAlign w:val="center"/>
          </w:tcPr>
          <w:p w14:paraId="38A2A8D1">
            <w:pPr>
              <w:spacing w:line="240" w:lineRule="auto"/>
              <w:jc w:val="center"/>
              <w:rPr>
                <w:rFonts w:ascii="黑体" w:hAnsi="黑体" w:eastAsia="黑体"/>
                <w:szCs w:val="21"/>
              </w:rPr>
            </w:pPr>
          </w:p>
        </w:tc>
        <w:tc>
          <w:tcPr>
            <w:tcW w:w="567" w:type="dxa"/>
            <w:shd w:val="clear" w:color="auto" w:fill="auto"/>
            <w:tcMar>
              <w:left w:w="108" w:type="dxa"/>
              <w:right w:w="108" w:type="dxa"/>
            </w:tcMar>
            <w:vAlign w:val="center"/>
          </w:tcPr>
          <w:p w14:paraId="5753B9A8">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516ED06B">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D0AB2A">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5D63197F">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0C885035">
            <w:pPr>
              <w:widowControl/>
              <w:spacing w:line="240" w:lineRule="auto"/>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20" w:type="dxa"/>
            <w:vMerge w:val="continue"/>
            <w:shd w:val="clear" w:color="auto" w:fill="auto"/>
            <w:tcMar>
              <w:left w:w="108" w:type="dxa"/>
              <w:right w:w="108" w:type="dxa"/>
            </w:tcMar>
            <w:vAlign w:val="center"/>
          </w:tcPr>
          <w:p w14:paraId="1BE6C0AB">
            <w:pPr>
              <w:spacing w:line="240" w:lineRule="auto"/>
              <w:jc w:val="center"/>
              <w:rPr>
                <w:rFonts w:ascii="仿宋_GB2312" w:hAnsi="Times New Roman" w:eastAsia="仿宋_GB2312"/>
                <w:szCs w:val="21"/>
              </w:rPr>
            </w:pPr>
          </w:p>
        </w:tc>
      </w:tr>
      <w:tr w14:paraId="3D3A1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3946259">
            <w:pPr>
              <w:widowControl/>
              <w:spacing w:line="240" w:lineRule="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672" w:type="dxa"/>
            <w:shd w:val="clear" w:color="auto" w:fill="auto"/>
            <w:tcMar>
              <w:left w:w="108" w:type="dxa"/>
              <w:right w:w="108" w:type="dxa"/>
            </w:tcMar>
            <w:vAlign w:val="center"/>
          </w:tcPr>
          <w:p w14:paraId="7A51B87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E0A623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999D1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AE3140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9FA216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2DAC85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5C71D8A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6C07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A58EC95">
            <w:pPr>
              <w:widowControl/>
              <w:spacing w:line="240" w:lineRule="auto"/>
              <w:rPr>
                <w:rFonts w:ascii="黑体" w:hAnsi="黑体" w:eastAsia="黑体"/>
                <w:szCs w:val="21"/>
              </w:rPr>
            </w:pPr>
            <w:r>
              <w:rPr>
                <w:rFonts w:hint="eastAsia" w:ascii="黑体" w:hAnsi="黑体" w:eastAsia="黑体"/>
                <w:kern w:val="0"/>
                <w:szCs w:val="21"/>
              </w:rPr>
              <w:t>二、上年结转政府信息公开申请数量</w:t>
            </w:r>
          </w:p>
        </w:tc>
        <w:tc>
          <w:tcPr>
            <w:tcW w:w="672" w:type="dxa"/>
            <w:shd w:val="clear" w:color="auto" w:fill="auto"/>
            <w:tcMar>
              <w:left w:w="108" w:type="dxa"/>
              <w:right w:w="108" w:type="dxa"/>
            </w:tcMar>
            <w:vAlign w:val="center"/>
          </w:tcPr>
          <w:p w14:paraId="1AF61D8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A661F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FC6A81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B314B1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0F5DFA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31A3BB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47500B1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9363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1F75E1F2">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433184AA">
            <w:pPr>
              <w:widowControl/>
              <w:spacing w:line="240" w:lineRule="auto"/>
              <w:rPr>
                <w:rFonts w:ascii="黑体" w:hAnsi="黑体" w:eastAsia="黑体"/>
                <w:szCs w:val="21"/>
              </w:rPr>
            </w:pPr>
            <w:r>
              <w:rPr>
                <w:rFonts w:hint="eastAsia" w:ascii="黑体" w:hAnsi="黑体" w:eastAsia="黑体"/>
                <w:kern w:val="0"/>
                <w:szCs w:val="21"/>
              </w:rPr>
              <w:t>（一）予以公开</w:t>
            </w:r>
          </w:p>
        </w:tc>
        <w:tc>
          <w:tcPr>
            <w:tcW w:w="672" w:type="dxa"/>
            <w:shd w:val="clear" w:color="auto" w:fill="auto"/>
            <w:tcMar>
              <w:left w:w="108" w:type="dxa"/>
              <w:right w:w="108" w:type="dxa"/>
            </w:tcMar>
            <w:vAlign w:val="center"/>
          </w:tcPr>
          <w:p w14:paraId="21E5E02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9C28C6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3B0384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77EB95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B645B4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24EAC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65D7B07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75583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BC349B">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14:paraId="75B86814">
            <w:pPr>
              <w:widowControl/>
              <w:spacing w:line="240" w:lineRule="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672" w:type="dxa"/>
            <w:shd w:val="clear" w:color="auto" w:fill="auto"/>
            <w:tcMar>
              <w:left w:w="108" w:type="dxa"/>
              <w:right w:w="108" w:type="dxa"/>
            </w:tcMar>
            <w:vAlign w:val="center"/>
          </w:tcPr>
          <w:p w14:paraId="256B1A4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1B5955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3A7E1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110061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62B682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54E501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4AEF5E3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8C6B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14:paraId="27023276">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14:paraId="5A4E59C3">
            <w:pPr>
              <w:widowControl/>
              <w:spacing w:line="240" w:lineRule="auto"/>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1AE1617E">
            <w:pPr>
              <w:widowControl/>
              <w:spacing w:line="240" w:lineRule="auto"/>
              <w:rPr>
                <w:rFonts w:ascii="仿宋_GB2312" w:hAnsi="黑体" w:eastAsia="仿宋_GB2312"/>
                <w:kern w:val="0"/>
                <w:szCs w:val="21"/>
              </w:rPr>
            </w:pPr>
            <w:r>
              <w:rPr>
                <w:rFonts w:hint="eastAsia" w:ascii="仿宋_GB2312" w:hAnsi="黑体" w:eastAsia="仿宋_GB2312"/>
                <w:kern w:val="0"/>
                <w:szCs w:val="21"/>
              </w:rPr>
              <w:t>1.属于国家秘密</w:t>
            </w:r>
          </w:p>
        </w:tc>
        <w:tc>
          <w:tcPr>
            <w:tcW w:w="672" w:type="dxa"/>
            <w:shd w:val="clear" w:color="auto" w:fill="auto"/>
            <w:tcMar>
              <w:left w:w="108" w:type="dxa"/>
              <w:right w:w="108" w:type="dxa"/>
            </w:tcMar>
            <w:vAlign w:val="center"/>
          </w:tcPr>
          <w:p w14:paraId="293E693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2180A7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E8BF6B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B9F9AA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5CB022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BC477F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47985BA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30533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14:paraId="0E1C4D5E">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647078F8">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5AA288EB">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672" w:type="dxa"/>
            <w:shd w:val="clear" w:color="auto" w:fill="auto"/>
            <w:tcMar>
              <w:left w:w="108" w:type="dxa"/>
              <w:right w:w="108" w:type="dxa"/>
            </w:tcMar>
            <w:vAlign w:val="center"/>
          </w:tcPr>
          <w:p w14:paraId="1B648A0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8A954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5F462C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CE7D40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094F2C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3385B8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40B48CD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6F9E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14:paraId="0F90BE3A">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5FA0403E">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0C7A3FA0">
            <w:pPr>
              <w:widowControl/>
              <w:spacing w:line="240" w:lineRule="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672" w:type="dxa"/>
            <w:shd w:val="clear" w:color="auto" w:fill="auto"/>
            <w:tcMar>
              <w:left w:w="108" w:type="dxa"/>
              <w:right w:w="108" w:type="dxa"/>
            </w:tcMar>
            <w:vAlign w:val="center"/>
          </w:tcPr>
          <w:p w14:paraId="42ECC9B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FCF408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12AB82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E4AEF4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AF518B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902C2B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08D8C25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6A5AA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14:paraId="5383D6B7">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249616F9">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29B4C3C6">
            <w:pPr>
              <w:widowControl/>
              <w:spacing w:line="240" w:lineRule="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672" w:type="dxa"/>
            <w:shd w:val="clear" w:color="auto" w:fill="auto"/>
            <w:tcMar>
              <w:left w:w="108" w:type="dxa"/>
              <w:right w:w="108" w:type="dxa"/>
            </w:tcMar>
            <w:vAlign w:val="center"/>
          </w:tcPr>
          <w:p w14:paraId="705B902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E4D3BA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B60E43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38A1D6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BAB845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C1471D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64ADABD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6633F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14:paraId="46C00816">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41BB7B3A">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73FEB98C">
            <w:pPr>
              <w:widowControl/>
              <w:spacing w:line="240" w:lineRule="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672" w:type="dxa"/>
            <w:shd w:val="clear" w:color="auto" w:fill="auto"/>
            <w:tcMar>
              <w:left w:w="108" w:type="dxa"/>
              <w:right w:w="108" w:type="dxa"/>
            </w:tcMar>
            <w:vAlign w:val="center"/>
          </w:tcPr>
          <w:p w14:paraId="6D1F118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5C1F1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B2C473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790417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9DDA56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54501D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1FAADFB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34663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exact"/>
          <w:jc w:val="center"/>
        </w:trPr>
        <w:tc>
          <w:tcPr>
            <w:tcW w:w="416" w:type="dxa"/>
            <w:vMerge w:val="continue"/>
            <w:shd w:val="clear" w:color="auto" w:fill="auto"/>
            <w:tcMar>
              <w:left w:w="108" w:type="dxa"/>
              <w:right w:w="108" w:type="dxa"/>
            </w:tcMar>
            <w:vAlign w:val="center"/>
          </w:tcPr>
          <w:p w14:paraId="2C6047B8">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03A4FB3D">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11DDF0D4">
            <w:pPr>
              <w:widowControl/>
              <w:spacing w:line="240" w:lineRule="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672" w:type="dxa"/>
            <w:shd w:val="clear" w:color="auto" w:fill="auto"/>
            <w:tcMar>
              <w:left w:w="108" w:type="dxa"/>
              <w:right w:w="108" w:type="dxa"/>
            </w:tcMar>
            <w:vAlign w:val="center"/>
          </w:tcPr>
          <w:p w14:paraId="32467DD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08B9ED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B697F1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ED6D01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78126A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388DC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2716D70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49FCE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14:paraId="257E3DB0">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279BE3B3">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33A22659">
            <w:pPr>
              <w:widowControl/>
              <w:spacing w:line="240" w:lineRule="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672" w:type="dxa"/>
            <w:shd w:val="clear" w:color="auto" w:fill="auto"/>
            <w:tcMar>
              <w:left w:w="108" w:type="dxa"/>
              <w:right w:w="108" w:type="dxa"/>
            </w:tcMar>
            <w:vAlign w:val="center"/>
          </w:tcPr>
          <w:p w14:paraId="09E6171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40C6F5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907716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5CC34F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9AD87A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42DA4C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47F00FF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200E7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14:paraId="112108E6">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3B0E624C">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32EA1698">
            <w:pPr>
              <w:widowControl/>
              <w:spacing w:line="240" w:lineRule="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672" w:type="dxa"/>
            <w:shd w:val="clear" w:color="auto" w:fill="auto"/>
            <w:tcMar>
              <w:left w:w="108" w:type="dxa"/>
              <w:right w:w="108" w:type="dxa"/>
            </w:tcMar>
            <w:vAlign w:val="center"/>
          </w:tcPr>
          <w:p w14:paraId="31EC080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ADED97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B14B2B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90EB1E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64D1A4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A8DE26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0745CDF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57CC4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14:paraId="0531DC66">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14:paraId="7CD1B0E9">
            <w:pPr>
              <w:widowControl/>
              <w:spacing w:line="240" w:lineRule="auto"/>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2D5CDEC6">
            <w:pPr>
              <w:widowControl/>
              <w:spacing w:line="240" w:lineRule="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672" w:type="dxa"/>
            <w:shd w:val="clear" w:color="auto" w:fill="auto"/>
            <w:tcMar>
              <w:left w:w="108" w:type="dxa"/>
              <w:right w:w="108" w:type="dxa"/>
            </w:tcMar>
            <w:vAlign w:val="center"/>
          </w:tcPr>
          <w:p w14:paraId="59A5278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8CE8AB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4C7576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11EA39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66810E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C14130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58F775D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6C4B5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14:paraId="40AFDF99">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5F3C14C3">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14:paraId="2CFEBDEC">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672" w:type="dxa"/>
            <w:shd w:val="clear" w:color="auto" w:fill="auto"/>
            <w:tcMar>
              <w:left w:w="108" w:type="dxa"/>
              <w:right w:w="108" w:type="dxa"/>
            </w:tcMar>
            <w:vAlign w:val="center"/>
          </w:tcPr>
          <w:p w14:paraId="1DF8543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F5DFB2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23DB30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43F0A0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322DC4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5785BD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4E7663B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4A8A6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exact"/>
          <w:jc w:val="center"/>
        </w:trPr>
        <w:tc>
          <w:tcPr>
            <w:tcW w:w="416" w:type="dxa"/>
            <w:vMerge w:val="continue"/>
            <w:shd w:val="clear" w:color="auto" w:fill="auto"/>
            <w:tcMar>
              <w:left w:w="108" w:type="dxa"/>
              <w:right w:w="108" w:type="dxa"/>
            </w:tcMar>
            <w:vAlign w:val="center"/>
          </w:tcPr>
          <w:p w14:paraId="0ADCB600">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4BAE050D">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14:paraId="198DFA3D">
            <w:pPr>
              <w:widowControl/>
              <w:spacing w:line="240" w:lineRule="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672" w:type="dxa"/>
            <w:shd w:val="clear" w:color="auto" w:fill="auto"/>
            <w:tcMar>
              <w:left w:w="108" w:type="dxa"/>
              <w:right w:w="108" w:type="dxa"/>
            </w:tcMar>
            <w:vAlign w:val="center"/>
          </w:tcPr>
          <w:p w14:paraId="2BD5259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C15612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5A9E11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90A8ED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1758E8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FCD206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5B20CBE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705C8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exact"/>
          <w:jc w:val="center"/>
        </w:trPr>
        <w:tc>
          <w:tcPr>
            <w:tcW w:w="416" w:type="dxa"/>
            <w:vMerge w:val="continue"/>
            <w:shd w:val="clear" w:color="auto" w:fill="auto"/>
            <w:tcMar>
              <w:left w:w="108" w:type="dxa"/>
              <w:right w:w="108" w:type="dxa"/>
            </w:tcMar>
            <w:vAlign w:val="center"/>
          </w:tcPr>
          <w:p w14:paraId="6C91743D">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14:paraId="659C61ED">
            <w:pPr>
              <w:widowControl/>
              <w:spacing w:line="240" w:lineRule="auto"/>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0371DFA6">
            <w:pPr>
              <w:widowControl/>
              <w:spacing w:line="240" w:lineRule="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672" w:type="dxa"/>
            <w:shd w:val="clear" w:color="auto" w:fill="auto"/>
            <w:tcMar>
              <w:left w:w="108" w:type="dxa"/>
              <w:right w:w="108" w:type="dxa"/>
            </w:tcMar>
            <w:vAlign w:val="center"/>
          </w:tcPr>
          <w:p w14:paraId="1A3003E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307010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8A7622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A1785C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80A41E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F48968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05699EA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2B887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416" w:type="dxa"/>
            <w:vMerge w:val="continue"/>
            <w:shd w:val="clear" w:color="auto" w:fill="auto"/>
            <w:tcMar>
              <w:left w:w="108" w:type="dxa"/>
              <w:right w:w="108" w:type="dxa"/>
            </w:tcMar>
            <w:vAlign w:val="center"/>
          </w:tcPr>
          <w:p w14:paraId="424A3543">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2DD3049B">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7DE404B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672" w:type="dxa"/>
            <w:shd w:val="clear" w:color="auto" w:fill="auto"/>
            <w:tcMar>
              <w:left w:w="108" w:type="dxa"/>
              <w:right w:w="108" w:type="dxa"/>
            </w:tcMar>
            <w:vAlign w:val="center"/>
          </w:tcPr>
          <w:p w14:paraId="258B388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063E35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580D78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BE1E4A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F10DAC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DA8E41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75A64BC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A3DB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14:paraId="61449F13">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0C48DB39">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1845BB33">
            <w:pPr>
              <w:widowControl/>
              <w:spacing w:line="240" w:lineRule="auto"/>
              <w:rPr>
                <w:rFonts w:ascii="仿宋_GB2312" w:hAnsi="黑体" w:eastAsia="仿宋_GB2312"/>
                <w:szCs w:val="21"/>
              </w:rPr>
            </w:pPr>
            <w:r>
              <w:rPr>
                <w:rFonts w:hint="eastAsia" w:ascii="仿宋_GB2312" w:hAnsi="黑体" w:eastAsia="仿宋_GB2312"/>
                <w:kern w:val="0"/>
                <w:szCs w:val="21"/>
              </w:rPr>
              <w:t>3.要求提供公开出版物</w:t>
            </w:r>
          </w:p>
        </w:tc>
        <w:tc>
          <w:tcPr>
            <w:tcW w:w="672" w:type="dxa"/>
            <w:shd w:val="clear" w:color="auto" w:fill="auto"/>
            <w:tcMar>
              <w:left w:w="108" w:type="dxa"/>
              <w:right w:w="108" w:type="dxa"/>
            </w:tcMar>
            <w:vAlign w:val="center"/>
          </w:tcPr>
          <w:p w14:paraId="2B3770A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484C08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326D03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2BAA72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4AA444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B378FC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2FF61E8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FDAA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6B930F01">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74880590">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7103AFB7">
            <w:pPr>
              <w:widowControl/>
              <w:spacing w:line="240" w:lineRule="auto"/>
              <w:rPr>
                <w:rFonts w:ascii="仿宋_GB2312" w:hAnsi="黑体" w:eastAsia="仿宋_GB2312"/>
                <w:szCs w:val="21"/>
              </w:rPr>
            </w:pPr>
            <w:r>
              <w:rPr>
                <w:rFonts w:hint="eastAsia" w:ascii="仿宋_GB2312" w:hAnsi="黑体" w:eastAsia="仿宋_GB2312"/>
                <w:kern w:val="0"/>
                <w:szCs w:val="21"/>
              </w:rPr>
              <w:t>4.无正当理由大量反复申请</w:t>
            </w:r>
          </w:p>
        </w:tc>
        <w:tc>
          <w:tcPr>
            <w:tcW w:w="672" w:type="dxa"/>
            <w:shd w:val="clear" w:color="auto" w:fill="auto"/>
            <w:tcMar>
              <w:left w:w="108" w:type="dxa"/>
              <w:right w:w="108" w:type="dxa"/>
            </w:tcMar>
            <w:vAlign w:val="center"/>
          </w:tcPr>
          <w:p w14:paraId="41D64E0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62EC7E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BB2CB1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6D4C39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88FA2A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610637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0A65CBD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E122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20ABD83">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0FEFD2E9">
            <w:pPr>
              <w:spacing w:line="240" w:lineRule="auto"/>
              <w:rPr>
                <w:rFonts w:ascii="黑体" w:hAnsi="黑体" w:eastAsia="黑体"/>
                <w:szCs w:val="21"/>
              </w:rPr>
            </w:pPr>
          </w:p>
        </w:tc>
        <w:tc>
          <w:tcPr>
            <w:tcW w:w="2976" w:type="dxa"/>
            <w:shd w:val="clear" w:color="auto" w:fill="auto"/>
            <w:tcMar>
              <w:left w:w="108" w:type="dxa"/>
              <w:right w:w="108" w:type="dxa"/>
            </w:tcMar>
            <w:vAlign w:val="center"/>
          </w:tcPr>
          <w:p w14:paraId="0C0D41AD">
            <w:pPr>
              <w:widowControl/>
              <w:spacing w:line="240" w:lineRule="auto"/>
              <w:rPr>
                <w:rFonts w:ascii="仿宋_GB2312" w:hAnsi="黑体" w:eastAsia="仿宋_GB2312"/>
                <w:kern w:val="0"/>
                <w:szCs w:val="21"/>
              </w:rPr>
            </w:pPr>
            <w:r>
              <w:rPr>
                <w:rFonts w:hint="eastAsia" w:ascii="仿宋_GB2312" w:hAnsi="黑体" w:eastAsia="仿宋_GB2312"/>
                <w:kern w:val="0"/>
                <w:szCs w:val="21"/>
              </w:rPr>
              <w:t>5.要求行政机关确认或重新</w:t>
            </w:r>
          </w:p>
          <w:p w14:paraId="42A68FEE">
            <w:pPr>
              <w:widowControl/>
              <w:spacing w:line="240" w:lineRule="auto"/>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672" w:type="dxa"/>
            <w:shd w:val="clear" w:color="auto" w:fill="auto"/>
            <w:tcMar>
              <w:left w:w="108" w:type="dxa"/>
              <w:right w:w="108" w:type="dxa"/>
            </w:tcMar>
            <w:vAlign w:val="center"/>
          </w:tcPr>
          <w:p w14:paraId="4801070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4DC32E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1B4FB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412671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59E297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26563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0B3D6C9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01125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AFC88F1">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14:paraId="4D38811F">
            <w:pPr>
              <w:widowControl/>
              <w:spacing w:line="240" w:lineRule="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28D650EB">
            <w:pPr>
              <w:widowControl/>
              <w:spacing w:line="240" w:lineRule="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672" w:type="dxa"/>
            <w:shd w:val="clear" w:color="auto" w:fill="auto"/>
            <w:tcMar>
              <w:left w:w="108" w:type="dxa"/>
              <w:right w:w="108" w:type="dxa"/>
            </w:tcMar>
            <w:vAlign w:val="center"/>
          </w:tcPr>
          <w:p w14:paraId="28090D6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AC69D3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D03359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AD8BB4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C8B5BE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DAD472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44C6786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7C44C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E9C21FD">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2AB308C3">
            <w:pPr>
              <w:widowControl/>
              <w:spacing w:line="240" w:lineRule="auto"/>
              <w:rPr>
                <w:rFonts w:ascii="黑体" w:hAnsi="黑体" w:eastAsia="黑体"/>
                <w:kern w:val="0"/>
                <w:szCs w:val="21"/>
              </w:rPr>
            </w:pPr>
          </w:p>
        </w:tc>
        <w:tc>
          <w:tcPr>
            <w:tcW w:w="2976" w:type="dxa"/>
            <w:shd w:val="clear" w:color="auto" w:fill="auto"/>
            <w:vAlign w:val="center"/>
          </w:tcPr>
          <w:p w14:paraId="135B660E">
            <w:pPr>
              <w:widowControl/>
              <w:spacing w:line="240" w:lineRule="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672" w:type="dxa"/>
            <w:shd w:val="clear" w:color="auto" w:fill="auto"/>
            <w:tcMar>
              <w:left w:w="108" w:type="dxa"/>
              <w:right w:w="108" w:type="dxa"/>
            </w:tcMar>
            <w:vAlign w:val="center"/>
          </w:tcPr>
          <w:p w14:paraId="23AD597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9E1BAF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6534BA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ECB8EA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4FE106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419DBB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5F7C041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50945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2C0B76">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14:paraId="3C23BD2C">
            <w:pPr>
              <w:widowControl/>
              <w:spacing w:line="240" w:lineRule="auto"/>
              <w:rPr>
                <w:rFonts w:ascii="黑体" w:hAnsi="黑体" w:eastAsia="黑体"/>
                <w:kern w:val="0"/>
                <w:szCs w:val="21"/>
              </w:rPr>
            </w:pPr>
          </w:p>
        </w:tc>
        <w:tc>
          <w:tcPr>
            <w:tcW w:w="2976" w:type="dxa"/>
            <w:shd w:val="clear" w:color="auto" w:fill="auto"/>
            <w:vAlign w:val="center"/>
          </w:tcPr>
          <w:p w14:paraId="59009B00">
            <w:pPr>
              <w:widowControl/>
              <w:spacing w:line="240" w:lineRule="auto"/>
              <w:rPr>
                <w:rFonts w:ascii="仿宋_GB2312" w:hAnsi="黑体" w:eastAsia="仿宋_GB2312"/>
                <w:kern w:val="0"/>
                <w:szCs w:val="21"/>
              </w:rPr>
            </w:pPr>
            <w:r>
              <w:rPr>
                <w:rFonts w:hint="eastAsia" w:ascii="仿宋_GB2312" w:hAnsi="楷体" w:eastAsia="仿宋_GB2312"/>
              </w:rPr>
              <w:t>3.其他</w:t>
            </w:r>
          </w:p>
        </w:tc>
        <w:tc>
          <w:tcPr>
            <w:tcW w:w="672" w:type="dxa"/>
            <w:shd w:val="clear" w:color="auto" w:fill="auto"/>
            <w:tcMar>
              <w:left w:w="108" w:type="dxa"/>
              <w:right w:w="108" w:type="dxa"/>
            </w:tcMar>
            <w:vAlign w:val="center"/>
          </w:tcPr>
          <w:p w14:paraId="115C45B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01982E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09C10F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0E19D8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4014C7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5804A6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120705D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7F38F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63D0971">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14:paraId="7F5B284D">
            <w:pPr>
              <w:widowControl/>
              <w:spacing w:line="240" w:lineRule="auto"/>
              <w:rPr>
                <w:rFonts w:ascii="黑体" w:hAnsi="黑体" w:eastAsia="黑体"/>
                <w:kern w:val="0"/>
                <w:szCs w:val="21"/>
              </w:rPr>
            </w:pPr>
            <w:r>
              <w:rPr>
                <w:rFonts w:hint="eastAsia" w:ascii="黑体" w:hAnsi="黑体" w:eastAsia="黑体"/>
                <w:kern w:val="0"/>
                <w:szCs w:val="21"/>
              </w:rPr>
              <w:t>（七）总计</w:t>
            </w:r>
          </w:p>
        </w:tc>
        <w:tc>
          <w:tcPr>
            <w:tcW w:w="672" w:type="dxa"/>
            <w:shd w:val="clear" w:color="auto" w:fill="auto"/>
            <w:tcMar>
              <w:left w:w="108" w:type="dxa"/>
              <w:right w:w="108" w:type="dxa"/>
            </w:tcMar>
            <w:vAlign w:val="center"/>
          </w:tcPr>
          <w:p w14:paraId="102D8F1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DCD60C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BF885A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4532F0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BAB612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3797FB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749AFB5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31448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07173A8">
            <w:pPr>
              <w:widowControl/>
              <w:spacing w:line="240" w:lineRule="auto"/>
              <w:rPr>
                <w:rFonts w:ascii="黑体" w:hAnsi="黑体" w:eastAsia="黑体"/>
                <w:kern w:val="0"/>
                <w:szCs w:val="21"/>
              </w:rPr>
            </w:pPr>
            <w:r>
              <w:rPr>
                <w:rFonts w:hint="eastAsia" w:ascii="黑体" w:hAnsi="黑体" w:eastAsia="黑体"/>
                <w:kern w:val="0"/>
                <w:szCs w:val="21"/>
              </w:rPr>
              <w:t>四、结转下年度继续办理</w:t>
            </w:r>
          </w:p>
        </w:tc>
        <w:tc>
          <w:tcPr>
            <w:tcW w:w="672" w:type="dxa"/>
            <w:shd w:val="clear" w:color="auto" w:fill="auto"/>
            <w:tcMar>
              <w:left w:w="108" w:type="dxa"/>
              <w:right w:w="108" w:type="dxa"/>
            </w:tcMar>
            <w:vAlign w:val="center"/>
          </w:tcPr>
          <w:p w14:paraId="5AA0357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A47DFF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282FDE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35AD26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266F56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5872AE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14:paraId="28BB64F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bl>
    <w:p w14:paraId="1C54E3CC">
      <w:pPr>
        <w:pStyle w:val="6"/>
        <w:overflowPunct w:val="0"/>
        <w:spacing w:beforeAutospacing="0" w:afterAutospacing="0" w:line="360" w:lineRule="auto"/>
        <w:ind w:firstLine="640" w:firstLineChars="200"/>
        <w:rPr>
          <w:rFonts w:ascii="Times New Roman" w:hAnsi="Times New Roman"/>
          <w:sz w:val="32"/>
          <w:szCs w:val="32"/>
        </w:rPr>
      </w:pPr>
      <w:r>
        <w:rPr>
          <w:rFonts w:ascii="Times New Roman" w:hAnsi="Times New Roman" w:eastAsia="黑体"/>
          <w:color w:val="000000"/>
          <w:sz w:val="32"/>
          <w:szCs w:val="32"/>
        </w:rPr>
        <w:t>四、政府信息公开行政复议、</w:t>
      </w:r>
      <w:r>
        <w:rPr>
          <w:rFonts w:hint="eastAsia" w:ascii="Times New Roman" w:hAnsi="Times New Roman" w:eastAsia="黑体"/>
          <w:color w:val="000000"/>
          <w:sz w:val="32"/>
          <w:szCs w:val="32"/>
          <w:lang w:eastAsia="zh-CN"/>
        </w:rPr>
        <w:t>提起</w:t>
      </w:r>
      <w:r>
        <w:rPr>
          <w:rFonts w:ascii="Times New Roman" w:hAnsi="Times New Roman" w:eastAsia="黑体"/>
          <w:color w:val="000000"/>
          <w:sz w:val="32"/>
          <w:szCs w:val="32"/>
        </w:rPr>
        <w:t>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40A93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24BBD71">
            <w:pPr>
              <w:widowControl/>
              <w:spacing w:line="240" w:lineRule="auto"/>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C6BBBD">
            <w:pPr>
              <w:widowControl/>
              <w:spacing w:line="240" w:lineRule="auto"/>
              <w:jc w:val="center"/>
              <w:rPr>
                <w:rFonts w:ascii="黑体" w:hAnsi="黑体" w:eastAsia="黑体"/>
              </w:rPr>
            </w:pPr>
            <w:r>
              <w:rPr>
                <w:rFonts w:ascii="黑体" w:hAnsi="黑体" w:eastAsia="黑体"/>
                <w:kern w:val="0"/>
                <w:sz w:val="20"/>
                <w:szCs w:val="20"/>
              </w:rPr>
              <w:t>行政诉讼</w:t>
            </w:r>
          </w:p>
        </w:tc>
      </w:tr>
      <w:tr w14:paraId="06C055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071089">
            <w:pPr>
              <w:widowControl/>
              <w:spacing w:line="240" w:lineRule="auto"/>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0E622EA3">
            <w:pPr>
              <w:widowControl/>
              <w:spacing w:line="240" w:lineRule="auto"/>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E3CFB0E">
            <w:pPr>
              <w:widowControl/>
              <w:spacing w:line="240" w:lineRule="auto"/>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23A4371">
            <w:pPr>
              <w:widowControl/>
              <w:spacing w:line="240" w:lineRule="auto"/>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31415A">
            <w:pPr>
              <w:widowControl/>
              <w:spacing w:line="240" w:lineRule="auto"/>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524FD36B">
            <w:pPr>
              <w:widowControl/>
              <w:spacing w:line="240" w:lineRule="auto"/>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19C0CD">
            <w:pPr>
              <w:widowControl/>
              <w:spacing w:line="240" w:lineRule="auto"/>
              <w:jc w:val="center"/>
              <w:rPr>
                <w:rFonts w:ascii="黑体" w:hAnsi="黑体" w:eastAsia="黑体"/>
                <w:kern w:val="0"/>
                <w:sz w:val="20"/>
                <w:szCs w:val="20"/>
              </w:rPr>
            </w:pPr>
            <w:r>
              <w:rPr>
                <w:rFonts w:ascii="黑体" w:hAnsi="黑体" w:eastAsia="黑体"/>
                <w:kern w:val="0"/>
                <w:sz w:val="20"/>
                <w:szCs w:val="20"/>
              </w:rPr>
              <w:t>总</w:t>
            </w:r>
          </w:p>
          <w:p w14:paraId="4D7A370F">
            <w:pPr>
              <w:widowControl/>
              <w:spacing w:line="240" w:lineRule="auto"/>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2A78D5D">
            <w:pPr>
              <w:widowControl/>
              <w:spacing w:line="240" w:lineRule="auto"/>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F27B81">
            <w:pPr>
              <w:widowControl/>
              <w:spacing w:line="240" w:lineRule="auto"/>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62C514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1"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7591FF">
            <w:pPr>
              <w:spacing w:line="240" w:lineRule="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293695D">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E79244">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0820D3">
            <w:pPr>
              <w:spacing w:line="240" w:lineRule="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54BF76">
            <w:pPr>
              <w:spacing w:line="240" w:lineRule="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C1433BA">
            <w:pPr>
              <w:widowControl/>
              <w:spacing w:line="240" w:lineRule="auto"/>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F03362F">
            <w:pPr>
              <w:widowControl/>
              <w:spacing w:line="240" w:lineRule="auto"/>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F8FA92">
            <w:pPr>
              <w:widowControl/>
              <w:spacing w:line="240" w:lineRule="auto"/>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314E65D7">
            <w:pPr>
              <w:widowControl/>
              <w:spacing w:line="240" w:lineRule="auto"/>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32993C">
            <w:pPr>
              <w:widowControl/>
              <w:spacing w:line="240" w:lineRule="auto"/>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76FCFD7A">
            <w:pPr>
              <w:widowControl/>
              <w:spacing w:line="240" w:lineRule="auto"/>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216C8A">
            <w:pPr>
              <w:widowControl/>
              <w:spacing w:line="240" w:lineRule="auto"/>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869CB1">
            <w:pPr>
              <w:widowControl/>
              <w:spacing w:line="240" w:lineRule="auto"/>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D7025D">
            <w:pPr>
              <w:widowControl/>
              <w:spacing w:line="240" w:lineRule="auto"/>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25900DAD">
            <w:pPr>
              <w:widowControl/>
              <w:spacing w:line="240" w:lineRule="auto"/>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350019">
            <w:pPr>
              <w:widowControl/>
              <w:spacing w:line="240" w:lineRule="auto"/>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20ABBBD7">
            <w:pPr>
              <w:widowControl/>
              <w:spacing w:line="240" w:lineRule="auto"/>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A38808">
            <w:pPr>
              <w:widowControl/>
              <w:spacing w:line="240" w:lineRule="auto"/>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84CEEF">
            <w:pPr>
              <w:widowControl/>
              <w:spacing w:line="240" w:lineRule="auto"/>
              <w:jc w:val="center"/>
              <w:rPr>
                <w:rFonts w:ascii="黑体" w:hAnsi="黑体" w:eastAsia="黑体"/>
              </w:rPr>
            </w:pPr>
            <w:r>
              <w:rPr>
                <w:rFonts w:ascii="黑体" w:hAnsi="黑体" w:eastAsia="黑体"/>
                <w:kern w:val="0"/>
                <w:sz w:val="20"/>
                <w:szCs w:val="20"/>
              </w:rPr>
              <w:t>总计</w:t>
            </w:r>
          </w:p>
        </w:tc>
      </w:tr>
      <w:tr w14:paraId="22B82A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F0BB9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562D0B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A06AED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5C945D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B00023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E132F1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468AD6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ED83B0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18DD2D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63FBE1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3222EB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F30B40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FC8BC4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793615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7AF432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r>
    </w:tbl>
    <w:p w14:paraId="68EBC33B">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sz w:val="32"/>
          <w:szCs w:val="32"/>
        </w:rPr>
      </w:pPr>
      <w:r>
        <w:rPr>
          <w:rFonts w:ascii="Times New Roman" w:hAnsi="Times New Roman" w:eastAsia="黑体"/>
          <w:color w:val="000000"/>
          <w:sz w:val="32"/>
          <w:szCs w:val="32"/>
        </w:rPr>
        <w:t>五、存在的主要问题及改进情况</w:t>
      </w:r>
    </w:p>
    <w:p w14:paraId="7DA6866E">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2024年度，</w:t>
      </w:r>
      <w:r>
        <w:rPr>
          <w:rFonts w:hint="eastAsia" w:ascii="Times New Roman" w:hAnsi="Times New Roman" w:eastAsia="仿宋_GB2312"/>
          <w:color w:val="auto"/>
          <w:sz w:val="32"/>
          <w:szCs w:val="32"/>
          <w:lang w:eastAsia="zh-CN"/>
        </w:rPr>
        <w:t>我</w:t>
      </w:r>
      <w:r>
        <w:rPr>
          <w:rFonts w:ascii="Times New Roman" w:hAnsi="Times New Roman" w:eastAsia="仿宋_GB2312"/>
          <w:color w:val="auto"/>
          <w:sz w:val="32"/>
          <w:szCs w:val="32"/>
        </w:rPr>
        <w:t>局</w:t>
      </w:r>
      <w:r>
        <w:rPr>
          <w:rFonts w:hint="eastAsia" w:ascii="Times New Roman" w:hAnsi="Times New Roman" w:eastAsia="仿宋_GB2312"/>
          <w:color w:val="auto"/>
          <w:sz w:val="32"/>
          <w:szCs w:val="32"/>
          <w:lang w:eastAsia="zh-CN"/>
        </w:rPr>
        <w:t>在</w:t>
      </w:r>
      <w:r>
        <w:rPr>
          <w:rFonts w:ascii="Times New Roman" w:hAnsi="Times New Roman" w:eastAsia="仿宋_GB2312"/>
          <w:color w:val="auto"/>
          <w:sz w:val="32"/>
          <w:szCs w:val="32"/>
        </w:rPr>
        <w:t>政府信息公开工作</w:t>
      </w:r>
      <w:r>
        <w:rPr>
          <w:rFonts w:hint="eastAsia" w:ascii="Times New Roman" w:hAnsi="Times New Roman" w:eastAsia="仿宋_GB2312"/>
          <w:color w:val="auto"/>
          <w:sz w:val="32"/>
          <w:szCs w:val="32"/>
          <w:lang w:eastAsia="zh-CN"/>
        </w:rPr>
        <w:t>方面</w:t>
      </w:r>
      <w:r>
        <w:rPr>
          <w:rFonts w:ascii="Times New Roman" w:hAnsi="Times New Roman" w:eastAsia="仿宋_GB2312"/>
          <w:color w:val="auto"/>
          <w:sz w:val="32"/>
          <w:szCs w:val="32"/>
        </w:rPr>
        <w:t>存在</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问题：</w:t>
      </w:r>
      <w:r>
        <w:rPr>
          <w:rFonts w:hint="eastAsia" w:ascii="Times New Roman" w:hAnsi="Times New Roman" w:eastAsia="仿宋_GB2312"/>
          <w:color w:val="auto"/>
          <w:sz w:val="32"/>
          <w:szCs w:val="32"/>
          <w:lang w:eastAsia="zh-CN"/>
        </w:rPr>
        <w:t>一是工作</w:t>
      </w:r>
      <w:r>
        <w:rPr>
          <w:rFonts w:ascii="仿宋_GB2312" w:hAnsi="宋体" w:eastAsia="仿宋_GB2312" w:cs="仿宋_GB2312"/>
          <w:i w:val="0"/>
          <w:iCs w:val="0"/>
          <w:caps w:val="0"/>
          <w:color w:val="auto"/>
          <w:spacing w:val="0"/>
          <w:sz w:val="32"/>
          <w:szCs w:val="32"/>
          <w:shd w:val="clear" w:fill="FFFFFF"/>
        </w:rPr>
        <w:t>人员的业务水平、公开意识还需进一步提高</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olor w:val="auto"/>
          <w:sz w:val="32"/>
          <w:szCs w:val="32"/>
          <w:lang w:eastAsia="zh-CN"/>
        </w:rPr>
        <w:t>二是</w:t>
      </w:r>
      <w:r>
        <w:rPr>
          <w:rFonts w:ascii="仿宋_GB2312" w:hAnsi="宋体" w:eastAsia="仿宋_GB2312" w:cs="仿宋_GB2312"/>
          <w:i w:val="0"/>
          <w:iCs w:val="0"/>
          <w:caps w:val="0"/>
          <w:color w:val="auto"/>
          <w:spacing w:val="0"/>
          <w:sz w:val="32"/>
          <w:szCs w:val="32"/>
          <w:shd w:val="clear" w:fill="FFFFFF"/>
        </w:rPr>
        <w:t>主动公开的信息内容更新不</w:t>
      </w:r>
      <w:r>
        <w:rPr>
          <w:rFonts w:hint="eastAsia" w:ascii="仿宋_GB2312" w:hAnsi="宋体" w:eastAsia="仿宋_GB2312" w:cs="仿宋_GB2312"/>
          <w:i w:val="0"/>
          <w:iCs w:val="0"/>
          <w:caps w:val="0"/>
          <w:color w:val="auto"/>
          <w:spacing w:val="0"/>
          <w:sz w:val="32"/>
          <w:szCs w:val="32"/>
          <w:shd w:val="clear" w:fill="FFFFFF"/>
          <w:lang w:eastAsia="zh-CN"/>
        </w:rPr>
        <w:t>够</w:t>
      </w:r>
      <w:r>
        <w:rPr>
          <w:rFonts w:ascii="仿宋_GB2312" w:hAnsi="宋体" w:eastAsia="仿宋_GB2312" w:cs="仿宋_GB2312"/>
          <w:i w:val="0"/>
          <w:iCs w:val="0"/>
          <w:caps w:val="0"/>
          <w:color w:val="auto"/>
          <w:spacing w:val="0"/>
          <w:sz w:val="32"/>
          <w:szCs w:val="32"/>
          <w:shd w:val="clear" w:fill="FFFFFF"/>
        </w:rPr>
        <w:t>及时</w:t>
      </w:r>
      <w:r>
        <w:rPr>
          <w:rFonts w:hint="eastAsia" w:ascii="仿宋_GB2312" w:hAnsi="宋体" w:eastAsia="仿宋_GB2312" w:cs="仿宋_GB2312"/>
          <w:i w:val="0"/>
          <w:iCs w:val="0"/>
          <w:caps w:val="0"/>
          <w:color w:val="auto"/>
          <w:spacing w:val="0"/>
          <w:sz w:val="32"/>
          <w:szCs w:val="32"/>
          <w:shd w:val="clear" w:fill="FFFFFF"/>
          <w:lang w:eastAsia="zh-CN"/>
        </w:rPr>
        <w:t>高效</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主要从以下方面改进</w:t>
      </w:r>
      <w:r>
        <w:rPr>
          <w:rFonts w:ascii="仿宋_GB2312" w:hAnsi="宋体" w:eastAsia="仿宋_GB2312" w:cs="仿宋_GB2312"/>
          <w:i w:val="0"/>
          <w:iCs w:val="0"/>
          <w:caps w:val="0"/>
          <w:color w:val="auto"/>
          <w:spacing w:val="0"/>
          <w:sz w:val="32"/>
          <w:szCs w:val="32"/>
        </w:rPr>
        <w:t>：</w:t>
      </w:r>
      <w:r>
        <w:rPr>
          <w:rFonts w:hint="eastAsia" w:ascii="仿宋_GB2312" w:hAnsi="宋体" w:eastAsia="仿宋_GB2312" w:cs="仿宋_GB2312"/>
          <w:i w:val="0"/>
          <w:iCs w:val="0"/>
          <w:caps w:val="0"/>
          <w:color w:val="auto"/>
          <w:spacing w:val="0"/>
          <w:sz w:val="32"/>
          <w:szCs w:val="32"/>
          <w:lang w:eastAsia="zh-CN"/>
        </w:rPr>
        <w:t>一</w:t>
      </w:r>
      <w:r>
        <w:rPr>
          <w:rFonts w:hint="eastAsia" w:ascii="Times New Roman" w:hAnsi="Times New Roman" w:eastAsia="仿宋_GB2312"/>
          <w:color w:val="auto"/>
          <w:sz w:val="32"/>
          <w:szCs w:val="32"/>
          <w:lang w:eastAsia="zh-CN"/>
        </w:rPr>
        <w:t>是加强对干部职工的政府信息公开工作知识的学</w:t>
      </w:r>
      <w:bookmarkStart w:id="10" w:name="_GoBack"/>
      <w:bookmarkEnd w:id="10"/>
      <w:r>
        <w:rPr>
          <w:rFonts w:hint="eastAsia" w:ascii="Times New Roman" w:hAnsi="Times New Roman" w:eastAsia="仿宋_GB2312"/>
          <w:color w:val="auto"/>
          <w:sz w:val="32"/>
          <w:szCs w:val="32"/>
          <w:lang w:eastAsia="zh-CN"/>
        </w:rPr>
        <w:t>习和培训，不断提高信息公开工作的质量和水平。二</w:t>
      </w:r>
      <w:r>
        <w:rPr>
          <w:rFonts w:hint="eastAsia" w:ascii="仿宋_GB2312" w:hAnsi="宋体" w:eastAsia="仿宋_GB2312" w:cs="仿宋_GB2312"/>
          <w:i w:val="0"/>
          <w:iCs w:val="0"/>
          <w:caps w:val="0"/>
          <w:color w:val="auto"/>
          <w:spacing w:val="0"/>
          <w:sz w:val="32"/>
          <w:szCs w:val="32"/>
          <w:lang w:eastAsia="zh-CN"/>
        </w:rPr>
        <w:t>是</w:t>
      </w:r>
      <w:r>
        <w:rPr>
          <w:rFonts w:hint="eastAsia" w:ascii="仿宋_GB2312" w:hAnsi="宋体" w:eastAsia="仿宋_GB2312" w:cs="仿宋_GB2312"/>
          <w:i w:val="0"/>
          <w:iCs w:val="0"/>
          <w:caps w:val="0"/>
          <w:color w:val="auto"/>
          <w:spacing w:val="0"/>
          <w:sz w:val="32"/>
          <w:szCs w:val="32"/>
        </w:rPr>
        <w:t>落实责任</w:t>
      </w:r>
      <w:r>
        <w:rPr>
          <w:rFonts w:ascii="仿宋_GB2312" w:hAnsi="宋体"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auto"/>
          <w:spacing w:val="0"/>
          <w:sz w:val="32"/>
          <w:szCs w:val="32"/>
        </w:rPr>
        <w:t>认真做好信息公开的日常维护工作，确保信息公开的及时性、准确性和有效性。</w:t>
      </w:r>
    </w:p>
    <w:p w14:paraId="3211E690">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eastAsia="黑体"/>
          <w:color w:val="000000"/>
          <w:sz w:val="32"/>
          <w:szCs w:val="32"/>
        </w:rPr>
      </w:pPr>
      <w:r>
        <w:rPr>
          <w:rFonts w:ascii="Times New Roman" w:hAnsi="Times New Roman" w:eastAsia="黑体"/>
          <w:color w:val="000000"/>
          <w:sz w:val="32"/>
          <w:szCs w:val="32"/>
        </w:rPr>
        <w:t>六、其他需要报告的事项</w:t>
      </w:r>
    </w:p>
    <w:p w14:paraId="7A6CC143">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rPr>
        <w:t>本年度政府信息公开申请未达到《政府信息公开信息处理费管理办法》（国办函〔2020〕109号）所规定的信息处理费收费标准，故未收取信息处理费。</w:t>
      </w:r>
    </w:p>
    <w:p w14:paraId="2A31590B">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eastAsia" w:eastAsia="仿宋_GB2312"/>
          <w:sz w:val="32"/>
          <w:szCs w:val="32"/>
          <w:lang w:val="en-US" w:eastAsia="zh-CN"/>
        </w:rPr>
      </w:pPr>
      <w:r>
        <w:rPr>
          <w:rFonts w:hint="eastAsia" w:ascii="仿宋_GB2312" w:hAnsi="宋体" w:eastAsia="仿宋_GB2312" w:cs="仿宋_GB2312"/>
          <w:i w:val="0"/>
          <w:iCs w:val="0"/>
          <w:caps w:val="0"/>
          <w:color w:val="000000"/>
          <w:spacing w:val="0"/>
          <w:sz w:val="32"/>
          <w:szCs w:val="32"/>
          <w:shd w:val="clear" w:fill="FFFFFF"/>
        </w:rPr>
        <w:t>2.</w:t>
      </w:r>
      <w:r>
        <w:rPr>
          <w:rFonts w:ascii="仿宋_GB2312" w:hAnsi="宋体" w:eastAsia="仿宋_GB2312" w:cs="仿宋_GB2312"/>
          <w:color w:val="000000"/>
          <w:kern w:val="0"/>
          <w:sz w:val="32"/>
          <w:szCs w:val="32"/>
          <w:lang w:val="en-US" w:eastAsia="zh-CN" w:bidi="ar"/>
        </w:rPr>
        <w:t>本行政机关落实上级年度政务公开工作要点情况</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i w:val="0"/>
          <w:iCs w:val="0"/>
          <w:caps w:val="0"/>
          <w:color w:val="000000"/>
          <w:spacing w:val="0"/>
          <w:sz w:val="32"/>
          <w:szCs w:val="32"/>
          <w:shd w:val="clear" w:fill="FFFFFF"/>
        </w:rPr>
        <w:t>及时公开重点领域信息，梳理细化相关领域政务公开事项，明确具体事项的公开标准，制作主动公开基本目录清单等工作，扎实做好要点要求的各项公开工作</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促进政务公开工作提质增效。</w:t>
      </w:r>
    </w:p>
    <w:p w14:paraId="62A69E19">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rPr>
        <w:t>3.本行政机关人大代表建议和政协提案办理结果公开情况。</w:t>
      </w:r>
      <w:r>
        <w:rPr>
          <w:rFonts w:hint="default" w:ascii="Times New Roman" w:hAnsi="Times New Roman" w:eastAsia="仿宋_GB2312" w:cs="Times New Roman"/>
          <w:i w:val="0"/>
          <w:iCs w:val="0"/>
          <w:caps w:val="0"/>
          <w:color w:val="000000"/>
          <w:spacing w:val="0"/>
          <w:sz w:val="32"/>
          <w:szCs w:val="32"/>
          <w:shd w:val="clear" w:fill="FFFFFF"/>
          <w:lang w:val="en-US" w:eastAsia="zh-CN"/>
        </w:rPr>
        <w:t>2024年全年接到市人大常委会交办的人大代表建议办理工作0件，收到市政协十一届三次会议提案</w:t>
      </w:r>
      <w:r>
        <w:rPr>
          <w:rFonts w:hint="eastAsia"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件，均已在规定时限内答复完毕，办复率100%。</w:t>
      </w:r>
    </w:p>
    <w:p w14:paraId="517A20C5">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rPr>
        <w:t>4.本行政机关年度政务公开工作创新情况。认真贯彻落实政务公开各项制度</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加强政府网站的资料和内容更新</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强化监督，确保政务公开工作质量。</w:t>
      </w:r>
    </w:p>
    <w:p w14:paraId="039AD75D">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rPr>
        <w:t>本行政机关政府信息公开工作年度报告数据统计需要说明的事项。本报告中所列数据的统计时限为202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年1月1日至202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年12月31日。</w:t>
      </w:r>
    </w:p>
    <w:p w14:paraId="277614BC">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6.本行政机关认为需要报告的其他事项。无。</w:t>
      </w:r>
    </w:p>
    <w:p w14:paraId="3A1F137F">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黑体" w:cs="Times New Roman"/>
          <w:color w:val="000000"/>
          <w:sz w:val="32"/>
          <w:szCs w:val="32"/>
        </w:rPr>
      </w:pPr>
      <w:r>
        <w:rPr>
          <w:rFonts w:hint="eastAsia"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rPr>
        <w:t>其他有关文件专门要求通过政府信息公开工作年度报告予以报告的事项。无。</w:t>
      </w:r>
    </w:p>
    <w:sectPr>
      <w:footerReference r:id="rId3" w:type="default"/>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16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A10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EA10D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WMyYTNhMjlmMTRhNjczZmNiYzhjYjdkYTdkMWUifQ=="/>
  </w:docVars>
  <w:rsids>
    <w:rsidRoot w:val="00660CD9"/>
    <w:rsid w:val="000B00F7"/>
    <w:rsid w:val="00372AAF"/>
    <w:rsid w:val="00403345"/>
    <w:rsid w:val="00482116"/>
    <w:rsid w:val="00660CD9"/>
    <w:rsid w:val="00723B81"/>
    <w:rsid w:val="008202FE"/>
    <w:rsid w:val="00971A9E"/>
    <w:rsid w:val="00C70DC3"/>
    <w:rsid w:val="00DE39B6"/>
    <w:rsid w:val="00EB5528"/>
    <w:rsid w:val="010B36BB"/>
    <w:rsid w:val="020058A6"/>
    <w:rsid w:val="02184C85"/>
    <w:rsid w:val="02FF2D70"/>
    <w:rsid w:val="06A61794"/>
    <w:rsid w:val="06E8731C"/>
    <w:rsid w:val="08FA50E4"/>
    <w:rsid w:val="095524A0"/>
    <w:rsid w:val="0AF10769"/>
    <w:rsid w:val="0B9139BE"/>
    <w:rsid w:val="0D2B1BC0"/>
    <w:rsid w:val="0EED500D"/>
    <w:rsid w:val="0FDD0E57"/>
    <w:rsid w:val="13204F19"/>
    <w:rsid w:val="148F7029"/>
    <w:rsid w:val="1606558D"/>
    <w:rsid w:val="16695A3E"/>
    <w:rsid w:val="170E5102"/>
    <w:rsid w:val="17511EF6"/>
    <w:rsid w:val="182A2BE9"/>
    <w:rsid w:val="187D188E"/>
    <w:rsid w:val="190631BF"/>
    <w:rsid w:val="1A8B2322"/>
    <w:rsid w:val="1AEB0618"/>
    <w:rsid w:val="1CCE26B8"/>
    <w:rsid w:val="1D36397B"/>
    <w:rsid w:val="1EC00C2B"/>
    <w:rsid w:val="20724974"/>
    <w:rsid w:val="223651B6"/>
    <w:rsid w:val="227710FC"/>
    <w:rsid w:val="234152DE"/>
    <w:rsid w:val="23CF16C3"/>
    <w:rsid w:val="2492368B"/>
    <w:rsid w:val="24D174D3"/>
    <w:rsid w:val="27DF7759"/>
    <w:rsid w:val="286A6EC8"/>
    <w:rsid w:val="29002187"/>
    <w:rsid w:val="29016117"/>
    <w:rsid w:val="29E4176D"/>
    <w:rsid w:val="2C4975F1"/>
    <w:rsid w:val="2C8D572B"/>
    <w:rsid w:val="2D151C3D"/>
    <w:rsid w:val="2D2B1BB5"/>
    <w:rsid w:val="2F781763"/>
    <w:rsid w:val="2FFE2E5D"/>
    <w:rsid w:val="30991053"/>
    <w:rsid w:val="32E77BD8"/>
    <w:rsid w:val="33242BDA"/>
    <w:rsid w:val="33F574BC"/>
    <w:rsid w:val="34DF02D5"/>
    <w:rsid w:val="3523197A"/>
    <w:rsid w:val="39FC5151"/>
    <w:rsid w:val="3A201375"/>
    <w:rsid w:val="3A4C463C"/>
    <w:rsid w:val="3B6E15B1"/>
    <w:rsid w:val="3BDD601C"/>
    <w:rsid w:val="3C78018A"/>
    <w:rsid w:val="3E5A3954"/>
    <w:rsid w:val="3E8C0A86"/>
    <w:rsid w:val="3EE331E8"/>
    <w:rsid w:val="42072A1C"/>
    <w:rsid w:val="42A41642"/>
    <w:rsid w:val="43421586"/>
    <w:rsid w:val="459736E0"/>
    <w:rsid w:val="46496788"/>
    <w:rsid w:val="46B45729"/>
    <w:rsid w:val="49997A26"/>
    <w:rsid w:val="4AB60597"/>
    <w:rsid w:val="4D150723"/>
    <w:rsid w:val="4D797BEE"/>
    <w:rsid w:val="4DED7BA2"/>
    <w:rsid w:val="4DFB3EAA"/>
    <w:rsid w:val="4E256955"/>
    <w:rsid w:val="4F693DE7"/>
    <w:rsid w:val="4FB235F0"/>
    <w:rsid w:val="51BC3290"/>
    <w:rsid w:val="53E67D0C"/>
    <w:rsid w:val="54363A5F"/>
    <w:rsid w:val="551C775D"/>
    <w:rsid w:val="556F1463"/>
    <w:rsid w:val="55736F1C"/>
    <w:rsid w:val="565C5AA9"/>
    <w:rsid w:val="598B6C60"/>
    <w:rsid w:val="5A04713E"/>
    <w:rsid w:val="5B834F6E"/>
    <w:rsid w:val="5BDF1381"/>
    <w:rsid w:val="5DBF6DFC"/>
    <w:rsid w:val="5DCE4302"/>
    <w:rsid w:val="5DD1570A"/>
    <w:rsid w:val="5EBB422E"/>
    <w:rsid w:val="5F1110B7"/>
    <w:rsid w:val="603865FF"/>
    <w:rsid w:val="60BB0ABD"/>
    <w:rsid w:val="61665FE8"/>
    <w:rsid w:val="629B43B7"/>
    <w:rsid w:val="65B975D9"/>
    <w:rsid w:val="66A72358"/>
    <w:rsid w:val="670A20A4"/>
    <w:rsid w:val="674D0F95"/>
    <w:rsid w:val="67AC4971"/>
    <w:rsid w:val="68081369"/>
    <w:rsid w:val="689B63E2"/>
    <w:rsid w:val="694E2184"/>
    <w:rsid w:val="69C646F5"/>
    <w:rsid w:val="6A5A06B4"/>
    <w:rsid w:val="6B4C17C5"/>
    <w:rsid w:val="6B630029"/>
    <w:rsid w:val="6C644398"/>
    <w:rsid w:val="6E1C2F92"/>
    <w:rsid w:val="709A6D90"/>
    <w:rsid w:val="73A34E7A"/>
    <w:rsid w:val="750A1E23"/>
    <w:rsid w:val="750E12E8"/>
    <w:rsid w:val="75BE243F"/>
    <w:rsid w:val="75FC7894"/>
    <w:rsid w:val="76E67965"/>
    <w:rsid w:val="7718792D"/>
    <w:rsid w:val="77D56DE6"/>
    <w:rsid w:val="799205A4"/>
    <w:rsid w:val="7A922374"/>
    <w:rsid w:val="7AD418A5"/>
    <w:rsid w:val="7B105F17"/>
    <w:rsid w:val="7B340AAD"/>
    <w:rsid w:val="7C09063E"/>
    <w:rsid w:val="7F2B3045"/>
    <w:rsid w:val="7FF16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F3AEB-E4FD-40CF-B0BC-653A7C8FEB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2838</Words>
  <Characters>2959</Characters>
  <Lines>18</Lines>
  <Paragraphs>5</Paragraphs>
  <TotalTime>4</TotalTime>
  <ScaleCrop>false</ScaleCrop>
  <LinksUpToDate>false</LinksUpToDate>
  <CharactersWithSpaces>2959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2021-12-02T03:56:00Z</dcterms:created>
  <dc:creator>Administrator</dc:creator>
  <cp:lastModifiedBy>Administrator</cp:lastModifiedBy>
  <dcterms:modified xsi:type="dcterms:W3CDTF">2025-01-21T09:32:36Z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BF60F46F17C8475C9C610C9AD423BC93</vt:lpwstr>
  </property>
  <property fmtid="{D5CDD505-2E9C-101B-9397-08002B2CF9AE}" pid="4" name="KSOTemplateDocerSaveRecord">
    <vt:lpwstr>eyJoZGlkIjoiNzAxYWMyYTNhMjlmMTRhNjczZmNiYzhjYjdkYTdkMWUifQ==</vt:lpwstr>
  </property>
</Properties>
</file>