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afterAutospacing="0" w:line="580" w:lineRule="exact"/>
        <w:ind w:left="0" w:right="0" w:firstLine="880" w:firstLineChars="200"/>
        <w:jc w:val="center"/>
        <w:textAlignment w:val="auto"/>
        <w:rPr>
          <w:rFonts w:hint="eastAsia" w:ascii="方正公文小标宋" w:hAnsi="方正公文小标宋" w:eastAsia="方正公文小标宋" w:cs="方正公文小标宋"/>
          <w:i w:val="0"/>
          <w:iCs w:val="0"/>
          <w:caps w:val="0"/>
          <w:color w:val="000000"/>
          <w:spacing w:val="0"/>
          <w:sz w:val="44"/>
          <w:szCs w:val="44"/>
          <w:shd w:val="clear" w:fill="FFFFFF"/>
        </w:rPr>
      </w:pPr>
      <w:r>
        <w:rPr>
          <w:rFonts w:hint="eastAsia" w:ascii="方正公文小标宋" w:hAnsi="方正公文小标宋" w:eastAsia="方正公文小标宋" w:cs="方正公文小标宋"/>
          <w:i w:val="0"/>
          <w:iCs w:val="0"/>
          <w:caps w:val="0"/>
          <w:color w:val="000000"/>
          <w:spacing w:val="0"/>
          <w:sz w:val="44"/>
          <w:szCs w:val="44"/>
          <w:shd w:val="clear" w:fill="FFFFFF"/>
        </w:rPr>
        <w:t>枣庄高新区兴仁街道2023年</w:t>
      </w:r>
    </w:p>
    <w:p>
      <w:pPr>
        <w:keepNext w:val="0"/>
        <w:keepLines w:val="0"/>
        <w:pageBreakBefore w:val="0"/>
        <w:kinsoku/>
        <w:overflowPunct/>
        <w:topLinePunct w:val="0"/>
        <w:autoSpaceDE/>
        <w:autoSpaceDN/>
        <w:bidi w:val="0"/>
        <w:adjustRightInd/>
        <w:snapToGrid/>
        <w:spacing w:afterAutospacing="0" w:line="580" w:lineRule="exact"/>
        <w:ind w:left="0" w:right="0" w:firstLine="880" w:firstLineChars="200"/>
        <w:jc w:val="center"/>
        <w:textAlignment w:val="auto"/>
        <w:rPr>
          <w:rFonts w:hint="eastAsia" w:ascii="仿宋_GB2312" w:hAnsi="仿宋_GB2312" w:eastAsia="仿宋_GB2312" w:cs="仿宋_GB2312"/>
          <w:i w:val="0"/>
          <w:iCs w:val="0"/>
          <w:caps w:val="0"/>
          <w:color w:val="000000"/>
          <w:spacing w:val="0"/>
          <w:sz w:val="44"/>
          <w:szCs w:val="44"/>
          <w:shd w:val="clear" w:fill="FFFFFF"/>
        </w:rPr>
      </w:pPr>
      <w:r>
        <w:rPr>
          <w:rFonts w:hint="eastAsia" w:ascii="方正公文小标宋" w:hAnsi="方正公文小标宋" w:eastAsia="方正公文小标宋" w:cs="方正公文小标宋"/>
          <w:i w:val="0"/>
          <w:iCs w:val="0"/>
          <w:caps w:val="0"/>
          <w:color w:val="000000"/>
          <w:spacing w:val="0"/>
          <w:sz w:val="44"/>
          <w:szCs w:val="44"/>
          <w:shd w:val="clear" w:fill="FFFFFF"/>
        </w:rPr>
        <w:t>政府信息公开工作年度报告</w:t>
      </w:r>
    </w:p>
    <w:p>
      <w:pPr>
        <w:keepNext w:val="0"/>
        <w:keepLines w:val="0"/>
        <w:pageBreakBefore w:val="0"/>
        <w:kinsoku/>
        <w:overflowPunct/>
        <w:topLinePunct w:val="0"/>
        <w:autoSpaceDE/>
        <w:autoSpaceDN/>
        <w:bidi w:val="0"/>
        <w:adjustRightInd/>
        <w:snapToGrid/>
        <w:spacing w:afterAutospacing="0" w:line="580" w:lineRule="exact"/>
        <w:ind w:right="0"/>
        <w:textAlignment w:val="auto"/>
        <w:rPr>
          <w:rFonts w:hint="eastAsia" w:ascii="仿宋_GB2312" w:hAnsi="仿宋_GB2312" w:eastAsia="仿宋_GB2312" w:cs="仿宋_GB2312"/>
          <w:i w:val="0"/>
          <w:iCs w:val="0"/>
          <w:caps w:val="0"/>
          <w:color w:val="000000"/>
          <w:spacing w:val="0"/>
          <w:sz w:val="32"/>
          <w:szCs w:val="32"/>
          <w:shd w:val="clear" w:fill="FFFFFF"/>
        </w:rPr>
      </w:pPr>
    </w:p>
    <w:p>
      <w:pPr>
        <w:keepNext w:val="0"/>
        <w:keepLines w:val="0"/>
        <w:pageBreakBefore w:val="0"/>
        <w:kinsoku/>
        <w:overflowPunct/>
        <w:topLinePunct w:val="0"/>
        <w:autoSpaceDE/>
        <w:autoSpaceDN/>
        <w:bidi w:val="0"/>
        <w:adjustRightInd/>
        <w:snapToGrid/>
        <w:spacing w:afterAutospacing="0" w:line="58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2023年以来，</w:t>
      </w:r>
      <w:r>
        <w:rPr>
          <w:rFonts w:hint="eastAsia" w:ascii="仿宋_GB2312" w:hAnsi="仿宋_GB2312" w:eastAsia="仿宋_GB2312" w:cs="仿宋_GB2312"/>
          <w:i w:val="0"/>
          <w:iCs w:val="0"/>
          <w:caps w:val="0"/>
          <w:color w:val="000000"/>
          <w:spacing w:val="0"/>
          <w:sz w:val="32"/>
          <w:szCs w:val="32"/>
          <w:shd w:val="clear" w:fill="FFFFFF"/>
          <w:lang w:val="en-US" w:eastAsia="zh-CN"/>
        </w:rPr>
        <w:t>兴仁街道</w:t>
      </w:r>
      <w:r>
        <w:rPr>
          <w:rFonts w:hint="eastAsia" w:ascii="仿宋_GB2312" w:hAnsi="仿宋_GB2312" w:eastAsia="仿宋_GB2312" w:cs="仿宋_GB2312"/>
          <w:i w:val="0"/>
          <w:iCs w:val="0"/>
          <w:caps w:val="0"/>
          <w:color w:val="000000"/>
          <w:spacing w:val="0"/>
          <w:sz w:val="32"/>
          <w:szCs w:val="32"/>
          <w:shd w:val="clear" w:fill="FFFFFF"/>
        </w:rPr>
        <w:t>认真贯彻落实《中华人民共和国政府信息公开条例》（国务院令第711号，以下简称《条例》）精神，现依据《</w:t>
      </w:r>
      <w:r>
        <w:rPr>
          <w:rFonts w:hint="eastAsia" w:ascii="仿宋_GB2312" w:hAnsi="仿宋_GB2312" w:eastAsia="仿宋_GB2312" w:cs="仿宋_GB2312"/>
          <w:i w:val="0"/>
          <w:iCs w:val="0"/>
          <w:caps w:val="0"/>
          <w:color w:val="000000"/>
          <w:spacing w:val="0"/>
          <w:sz w:val="32"/>
          <w:szCs w:val="32"/>
          <w:shd w:val="clear" w:fill="FFFFFF"/>
          <w:lang w:val="en-US" w:eastAsia="zh-CN"/>
        </w:rPr>
        <w:t>条例</w:t>
      </w:r>
      <w:r>
        <w:rPr>
          <w:rFonts w:hint="eastAsia" w:ascii="仿宋_GB2312" w:hAnsi="仿宋_GB2312" w:eastAsia="仿宋_GB2312" w:cs="仿宋_GB2312"/>
          <w:i w:val="0"/>
          <w:iCs w:val="0"/>
          <w:caps w:val="0"/>
          <w:color w:val="000000"/>
          <w:spacing w:val="0"/>
          <w:sz w:val="32"/>
          <w:szCs w:val="32"/>
          <w:shd w:val="clear" w:fill="FFFFFF"/>
        </w:rPr>
        <w:t>》和《枣庄市人民政府办公室关于做好2023 年政府信息公开工作年度报告编制和发布工作的通知》要求，编制本报告，本年度报告中所列数据的统计期限自202</w:t>
      </w:r>
      <w:r>
        <w:rPr>
          <w:rFonts w:hint="eastAsia" w:ascii="仿宋_GB2312" w:hAnsi="仿宋_GB2312" w:eastAsia="仿宋_GB2312" w:cs="仿宋_GB2312"/>
          <w:i w:val="0"/>
          <w:iCs w:val="0"/>
          <w:caps w:val="0"/>
          <w:color w:val="000000"/>
          <w:spacing w:val="0"/>
          <w:sz w:val="32"/>
          <w:szCs w:val="32"/>
          <w:shd w:val="clear" w:fill="FFFFFF"/>
          <w:lang w:val="en-US" w:eastAsia="zh-CN"/>
        </w:rPr>
        <w:t>3</w:t>
      </w:r>
      <w:r>
        <w:rPr>
          <w:rFonts w:hint="eastAsia" w:ascii="仿宋_GB2312" w:hAnsi="仿宋_GB2312" w:eastAsia="仿宋_GB2312" w:cs="仿宋_GB2312"/>
          <w:i w:val="0"/>
          <w:iCs w:val="0"/>
          <w:caps w:val="0"/>
          <w:color w:val="000000"/>
          <w:spacing w:val="0"/>
          <w:sz w:val="32"/>
          <w:szCs w:val="32"/>
          <w:shd w:val="clear" w:fill="FFFFFF"/>
        </w:rPr>
        <w:t>年1月1日起至202</w:t>
      </w:r>
      <w:r>
        <w:rPr>
          <w:rFonts w:hint="eastAsia" w:ascii="仿宋_GB2312" w:hAnsi="仿宋_GB2312" w:eastAsia="仿宋_GB2312" w:cs="仿宋_GB2312"/>
          <w:i w:val="0"/>
          <w:iCs w:val="0"/>
          <w:caps w:val="0"/>
          <w:color w:val="000000"/>
          <w:spacing w:val="0"/>
          <w:sz w:val="32"/>
          <w:szCs w:val="32"/>
          <w:shd w:val="clear" w:fill="FFFFFF"/>
          <w:lang w:val="en-US" w:eastAsia="zh-CN"/>
        </w:rPr>
        <w:t>3</w:t>
      </w:r>
      <w:r>
        <w:rPr>
          <w:rFonts w:hint="eastAsia" w:ascii="仿宋_GB2312" w:hAnsi="仿宋_GB2312" w:eastAsia="仿宋_GB2312" w:cs="仿宋_GB2312"/>
          <w:i w:val="0"/>
          <w:iCs w:val="0"/>
          <w:caps w:val="0"/>
          <w:color w:val="000000"/>
          <w:spacing w:val="0"/>
          <w:sz w:val="32"/>
          <w:szCs w:val="32"/>
          <w:shd w:val="clear" w:fill="FFFFFF"/>
        </w:rPr>
        <w:t>年12月31日止。</w:t>
      </w:r>
      <w:r>
        <w:rPr>
          <w:rFonts w:hint="eastAsia" w:ascii="仿宋_GB2312" w:hAnsi="仿宋_GB2312" w:eastAsia="仿宋_GB2312" w:cs="仿宋_GB2312"/>
          <w:sz w:val="32"/>
          <w:szCs w:val="32"/>
        </w:rPr>
        <w:t>本报告全文将在枣庄高新区官网（http://www.zzctp.gov.cn/）“政府信息公开年度报告”专栏公布。</w:t>
      </w:r>
      <w:r>
        <w:rPr>
          <w:rFonts w:hint="eastAsia" w:ascii="仿宋_GB2312" w:hAnsi="仿宋_GB2312" w:eastAsia="仿宋_GB2312" w:cs="仿宋_GB2312"/>
          <w:i w:val="0"/>
          <w:iCs w:val="0"/>
          <w:caps w:val="0"/>
          <w:color w:val="000000"/>
          <w:spacing w:val="0"/>
          <w:sz w:val="32"/>
          <w:szCs w:val="32"/>
          <w:shd w:val="clear" w:fill="FFFFFF"/>
        </w:rPr>
        <w:t>如对本报告有疑问，可与枣庄市高新区兴仁街道办事处联系（联系电话:0632-8695998，电子邮箱:xingrenjiedao@126.com ）具体包括以下事项：</w:t>
      </w:r>
    </w:p>
    <w:p>
      <w:pPr>
        <w:keepNext w:val="0"/>
        <w:keepLines w:val="0"/>
        <w:pageBreakBefore w:val="0"/>
        <w:kinsoku/>
        <w:overflowPunct/>
        <w:topLinePunct w:val="0"/>
        <w:autoSpaceDE/>
        <w:autoSpaceDN/>
        <w:bidi w:val="0"/>
        <w:adjustRightInd/>
        <w:snapToGrid/>
        <w:spacing w:afterAutospacing="0" w:line="58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—、总体情况</w:t>
      </w:r>
    </w:p>
    <w:p>
      <w:pPr>
        <w:keepNext w:val="0"/>
        <w:keepLines w:val="0"/>
        <w:pageBreakBefore w:val="0"/>
        <w:kinsoku/>
        <w:overflowPunct/>
        <w:topLinePunct w:val="0"/>
        <w:autoSpaceDE/>
        <w:autoSpaceDN/>
        <w:bidi w:val="0"/>
        <w:adjustRightInd/>
        <w:snapToGrid/>
        <w:spacing w:afterAutospacing="0" w:line="58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2023年以来，</w:t>
      </w:r>
      <w:r>
        <w:rPr>
          <w:rFonts w:hint="eastAsia" w:ascii="仿宋_GB2312" w:hAnsi="仿宋_GB2312" w:eastAsia="仿宋_GB2312" w:cs="仿宋_GB2312"/>
          <w:i w:val="0"/>
          <w:iCs w:val="0"/>
          <w:caps w:val="0"/>
          <w:color w:val="000000"/>
          <w:spacing w:val="0"/>
          <w:sz w:val="32"/>
          <w:szCs w:val="32"/>
          <w:shd w:val="clear" w:fill="FFFFFF"/>
          <w:lang w:val="en-US" w:eastAsia="zh-CN"/>
        </w:rPr>
        <w:t>高新区兴仁街道</w:t>
      </w:r>
      <w:r>
        <w:rPr>
          <w:rFonts w:hint="eastAsia" w:ascii="仿宋_GB2312" w:hAnsi="仿宋_GB2312" w:eastAsia="仿宋_GB2312" w:cs="仿宋_GB2312"/>
          <w:i w:val="0"/>
          <w:iCs w:val="0"/>
          <w:caps w:val="0"/>
          <w:color w:val="000000"/>
          <w:spacing w:val="0"/>
          <w:sz w:val="32"/>
          <w:szCs w:val="32"/>
          <w:shd w:val="clear" w:fill="FFFFFF"/>
        </w:rPr>
        <w:t>深入贯彻落实国家、</w:t>
      </w:r>
      <w:r>
        <w:rPr>
          <w:rFonts w:hint="eastAsia" w:ascii="仿宋_GB2312" w:hAnsi="仿宋_GB2312" w:eastAsia="仿宋_GB2312" w:cs="仿宋_GB2312"/>
          <w:i w:val="0"/>
          <w:iCs w:val="0"/>
          <w:caps w:val="0"/>
          <w:color w:val="000000"/>
          <w:spacing w:val="0"/>
          <w:sz w:val="32"/>
          <w:szCs w:val="32"/>
          <w:shd w:val="clear" w:fill="FFFFFF"/>
          <w:lang w:val="en-US" w:eastAsia="zh-CN"/>
        </w:rPr>
        <w:t>枣庄市</w:t>
      </w:r>
      <w:r>
        <w:rPr>
          <w:rFonts w:hint="eastAsia" w:ascii="仿宋_GB2312" w:hAnsi="仿宋_GB2312" w:eastAsia="仿宋_GB2312" w:cs="仿宋_GB2312"/>
          <w:i w:val="0"/>
          <w:iCs w:val="0"/>
          <w:caps w:val="0"/>
          <w:color w:val="000000"/>
          <w:spacing w:val="0"/>
          <w:sz w:val="32"/>
          <w:szCs w:val="32"/>
          <w:shd w:val="clear" w:fill="FFFFFF"/>
        </w:rPr>
        <w:t>和</w:t>
      </w:r>
      <w:r>
        <w:rPr>
          <w:rFonts w:hint="eastAsia" w:ascii="仿宋_GB2312" w:hAnsi="仿宋_GB2312" w:eastAsia="仿宋_GB2312" w:cs="仿宋_GB2312"/>
          <w:i w:val="0"/>
          <w:iCs w:val="0"/>
          <w:caps w:val="0"/>
          <w:color w:val="000000"/>
          <w:spacing w:val="0"/>
          <w:sz w:val="32"/>
          <w:szCs w:val="32"/>
          <w:shd w:val="clear" w:fill="FFFFFF"/>
          <w:lang w:val="en-US" w:eastAsia="zh-CN"/>
        </w:rPr>
        <w:t>高新区</w:t>
      </w:r>
      <w:r>
        <w:rPr>
          <w:rFonts w:hint="eastAsia" w:ascii="仿宋_GB2312" w:hAnsi="仿宋_GB2312" w:eastAsia="仿宋_GB2312" w:cs="仿宋_GB2312"/>
          <w:i w:val="0"/>
          <w:iCs w:val="0"/>
          <w:caps w:val="0"/>
          <w:color w:val="000000"/>
          <w:spacing w:val="0"/>
          <w:sz w:val="32"/>
          <w:szCs w:val="32"/>
          <w:shd w:val="clear" w:fill="FFFFFF"/>
        </w:rPr>
        <w:t>政务公开工作有关决策部署和要求，坚持以公开为常态、不公开为例外，大力推进生态环境领域政府信息公开工作，切实保障人民群众的环境知情权、参与权、监督权和表达权。</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（一）主动公开工作情况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兴仁</w:t>
      </w:r>
      <w:r>
        <w:rPr>
          <w:rFonts w:hint="eastAsia" w:ascii="仿宋_GB2312" w:hAnsi="仿宋_GB2312" w:eastAsia="仿宋_GB2312" w:cs="仿宋_GB2312"/>
          <w:sz w:val="32"/>
          <w:szCs w:val="32"/>
        </w:rPr>
        <w:t>街道主</w:t>
      </w:r>
      <w:r>
        <w:rPr>
          <w:rFonts w:hint="default" w:ascii="仿宋_GB2312" w:hAnsi="仿宋_GB2312" w:eastAsia="仿宋_GB2312" w:cs="仿宋_GB2312"/>
          <w:sz w:val="32"/>
          <w:szCs w:val="32"/>
        </w:rPr>
        <w:t>动公开政府信息</w:t>
      </w:r>
      <w:r>
        <w:rPr>
          <w:rFonts w:hint="eastAsia" w:ascii="仿宋_GB2312" w:hAnsi="仿宋_GB2312" w:eastAsia="仿宋_GB2312" w:cs="仿宋_GB2312"/>
          <w:sz w:val="32"/>
          <w:szCs w:val="32"/>
          <w:lang w:val="en-US" w:eastAsia="zh-CN"/>
        </w:rPr>
        <w:t>169</w:t>
      </w:r>
      <w:r>
        <w:rPr>
          <w:rFonts w:hint="default" w:ascii="仿宋_GB2312" w:hAnsi="仿宋_GB2312" w:eastAsia="仿宋_GB2312" w:cs="仿宋_GB2312"/>
          <w:sz w:val="32"/>
          <w:szCs w:val="32"/>
        </w:rPr>
        <w:t>条</w:t>
      </w:r>
      <w:r>
        <w:rPr>
          <w:rFonts w:hint="eastAsia" w:ascii="仿宋_GB2312" w:hAnsi="仿宋_GB2312" w:eastAsia="仿宋_GB2312" w:cs="仿宋_GB2312"/>
          <w:sz w:val="32"/>
          <w:szCs w:val="32"/>
        </w:rPr>
        <w:t>通过政府门户网站公开政府信息</w:t>
      </w:r>
      <w:r>
        <w:rPr>
          <w:rFonts w:hint="eastAsia" w:ascii="仿宋_GB2312" w:hAnsi="仿宋_GB2312" w:eastAsia="仿宋_GB2312" w:cs="仿宋_GB2312"/>
          <w:sz w:val="32"/>
          <w:szCs w:val="32"/>
          <w:lang w:val="en-US" w:eastAsia="zh-CN"/>
        </w:rPr>
        <w:t>49</w:t>
      </w:r>
      <w:r>
        <w:rPr>
          <w:rFonts w:hint="eastAsia" w:ascii="仿宋_GB2312" w:hAnsi="仿宋_GB2312" w:eastAsia="仿宋_GB2312" w:cs="仿宋_GB2312"/>
          <w:sz w:val="32"/>
          <w:szCs w:val="32"/>
        </w:rPr>
        <w:t>条，通过</w:t>
      </w:r>
      <w:r>
        <w:rPr>
          <w:rFonts w:hint="eastAsia" w:ascii="仿宋_GB2312" w:hAnsi="仿宋_GB2312" w:eastAsia="仿宋_GB2312" w:cs="仿宋_GB2312"/>
          <w:sz w:val="32"/>
          <w:szCs w:val="32"/>
          <w:lang w:val="en-US" w:eastAsia="zh-CN"/>
        </w:rPr>
        <w:t>兴仁</w:t>
      </w:r>
      <w:r>
        <w:rPr>
          <w:rFonts w:hint="eastAsia" w:ascii="仿宋_GB2312" w:hAnsi="仿宋_GB2312" w:eastAsia="仿宋_GB2312" w:cs="仿宋_GB2312"/>
          <w:sz w:val="32"/>
          <w:szCs w:val="32"/>
        </w:rPr>
        <w:t>街道微信公众号发布信息1</w:t>
      </w:r>
      <w:r>
        <w:rPr>
          <w:rFonts w:hint="eastAsia" w:ascii="仿宋_GB2312" w:hAnsi="仿宋_GB2312" w:eastAsia="仿宋_GB2312" w:cs="仿宋_GB2312"/>
          <w:sz w:val="32"/>
          <w:szCs w:val="32"/>
          <w:lang w:val="en-US" w:eastAsia="zh-CN"/>
        </w:rPr>
        <w:t>20条，</w:t>
      </w:r>
      <w:r>
        <w:rPr>
          <w:rFonts w:hint="eastAsia" w:ascii="仿宋_GB2312" w:hAnsi="仿宋_GB2312" w:eastAsia="仿宋_GB2312" w:cs="仿宋_GB2312"/>
          <w:sz w:val="32"/>
          <w:szCs w:val="32"/>
        </w:rPr>
        <w:t>会议公开方面，202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年共召开</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次</w:t>
      </w:r>
      <w:r>
        <w:rPr>
          <w:rFonts w:hint="eastAsia" w:ascii="仿宋_GB2312" w:hAnsi="仿宋_GB2312" w:eastAsia="仿宋_GB2312" w:cs="仿宋_GB2312"/>
          <w:sz w:val="32"/>
          <w:szCs w:val="32"/>
          <w:lang w:val="en-US" w:eastAsia="zh-CN"/>
        </w:rPr>
        <w:t>街道主任</w:t>
      </w:r>
      <w:r>
        <w:rPr>
          <w:rFonts w:hint="eastAsia" w:ascii="仿宋_GB2312" w:hAnsi="仿宋_GB2312" w:eastAsia="仿宋_GB2312" w:cs="仿宋_GB2312"/>
          <w:sz w:val="32"/>
          <w:szCs w:val="32"/>
        </w:rPr>
        <w:t>办公会议、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次专题会议。其中，采取</w:t>
      </w:r>
      <w:r>
        <w:rPr>
          <w:rFonts w:hint="eastAsia" w:ascii="仿宋_GB2312" w:hAnsi="仿宋_GB2312" w:eastAsia="仿宋_GB2312" w:cs="仿宋_GB2312"/>
          <w:sz w:val="32"/>
          <w:szCs w:val="32"/>
          <w:lang w:eastAsia="zh-CN"/>
        </w:rPr>
        <w:t>新闻稿、</w:t>
      </w:r>
      <w:r>
        <w:rPr>
          <w:rFonts w:hint="eastAsia" w:ascii="仿宋_GB2312" w:hAnsi="仿宋_GB2312" w:eastAsia="仿宋_GB2312" w:cs="仿宋_GB2312"/>
          <w:sz w:val="32"/>
          <w:szCs w:val="32"/>
        </w:rPr>
        <w:t>广播电视</w:t>
      </w:r>
      <w:r>
        <w:rPr>
          <w:rFonts w:hint="eastAsia" w:ascii="仿宋_GB2312" w:hAnsi="仿宋_GB2312" w:eastAsia="仿宋_GB2312" w:cs="仿宋_GB2312"/>
          <w:sz w:val="32"/>
          <w:szCs w:val="32"/>
          <w:lang w:eastAsia="zh-CN"/>
        </w:rPr>
        <w:t>、网络</w:t>
      </w:r>
      <w:r>
        <w:rPr>
          <w:rFonts w:hint="eastAsia" w:ascii="仿宋_GB2312" w:hAnsi="仿宋_GB2312" w:eastAsia="仿宋_GB2312" w:cs="仿宋_GB2312"/>
          <w:sz w:val="32"/>
          <w:szCs w:val="32"/>
        </w:rPr>
        <w:t>和新媒体</w:t>
      </w:r>
      <w:bookmarkStart w:id="10" w:name="_GoBack"/>
      <w:bookmarkEnd w:id="10"/>
      <w:r>
        <w:rPr>
          <w:rFonts w:hint="eastAsia" w:ascii="仿宋_GB2312" w:hAnsi="仿宋_GB2312" w:eastAsia="仿宋_GB2312" w:cs="仿宋_GB2312"/>
          <w:sz w:val="32"/>
          <w:szCs w:val="32"/>
        </w:rPr>
        <w:t>等形式向社会公开了</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次</w:t>
      </w:r>
      <w:r>
        <w:rPr>
          <w:rFonts w:hint="eastAsia" w:ascii="仿宋_GB2312" w:hAnsi="仿宋_GB2312" w:eastAsia="仿宋_GB2312" w:cs="仿宋_GB2312"/>
          <w:sz w:val="32"/>
          <w:szCs w:val="32"/>
          <w:lang w:val="en-US" w:eastAsia="zh-CN"/>
        </w:rPr>
        <w:t>街道主任</w:t>
      </w:r>
      <w:r>
        <w:rPr>
          <w:rFonts w:hint="eastAsia" w:ascii="仿宋_GB2312" w:hAnsi="仿宋_GB2312" w:eastAsia="仿宋_GB2312" w:cs="仿宋_GB2312"/>
          <w:sz w:val="32"/>
          <w:szCs w:val="32"/>
        </w:rPr>
        <w:t>办公会议。</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政策文件方面，</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主动公开</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rPr>
        <w:t>办公室文件和规范性文件</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件，依申请公开</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sz w:val="32"/>
          <w:szCs w:val="32"/>
        </w:rPr>
        <w:t>件，不予公开</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件，网上公开了</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件，配发</w:t>
      </w:r>
      <w:r>
        <w:rPr>
          <w:rFonts w:hint="eastAsia" w:ascii="仿宋_GB2312" w:hAnsi="仿宋_GB2312" w:eastAsia="仿宋_GB2312" w:cs="仿宋_GB2312"/>
          <w:sz w:val="32"/>
          <w:szCs w:val="32"/>
          <w:lang w:val="en-US" w:eastAsia="zh-CN"/>
        </w:rPr>
        <w:t>解读材料</w:t>
      </w:r>
      <w:r>
        <w:rPr>
          <w:rFonts w:hint="eastAsia" w:ascii="仿宋_GB2312" w:hAnsi="仿宋_GB2312" w:eastAsia="仿宋_GB2312" w:cs="仿宋_GB2312"/>
          <w:sz w:val="32"/>
          <w:szCs w:val="32"/>
          <w:lang w:val="en-US" w:eastAsia="zh-CN"/>
        </w:rPr>
        <w:t>4件。其中负责人解读政策</w:t>
      </w:r>
      <w:r>
        <w:rPr>
          <w:rFonts w:hint="eastAsia" w:ascii="仿宋_GB2312" w:hAnsi="仿宋_GB2312" w:eastAsia="仿宋_GB2312" w:cs="仿宋_GB2312"/>
          <w:sz w:val="32"/>
          <w:szCs w:val="32"/>
          <w:lang w:val="en-US" w:eastAsia="zh-CN"/>
        </w:rPr>
        <w:t>4件、多角度解读</w:t>
      </w:r>
      <w:r>
        <w:rPr>
          <w:rFonts w:hint="eastAsia" w:ascii="仿宋_GB2312" w:hAnsi="仿宋_GB2312" w:eastAsia="仿宋_GB2312" w:cs="仿宋_GB2312"/>
          <w:sz w:val="32"/>
          <w:szCs w:val="32"/>
          <w:lang w:val="en-US" w:eastAsia="zh-CN"/>
        </w:rPr>
        <w:t>4件。及时解决群众热点难点问题，做到政府网站互动日常化、常态化、良性化。</w:t>
      </w:r>
    </w:p>
    <w:p>
      <w:pPr>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3599815" cy="2609850"/>
            <wp:effectExtent l="0" t="0" r="635" b="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4"/>
                    <a:stretch>
                      <a:fillRect/>
                    </a:stretch>
                  </pic:blipFill>
                  <pic:spPr>
                    <a:xfrm>
                      <a:off x="0" y="0"/>
                      <a:ext cx="3599815" cy="2609850"/>
                    </a:xfrm>
                    <a:prstGeom prst="rect">
                      <a:avLst/>
                    </a:prstGeom>
                    <a:noFill/>
                    <a:ln>
                      <a:noFill/>
                    </a:ln>
                  </pic:spPr>
                </pic:pic>
              </a:graphicData>
            </a:graphic>
          </wp:inline>
        </w:drawing>
      </w:r>
      <w:r>
        <w:rPr>
          <w:rFonts w:hint="eastAsia" w:ascii="仿宋_GB2312" w:hAnsi="仿宋_GB2312" w:eastAsia="仿宋_GB2312" w:cs="仿宋_GB2312"/>
          <w:sz w:val="32"/>
          <w:szCs w:val="32"/>
        </w:rPr>
        <w:drawing>
          <wp:inline distT="0" distB="0" distL="114300" distR="114300">
            <wp:extent cx="3832860" cy="3134360"/>
            <wp:effectExtent l="0" t="0" r="15240" b="889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5"/>
                    <a:stretch>
                      <a:fillRect/>
                    </a:stretch>
                  </pic:blipFill>
                  <pic:spPr>
                    <a:xfrm>
                      <a:off x="0" y="0"/>
                      <a:ext cx="3832860" cy="3134360"/>
                    </a:xfrm>
                    <a:prstGeom prst="rect">
                      <a:avLst/>
                    </a:prstGeom>
                    <a:noFill/>
                    <a:ln>
                      <a:noFill/>
                    </a:ln>
                  </pic:spPr>
                </pic:pic>
              </a:graphicData>
            </a:graphic>
          </wp:inline>
        </w:drawing>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（二）依申请公开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街道严格按照各级工作要求，依法妥善做好依申请公开工作，确保政府信息公开申请渠道畅通。</w:t>
      </w:r>
      <w:r>
        <w:rPr>
          <w:rFonts w:hint="eastAsia" w:ascii="仿宋_GB2312" w:hAnsi="仿宋_GB2312" w:eastAsia="仿宋_GB2312" w:cs="仿宋_GB2312"/>
          <w:sz w:val="32"/>
          <w:szCs w:val="32"/>
          <w:lang w:val="en-US" w:eastAsia="zh-CN"/>
        </w:rPr>
        <w:t>兴仁</w:t>
      </w:r>
      <w:r>
        <w:rPr>
          <w:rFonts w:hint="eastAsia" w:ascii="仿宋_GB2312" w:hAnsi="仿宋_GB2312" w:eastAsia="仿宋_GB2312" w:cs="仿宋_GB2312"/>
          <w:sz w:val="32"/>
          <w:szCs w:val="32"/>
        </w:rPr>
        <w:t>街道共收到依申请公开件</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件（其中官网收到0件，信件</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件），按时回复</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val="en-US" w:eastAsia="zh-CN"/>
        </w:rPr>
        <w:t>兴仁</w:t>
      </w:r>
      <w:r>
        <w:rPr>
          <w:rFonts w:hint="eastAsia" w:ascii="仿宋_GB2312" w:hAnsi="仿宋_GB2312" w:eastAsia="仿宋_GB2312" w:cs="仿宋_GB2312"/>
          <w:sz w:val="32"/>
          <w:szCs w:val="32"/>
        </w:rPr>
        <w:t>街道公开行政复议0件，政府信息公开行政诉讼总数0件。</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（三）政府信息管理</w:t>
      </w:r>
    </w:p>
    <w:p>
      <w:pPr>
        <w:ind w:firstLine="640"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严格按照法定时限发布并实时更新法定主动公开内容。明确责任，街道党政综合办公室为信息公开工作主管部门，并配备专职工作人员</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rPr>
        <w:t>名，负责推进、协调街道办事处政府信息公开工作，不断增强工作透明度，切实保障群众的知情权、参与权和监督权。</w:t>
      </w:r>
    </w:p>
    <w:p>
      <w:pPr>
        <w:ind w:firstLine="640" w:firstLineChars="200"/>
        <w:rPr>
          <w:rFonts w:hint="default" w:ascii="仿宋_GB2312" w:hAnsi="仿宋_GB2312" w:eastAsia="仿宋_GB2312" w:cs="仿宋_GB2312"/>
          <w:sz w:val="32"/>
          <w:szCs w:val="32"/>
        </w:rPr>
      </w:pPr>
      <w:r>
        <w:rPr>
          <w:rFonts w:hint="default" w:ascii="楷体_GB2312" w:hAnsi="楷体_GB2312" w:eastAsia="楷体_GB2312" w:cs="楷体_GB2312"/>
          <w:sz w:val="32"/>
          <w:szCs w:val="32"/>
        </w:rPr>
        <w:t>（四）政府信息公开平台建设</w:t>
      </w:r>
    </w:p>
    <w:p>
      <w:pPr>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一是</w:t>
      </w:r>
      <w:r>
        <w:rPr>
          <w:rFonts w:hint="default" w:ascii="仿宋_GB2312" w:hAnsi="仿宋_GB2312" w:eastAsia="仿宋_GB2312" w:cs="仿宋_GB2312"/>
          <w:sz w:val="32"/>
          <w:szCs w:val="32"/>
        </w:rPr>
        <w:t>利用政务新媒体“</w:t>
      </w:r>
      <w:r>
        <w:rPr>
          <w:rFonts w:hint="eastAsia" w:ascii="仿宋_GB2312" w:hAnsi="仿宋_GB2312" w:eastAsia="仿宋_GB2312" w:cs="仿宋_GB2312"/>
          <w:sz w:val="32"/>
          <w:szCs w:val="32"/>
          <w:lang w:val="en-US" w:eastAsia="zh-CN"/>
        </w:rPr>
        <w:t>枣庄高新区兴仁街道办事处</w:t>
      </w:r>
      <w:r>
        <w:rPr>
          <w:rFonts w:hint="default" w:ascii="仿宋_GB2312" w:hAnsi="仿宋_GB2312" w:eastAsia="仿宋_GB2312" w:cs="仿宋_GB2312"/>
          <w:sz w:val="32"/>
          <w:szCs w:val="32"/>
        </w:rPr>
        <w:t>”公众号</w:t>
      </w:r>
      <w:r>
        <w:rPr>
          <w:rFonts w:hint="eastAsia" w:ascii="仿宋_GB2312" w:hAnsi="仿宋_GB2312" w:eastAsia="仿宋_GB2312" w:cs="仿宋_GB2312"/>
          <w:sz w:val="32"/>
          <w:szCs w:val="32"/>
          <w:lang w:val="en-US" w:eastAsia="zh-CN"/>
        </w:rPr>
        <w:t>和视频号“兴业仁治”</w:t>
      </w:r>
      <w:r>
        <w:rPr>
          <w:rFonts w:hint="default" w:ascii="仿宋_GB2312" w:hAnsi="仿宋_GB2312" w:eastAsia="仿宋_GB2312" w:cs="仿宋_GB2312"/>
          <w:sz w:val="32"/>
          <w:szCs w:val="32"/>
        </w:rPr>
        <w:t>及时、准确地发布街道的工作动态；</w:t>
      </w:r>
      <w:r>
        <w:rPr>
          <w:rFonts w:hint="eastAsia" w:ascii="仿宋_GB2312" w:hAnsi="仿宋_GB2312" w:eastAsia="仿宋_GB2312" w:cs="仿宋_GB2312"/>
          <w:sz w:val="32"/>
          <w:szCs w:val="32"/>
          <w:lang w:val="en-US" w:eastAsia="zh-CN"/>
        </w:rPr>
        <w:t>二</w:t>
      </w:r>
      <w:r>
        <w:rPr>
          <w:rFonts w:hint="default" w:ascii="仿宋_GB2312" w:hAnsi="仿宋_GB2312" w:eastAsia="仿宋_GB2312" w:cs="仿宋_GB2312"/>
          <w:sz w:val="32"/>
          <w:szCs w:val="32"/>
        </w:rPr>
        <w:t>是依托高新区政府门户网站，把涉及群众切身利益的信息在网站公开，方便群众浏览、知晓，确保政府信息公开工作有效开展。</w:t>
      </w:r>
    </w:p>
    <w:p>
      <w:pPr>
        <w:ind w:firstLine="640" w:firstLineChars="200"/>
        <w:rPr>
          <w:rFonts w:hint="default" w:ascii="仿宋_GB2312" w:hAnsi="仿宋_GB2312" w:eastAsia="仿宋_GB2312" w:cs="仿宋_GB2312"/>
          <w:sz w:val="32"/>
          <w:szCs w:val="32"/>
        </w:rPr>
      </w:pPr>
      <w:r>
        <w:rPr>
          <w:rFonts w:hint="eastAsia" w:ascii="楷体_GB2312" w:hAnsi="楷体_GB2312" w:eastAsia="楷体_GB2312" w:cs="楷体_GB2312"/>
          <w:sz w:val="32"/>
          <w:szCs w:val="32"/>
        </w:rPr>
        <w:t>（五）监督保障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一是强化监督考核，提高工作实效。实行每月定期监测，加大政务公开工作自查自纠力度，把政务公开工作落到实处，确保政务公开工作高质量、高标准、严要求开展。二是建立健全政务公开工作的运行基础。</w:t>
      </w:r>
      <w:r>
        <w:rPr>
          <w:rFonts w:hint="eastAsia" w:ascii="仿宋_GB2312" w:hAnsi="仿宋_GB2312" w:eastAsia="仿宋_GB2312" w:cs="仿宋_GB2312"/>
          <w:sz w:val="32"/>
          <w:szCs w:val="32"/>
          <w:lang w:val="en-US" w:eastAsia="zh-CN"/>
        </w:rPr>
        <w:t>把</w:t>
      </w:r>
      <w:r>
        <w:rPr>
          <w:rFonts w:hint="eastAsia" w:ascii="仿宋_GB2312" w:hAnsi="仿宋_GB2312" w:eastAsia="仿宋_GB2312" w:cs="仿宋_GB2312"/>
          <w:sz w:val="32"/>
          <w:szCs w:val="32"/>
        </w:rPr>
        <w:t>加强政务公开工作摆在更加突出的位置，细化政务公开工作任务，明确工作要点、职责范围、承办单位等内容，确保政务公开信息定期梳理、内容准确、发布及时。</w:t>
      </w:r>
    </w:p>
    <w:p>
      <w:pPr>
        <w:keepNext w:val="0"/>
        <w:keepLines w:val="0"/>
        <w:pageBreakBefore w:val="0"/>
        <w:kinsoku/>
        <w:overflowPunct/>
        <w:topLinePunct w:val="0"/>
        <w:autoSpaceDE/>
        <w:autoSpaceDN/>
        <w:bidi w:val="0"/>
        <w:adjustRightInd/>
        <w:snapToGrid/>
        <w:spacing w:afterAutospacing="0" w:line="58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i w:val="0"/>
          <w:iCs w:val="0"/>
          <w:caps w:val="0"/>
          <w:color w:val="000000"/>
          <w:spacing w:val="0"/>
          <w:sz w:val="32"/>
          <w:szCs w:val="32"/>
          <w:shd w:val="clear" w:fill="FFFFFF"/>
          <w:lang w:val="en-US" w:eastAsia="zh-CN"/>
        </w:rPr>
        <w:t>二、主动公开政府信息情况</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150" w:type="dxa"/>
          <w:bottom w:w="75" w:type="dxa"/>
          <w:right w:w="150" w:type="dxa"/>
        </w:tblCellMar>
      </w:tblPr>
      <w:tblGrid>
        <w:gridCol w:w="2299"/>
        <w:gridCol w:w="1786"/>
        <w:gridCol w:w="1950"/>
        <w:gridCol w:w="209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130" w:type="dxa"/>
            <w:gridSpan w:val="4"/>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第二十条第（一）项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595" w:hRule="atLeast"/>
          <w:jc w:val="center"/>
        </w:trPr>
        <w:tc>
          <w:tcPr>
            <w:tcW w:w="2299"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1786"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本年制发件数</w:t>
            </w:r>
          </w:p>
        </w:tc>
        <w:tc>
          <w:tcPr>
            <w:tcW w:w="1950"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本年废止件数</w:t>
            </w:r>
          </w:p>
        </w:tc>
        <w:tc>
          <w:tcPr>
            <w:tcW w:w="209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现行有效件数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90" w:hRule="atLeast"/>
          <w:jc w:val="center"/>
        </w:trPr>
        <w:tc>
          <w:tcPr>
            <w:tcW w:w="2299"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规章</w:t>
            </w:r>
          </w:p>
        </w:tc>
        <w:tc>
          <w:tcPr>
            <w:tcW w:w="1786"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1950"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0</w:t>
            </w:r>
          </w:p>
        </w:tc>
        <w:tc>
          <w:tcPr>
            <w:tcW w:w="209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299"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行政规范性文件</w:t>
            </w:r>
          </w:p>
        </w:tc>
        <w:tc>
          <w:tcPr>
            <w:tcW w:w="1786"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1950"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0</w:t>
            </w:r>
          </w:p>
        </w:tc>
        <w:tc>
          <w:tcPr>
            <w:tcW w:w="209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130" w:type="dxa"/>
            <w:gridSpan w:val="4"/>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第二十条第（五）项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299"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5831"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299"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w:t>
            </w:r>
          </w:p>
        </w:tc>
        <w:tc>
          <w:tcPr>
            <w:tcW w:w="5831"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130" w:type="dxa"/>
            <w:gridSpan w:val="4"/>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第二十条第（六）项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299"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5831"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299"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行政处罚</w:t>
            </w:r>
          </w:p>
        </w:tc>
        <w:tc>
          <w:tcPr>
            <w:tcW w:w="5831"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299"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行政强制</w:t>
            </w:r>
          </w:p>
        </w:tc>
        <w:tc>
          <w:tcPr>
            <w:tcW w:w="5831"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130" w:type="dxa"/>
            <w:gridSpan w:val="4"/>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第二十条第（八）项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299"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5831"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本年收费金额（单位：万元）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299"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行政事业性收费</w:t>
            </w:r>
          </w:p>
        </w:tc>
        <w:tc>
          <w:tcPr>
            <w:tcW w:w="5831"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r>
    </w:tbl>
    <w:p>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580" w:lineRule="exact"/>
        <w:ind w:left="0" w:right="0" w:firstLine="640" w:firstLineChars="200"/>
        <w:textAlignment w:val="auto"/>
        <w:rPr>
          <w:rFonts w:hint="eastAsia" w:ascii="仿宋_GB2312" w:hAnsi="仿宋_GB2312" w:eastAsia="仿宋_GB2312" w:cs="仿宋_GB2312"/>
          <w:color w:val="FF0000"/>
          <w:spacing w:val="0"/>
          <w:sz w:val="32"/>
          <w:szCs w:val="32"/>
        </w:rPr>
      </w:pPr>
    </w:p>
    <w:p>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58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kern w:val="2"/>
          <w:sz w:val="32"/>
          <w:szCs w:val="32"/>
          <w:lang w:val="en-US" w:eastAsia="zh-CN" w:bidi="ar-SA"/>
        </w:rPr>
        <w:t>三、收到和处理政府信息公开申请情况</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150" w:type="dxa"/>
          <w:bottom w:w="75" w:type="dxa"/>
          <w:right w:w="150" w:type="dxa"/>
        </w:tblCellMar>
      </w:tblPr>
      <w:tblGrid>
        <w:gridCol w:w="850"/>
        <w:gridCol w:w="1170"/>
        <w:gridCol w:w="2223"/>
        <w:gridCol w:w="547"/>
        <w:gridCol w:w="556"/>
        <w:gridCol w:w="556"/>
        <w:gridCol w:w="666"/>
        <w:gridCol w:w="646"/>
        <w:gridCol w:w="556"/>
        <w:gridCol w:w="74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20" w:hRule="atLeast"/>
          <w:jc w:val="center"/>
        </w:trPr>
        <w:tc>
          <w:tcPr>
            <w:tcW w:w="4110" w:type="dxa"/>
            <w:gridSpan w:val="3"/>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（本列数据的勾稽关系为：第一项加第二项之和，等于第三项加第四项之和）</w:t>
            </w:r>
          </w:p>
        </w:tc>
        <w:tc>
          <w:tcPr>
            <w:tcW w:w="4545" w:type="dxa"/>
            <w:gridSpan w:val="7"/>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20" w:hRule="atLeast"/>
          <w:jc w:val="center"/>
        </w:trPr>
        <w:tc>
          <w:tcPr>
            <w:tcW w:w="4110" w:type="dxa"/>
            <w:gridSpan w:val="3"/>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p>
        </w:tc>
        <w:tc>
          <w:tcPr>
            <w:tcW w:w="555"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自然人</w:t>
            </w:r>
          </w:p>
        </w:tc>
        <w:tc>
          <w:tcPr>
            <w:tcW w:w="3135" w:type="dxa"/>
            <w:gridSpan w:val="5"/>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法人或其他组织</w:t>
            </w:r>
          </w:p>
        </w:tc>
        <w:tc>
          <w:tcPr>
            <w:tcW w:w="855"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725" w:hRule="atLeast"/>
          <w:jc w:val="center"/>
        </w:trPr>
        <w:tc>
          <w:tcPr>
            <w:tcW w:w="4110" w:type="dxa"/>
            <w:gridSpan w:val="3"/>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p>
        </w:tc>
        <w:tc>
          <w:tcPr>
            <w:tcW w:w="55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商业企业</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科研机构</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社会公益组织</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法律服务机构</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w:t>
            </w:r>
          </w:p>
        </w:tc>
        <w:tc>
          <w:tcPr>
            <w:tcW w:w="85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595" w:hRule="atLeast"/>
          <w:jc w:val="center"/>
        </w:trPr>
        <w:tc>
          <w:tcPr>
            <w:tcW w:w="4110" w:type="dxa"/>
            <w:gridSpan w:val="3"/>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bookmarkStart w:id="0" w:name="_Hlk66973412"/>
            <w:r>
              <w:rPr>
                <w:rFonts w:hint="eastAsia" w:ascii="仿宋_GB2312" w:hAnsi="仿宋_GB2312" w:eastAsia="仿宋_GB2312" w:cs="仿宋_GB2312"/>
                <w:sz w:val="32"/>
                <w:szCs w:val="32"/>
              </w:rPr>
              <w:t>本年新收政府信息公开申请数量</w:t>
            </w:r>
            <w:bookmarkEnd w:id="0"/>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15" w:hRule="atLeast"/>
          <w:jc w:val="center"/>
        </w:trPr>
        <w:tc>
          <w:tcPr>
            <w:tcW w:w="4110" w:type="dxa"/>
            <w:gridSpan w:val="3"/>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二、上年结转政府信息公开申请数量</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390"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三、本年度办理结果</w:t>
            </w:r>
          </w:p>
        </w:tc>
        <w:tc>
          <w:tcPr>
            <w:tcW w:w="3720" w:type="dxa"/>
            <w:gridSpan w:val="2"/>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（一）予以公开</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p>
        </w:tc>
        <w:tc>
          <w:tcPr>
            <w:tcW w:w="3720" w:type="dxa"/>
            <w:gridSpan w:val="2"/>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（二）部分公开（</w:t>
            </w:r>
            <w:bookmarkStart w:id="1" w:name="_Hlk66973981"/>
            <w:r>
              <w:rPr>
                <w:rFonts w:hint="eastAsia" w:ascii="仿宋_GB2312" w:hAnsi="仿宋_GB2312" w:eastAsia="仿宋_GB2312" w:cs="仿宋_GB2312"/>
                <w:sz w:val="32"/>
                <w:szCs w:val="32"/>
              </w:rPr>
              <w:t>区分处理的，只计这一情形，不计其他情形</w:t>
            </w:r>
            <w:bookmarkEnd w:id="1"/>
            <w:r>
              <w:rPr>
                <w:rFonts w:hint="eastAsia" w:ascii="仿宋_GB2312" w:hAnsi="仿宋_GB2312" w:eastAsia="仿宋_GB2312" w:cs="仿宋_GB2312"/>
                <w:sz w:val="32"/>
                <w:szCs w:val="32"/>
              </w:rPr>
              <w:t>）</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p>
        </w:tc>
        <w:tc>
          <w:tcPr>
            <w:tcW w:w="795"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（三）不予公开</w:t>
            </w: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1.属于国家秘密</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bookmarkStart w:id="2" w:name="_Hlk66974104"/>
            <w:r>
              <w:rPr>
                <w:rFonts w:hint="eastAsia" w:ascii="仿宋_GB2312" w:hAnsi="仿宋_GB2312" w:eastAsia="仿宋_GB2312" w:cs="仿宋_GB2312"/>
                <w:sz w:val="32"/>
                <w:szCs w:val="32"/>
              </w:rPr>
              <w:t>其他法律行政法规禁止公开</w:t>
            </w:r>
            <w:bookmarkEnd w:id="2"/>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3.危及“三安全一稳定”</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bookmarkStart w:id="3" w:name="_Hlk66974290"/>
            <w:r>
              <w:rPr>
                <w:rFonts w:hint="eastAsia" w:ascii="仿宋_GB2312" w:hAnsi="仿宋_GB2312" w:eastAsia="仿宋_GB2312" w:cs="仿宋_GB2312"/>
                <w:sz w:val="32"/>
                <w:szCs w:val="32"/>
              </w:rPr>
              <w:t>保护第三方合法权益</w:t>
            </w:r>
            <w:bookmarkEnd w:id="3"/>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5.属于三类内部事务信息</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bookmarkStart w:id="4" w:name="_Hlk66974555"/>
            <w:r>
              <w:rPr>
                <w:rFonts w:hint="eastAsia" w:ascii="仿宋_GB2312" w:hAnsi="仿宋_GB2312" w:eastAsia="仿宋_GB2312" w:cs="仿宋_GB2312"/>
                <w:sz w:val="32"/>
                <w:szCs w:val="32"/>
              </w:rPr>
              <w:t>属于四类过程性信息</w:t>
            </w:r>
            <w:bookmarkEnd w:id="4"/>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7.属于行政执法案卷</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bookmarkStart w:id="5" w:name="_Hlk66975211"/>
            <w:r>
              <w:rPr>
                <w:rFonts w:hint="eastAsia" w:ascii="仿宋_GB2312" w:hAnsi="仿宋_GB2312" w:eastAsia="仿宋_GB2312" w:cs="仿宋_GB2312"/>
                <w:sz w:val="32"/>
                <w:szCs w:val="32"/>
              </w:rPr>
              <w:t>属于行政查询事项</w:t>
            </w:r>
            <w:bookmarkEnd w:id="5"/>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p>
        </w:tc>
        <w:tc>
          <w:tcPr>
            <w:tcW w:w="795"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（四）无法提供</w:t>
            </w: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1.本机关不掌握相关政府信息</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bookmarkStart w:id="6" w:name="_Hlk66975392"/>
            <w:r>
              <w:rPr>
                <w:rFonts w:hint="eastAsia" w:ascii="仿宋_GB2312" w:hAnsi="仿宋_GB2312" w:eastAsia="仿宋_GB2312" w:cs="仿宋_GB2312"/>
                <w:sz w:val="32"/>
                <w:szCs w:val="32"/>
              </w:rPr>
              <w:t>没有现成信息需要另行制作</w:t>
            </w:r>
            <w:bookmarkEnd w:id="6"/>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bookmarkStart w:id="7" w:name="_Hlk66975466"/>
            <w:r>
              <w:rPr>
                <w:rFonts w:hint="eastAsia" w:ascii="仿宋_GB2312" w:hAnsi="仿宋_GB2312" w:eastAsia="仿宋_GB2312" w:cs="仿宋_GB2312"/>
                <w:sz w:val="32"/>
                <w:szCs w:val="32"/>
              </w:rPr>
              <w:t>补正后申请内容仍不明确</w:t>
            </w:r>
            <w:bookmarkEnd w:id="7"/>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p>
        </w:tc>
        <w:tc>
          <w:tcPr>
            <w:tcW w:w="795"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（五）不予处理</w:t>
            </w: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bookmarkStart w:id="8" w:name="_Hlk66975537"/>
            <w:r>
              <w:rPr>
                <w:rFonts w:hint="eastAsia" w:ascii="仿宋_GB2312" w:hAnsi="仿宋_GB2312" w:eastAsia="仿宋_GB2312" w:cs="仿宋_GB2312"/>
                <w:sz w:val="32"/>
                <w:szCs w:val="32"/>
              </w:rPr>
              <w:t>信访举报投诉类申请</w:t>
            </w:r>
            <w:bookmarkEnd w:id="8"/>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2.重复申请</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3.要求提供公开出版物</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9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4.无正当理由大量反复申请</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5.要求行政机关确认或重新出具已获取信息</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p>
        </w:tc>
        <w:tc>
          <w:tcPr>
            <w:tcW w:w="795"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（六）其他处理</w:t>
            </w:r>
          </w:p>
        </w:tc>
        <w:tc>
          <w:tcPr>
            <w:tcW w:w="2925" w:type="dxa"/>
            <w:tcBorders>
              <w:top w:val="single" w:color="auto" w:sz="6" w:space="0"/>
              <w:left w:val="single" w:color="auto" w:sz="6" w:space="0"/>
              <w:bottom w:val="single" w:color="auto" w:sz="6" w:space="0"/>
              <w:right w:val="single" w:color="auto" w:sz="6" w:space="0"/>
            </w:tcBorders>
            <w:noWrap w:val="0"/>
            <w:tcMar>
              <w:left w:w="0" w:type="dxa"/>
              <w:bottom w:w="0" w:type="dxa"/>
              <w:right w:w="0"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1.申请人无正当理由逾期不补正、行政机关不再处理其政府信息公开申请</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p>
        </w:tc>
        <w:tc>
          <w:tcPr>
            <w:tcW w:w="2925" w:type="dxa"/>
            <w:tcBorders>
              <w:top w:val="single" w:color="auto" w:sz="6" w:space="0"/>
              <w:left w:val="single" w:color="auto" w:sz="6" w:space="0"/>
              <w:bottom w:val="single" w:color="auto" w:sz="6" w:space="0"/>
              <w:right w:val="single" w:color="auto" w:sz="6" w:space="0"/>
            </w:tcBorders>
            <w:noWrap w:val="0"/>
            <w:tcMar>
              <w:left w:w="0" w:type="dxa"/>
              <w:bottom w:w="0" w:type="dxa"/>
              <w:right w:w="0"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2.申请人逾期未按收费通知要求缴纳费用、行政机关不再处理其政府信息公开申请</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p>
        </w:tc>
        <w:tc>
          <w:tcPr>
            <w:tcW w:w="2925" w:type="dxa"/>
            <w:tcBorders>
              <w:top w:val="single" w:color="auto" w:sz="6" w:space="0"/>
              <w:left w:val="single" w:color="auto" w:sz="6" w:space="0"/>
              <w:bottom w:val="single" w:color="auto" w:sz="6" w:space="0"/>
              <w:right w:val="single" w:color="auto" w:sz="6" w:space="0"/>
            </w:tcBorders>
            <w:noWrap w:val="0"/>
            <w:tcMar>
              <w:left w:w="0" w:type="dxa"/>
              <w:bottom w:w="0" w:type="dxa"/>
              <w:right w:w="0"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p>
        </w:tc>
        <w:tc>
          <w:tcPr>
            <w:tcW w:w="3720" w:type="dxa"/>
            <w:gridSpan w:val="2"/>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（七）总计</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4110" w:type="dxa"/>
            <w:gridSpan w:val="3"/>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四、结转下年度继续办理</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r>
    </w:tbl>
    <w:p>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58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kern w:val="2"/>
          <w:sz w:val="32"/>
          <w:szCs w:val="32"/>
          <w:lang w:val="en-US" w:eastAsia="zh-CN" w:bidi="ar-SA"/>
        </w:rPr>
        <w:t>四、政府信息公开行政复议、行政诉讼情况</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150" w:type="dxa"/>
          <w:bottom w:w="75" w:type="dxa"/>
          <w:right w:w="150" w:type="dxa"/>
        </w:tblCellMar>
      </w:tblPr>
      <w:tblGrid>
        <w:gridCol w:w="530"/>
        <w:gridCol w:w="563"/>
        <w:gridCol w:w="586"/>
        <w:gridCol w:w="563"/>
        <w:gridCol w:w="530"/>
        <w:gridCol w:w="541"/>
        <w:gridCol w:w="574"/>
        <w:gridCol w:w="574"/>
        <w:gridCol w:w="574"/>
        <w:gridCol w:w="586"/>
        <w:gridCol w:w="574"/>
        <w:gridCol w:w="574"/>
        <w:gridCol w:w="574"/>
        <w:gridCol w:w="574"/>
        <w:gridCol w:w="59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jc w:val="center"/>
        </w:trPr>
        <w:tc>
          <w:tcPr>
            <w:tcW w:w="2674" w:type="dxa"/>
            <w:gridSpan w:val="5"/>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行政复议</w:t>
            </w:r>
          </w:p>
        </w:tc>
        <w:tc>
          <w:tcPr>
            <w:tcW w:w="5842" w:type="dxa"/>
            <w:gridSpan w:val="10"/>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行政诉讼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540" w:hRule="atLeast"/>
          <w:jc w:val="center"/>
        </w:trPr>
        <w:tc>
          <w:tcPr>
            <w:tcW w:w="516" w:type="dxa"/>
            <w:vMerge w:val="restart"/>
            <w:tcBorders>
              <w:top w:val="nil"/>
              <w:left w:val="single" w:color="auto" w:sz="6" w:space="0"/>
              <w:bottom w:val="single" w:color="auto" w:sz="6" w:space="0"/>
              <w:right w:val="single" w:color="auto" w:sz="6" w:space="0"/>
            </w:tcBorders>
            <w:noWrap w:val="0"/>
            <w:tcMar>
              <w:left w:w="105" w:type="dxa"/>
              <w:bottom w:w="0" w:type="dxa"/>
              <w:right w:w="10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维持</w:t>
            </w:r>
          </w:p>
        </w:tc>
        <w:tc>
          <w:tcPr>
            <w:tcW w:w="570" w:type="dxa"/>
            <w:vMerge w:val="restart"/>
            <w:tcBorders>
              <w:top w:val="nil"/>
              <w:left w:val="nil"/>
              <w:bottom w:val="single" w:color="auto" w:sz="6" w:space="0"/>
              <w:right w:val="single" w:color="auto" w:sz="6" w:space="0"/>
            </w:tcBorders>
            <w:noWrap w:val="0"/>
            <w:tcMar>
              <w:left w:w="105" w:type="dxa"/>
              <w:bottom w:w="0" w:type="dxa"/>
              <w:right w:w="10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结果纠正</w:t>
            </w:r>
          </w:p>
        </w:tc>
        <w:tc>
          <w:tcPr>
            <w:tcW w:w="598" w:type="dxa"/>
            <w:vMerge w:val="restart"/>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其他结果</w:t>
            </w:r>
          </w:p>
        </w:tc>
        <w:tc>
          <w:tcPr>
            <w:tcW w:w="570" w:type="dxa"/>
            <w:vMerge w:val="restart"/>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尚未</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审结</w:t>
            </w:r>
          </w:p>
        </w:tc>
        <w:tc>
          <w:tcPr>
            <w:tcW w:w="420" w:type="dxa"/>
            <w:vMerge w:val="restart"/>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w:t>
            </w:r>
          </w:p>
        </w:tc>
        <w:tc>
          <w:tcPr>
            <w:tcW w:w="2893" w:type="dxa"/>
            <w:gridSpan w:val="5"/>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未经复议直接起诉</w:t>
            </w:r>
          </w:p>
        </w:tc>
        <w:tc>
          <w:tcPr>
            <w:tcW w:w="2949" w:type="dxa"/>
            <w:gridSpan w:val="5"/>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rPr>
                <w:rFonts w:hint="eastAsia" w:ascii="仿宋_GB2312" w:hAnsi="仿宋_GB2312" w:eastAsia="仿宋_GB2312" w:cs="仿宋_GB2312"/>
                <w:sz w:val="32"/>
                <w:szCs w:val="32"/>
              </w:rPr>
            </w:pPr>
            <w:bookmarkStart w:id="9" w:name="_Hlk67039688"/>
            <w:r>
              <w:rPr>
                <w:rFonts w:hint="eastAsia" w:ascii="仿宋_GB2312" w:hAnsi="仿宋_GB2312" w:eastAsia="仿宋_GB2312" w:cs="仿宋_GB2312"/>
                <w:sz w:val="32"/>
                <w:szCs w:val="32"/>
              </w:rPr>
              <w:t>复议后起诉</w:t>
            </w:r>
            <w:bookmarkEnd w:id="9"/>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900" w:hRule="atLeast"/>
          <w:jc w:val="center"/>
        </w:trPr>
        <w:tc>
          <w:tcPr>
            <w:tcW w:w="516" w:type="dxa"/>
            <w:vMerge w:val="continue"/>
            <w:tcBorders>
              <w:top w:val="nil"/>
              <w:left w:val="single" w:color="auto" w:sz="6" w:space="0"/>
              <w:bottom w:val="single" w:color="auto" w:sz="6" w:space="0"/>
              <w:right w:val="single" w:color="auto" w:sz="6" w:space="0"/>
            </w:tcBorders>
            <w:noWrap w:val="0"/>
            <w:tcMar>
              <w:left w:w="105" w:type="dxa"/>
              <w:bottom w:w="0" w:type="dxa"/>
              <w:right w:w="105" w:type="dxa"/>
            </w:tcMar>
            <w:vAlign w:val="center"/>
          </w:tcPr>
          <w:p>
            <w:pPr>
              <w:rPr>
                <w:rFonts w:hint="eastAsia" w:ascii="仿宋_GB2312" w:hAnsi="仿宋_GB2312" w:eastAsia="仿宋_GB2312" w:cs="仿宋_GB2312"/>
                <w:sz w:val="32"/>
                <w:szCs w:val="32"/>
              </w:rPr>
            </w:pPr>
          </w:p>
        </w:tc>
        <w:tc>
          <w:tcPr>
            <w:tcW w:w="570" w:type="dxa"/>
            <w:vMerge w:val="continue"/>
            <w:tcBorders>
              <w:top w:val="nil"/>
              <w:left w:val="nil"/>
              <w:bottom w:val="single" w:color="auto" w:sz="6" w:space="0"/>
              <w:right w:val="single" w:color="auto" w:sz="6" w:space="0"/>
            </w:tcBorders>
            <w:noWrap w:val="0"/>
            <w:tcMar>
              <w:left w:w="105" w:type="dxa"/>
              <w:bottom w:w="0" w:type="dxa"/>
              <w:right w:w="105" w:type="dxa"/>
            </w:tcMar>
            <w:vAlign w:val="center"/>
          </w:tcPr>
          <w:p>
            <w:pPr>
              <w:rPr>
                <w:rFonts w:hint="eastAsia" w:ascii="仿宋_GB2312" w:hAnsi="仿宋_GB2312" w:eastAsia="仿宋_GB2312" w:cs="仿宋_GB2312"/>
                <w:sz w:val="32"/>
                <w:szCs w:val="32"/>
              </w:rPr>
            </w:pPr>
          </w:p>
        </w:tc>
        <w:tc>
          <w:tcPr>
            <w:tcW w:w="598" w:type="dxa"/>
            <w:vMerge w:val="continue"/>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rPr>
                <w:rFonts w:hint="eastAsia" w:ascii="仿宋_GB2312" w:hAnsi="仿宋_GB2312" w:eastAsia="仿宋_GB2312" w:cs="仿宋_GB2312"/>
                <w:sz w:val="32"/>
                <w:szCs w:val="32"/>
              </w:rPr>
            </w:pPr>
          </w:p>
        </w:tc>
        <w:tc>
          <w:tcPr>
            <w:tcW w:w="570" w:type="dxa"/>
            <w:vMerge w:val="continue"/>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rPr>
                <w:rFonts w:hint="eastAsia" w:ascii="仿宋_GB2312" w:hAnsi="仿宋_GB2312" w:eastAsia="仿宋_GB2312" w:cs="仿宋_GB2312"/>
                <w:sz w:val="32"/>
                <w:szCs w:val="32"/>
              </w:rPr>
            </w:pPr>
          </w:p>
        </w:tc>
        <w:tc>
          <w:tcPr>
            <w:tcW w:w="420" w:type="dxa"/>
            <w:vMerge w:val="continue"/>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rPr>
                <w:rFonts w:hint="eastAsia" w:ascii="仿宋_GB2312" w:hAnsi="仿宋_GB2312" w:eastAsia="仿宋_GB2312" w:cs="仿宋_GB2312"/>
                <w:sz w:val="32"/>
                <w:szCs w:val="32"/>
              </w:rPr>
            </w:pPr>
          </w:p>
        </w:tc>
        <w:tc>
          <w:tcPr>
            <w:tcW w:w="543" w:type="dxa"/>
            <w:tcBorders>
              <w:top w:val="nil"/>
              <w:left w:val="nil"/>
              <w:bottom w:val="single" w:color="auto" w:sz="6" w:space="0"/>
              <w:right w:val="single" w:color="auto" w:sz="6" w:space="0"/>
            </w:tcBorders>
            <w:noWrap w:val="0"/>
            <w:tcMar>
              <w:left w:w="105" w:type="dxa"/>
              <w:bottom w:w="0" w:type="dxa"/>
              <w:right w:w="10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结果维持</w:t>
            </w:r>
          </w:p>
        </w:tc>
        <w:tc>
          <w:tcPr>
            <w:tcW w:w="584" w:type="dxa"/>
            <w:tcBorders>
              <w:top w:val="nil"/>
              <w:left w:val="nil"/>
              <w:bottom w:val="single" w:color="auto" w:sz="6" w:space="0"/>
              <w:right w:val="single" w:color="auto" w:sz="6" w:space="0"/>
            </w:tcBorders>
            <w:noWrap w:val="0"/>
            <w:tcMar>
              <w:left w:w="105" w:type="dxa"/>
              <w:bottom w:w="0" w:type="dxa"/>
              <w:right w:w="10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结果纠正</w:t>
            </w:r>
          </w:p>
        </w:tc>
        <w:tc>
          <w:tcPr>
            <w:tcW w:w="584"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w:t>
            </w:r>
          </w:p>
        </w:tc>
        <w:tc>
          <w:tcPr>
            <w:tcW w:w="584"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尚未</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审结</w:t>
            </w:r>
          </w:p>
        </w:tc>
        <w:tc>
          <w:tcPr>
            <w:tcW w:w="598"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总计</w:t>
            </w:r>
          </w:p>
        </w:tc>
        <w:tc>
          <w:tcPr>
            <w:tcW w:w="584"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结果维持</w:t>
            </w:r>
          </w:p>
        </w:tc>
        <w:tc>
          <w:tcPr>
            <w:tcW w:w="584"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纠正</w:t>
            </w:r>
          </w:p>
        </w:tc>
        <w:tc>
          <w:tcPr>
            <w:tcW w:w="584"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w:t>
            </w:r>
          </w:p>
        </w:tc>
        <w:tc>
          <w:tcPr>
            <w:tcW w:w="584"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尚未审结</w:t>
            </w:r>
          </w:p>
        </w:tc>
        <w:tc>
          <w:tcPr>
            <w:tcW w:w="613"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516" w:type="dxa"/>
            <w:tcBorders>
              <w:top w:val="nil"/>
              <w:left w:val="single" w:color="auto" w:sz="6" w:space="0"/>
              <w:bottom w:val="single" w:color="auto" w:sz="6" w:space="0"/>
              <w:right w:val="single" w:color="auto" w:sz="6" w:space="0"/>
            </w:tcBorders>
            <w:noWrap w:val="0"/>
            <w:tcMar>
              <w:left w:w="105" w:type="dxa"/>
              <w:bottom w:w="0" w:type="dxa"/>
              <w:right w:w="105" w:type="dxa"/>
            </w:tcMar>
            <w:vAlign w:val="center"/>
          </w:tcPr>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0</w:t>
            </w:r>
          </w:p>
        </w:tc>
        <w:tc>
          <w:tcPr>
            <w:tcW w:w="570" w:type="dxa"/>
            <w:tcBorders>
              <w:top w:val="nil"/>
              <w:left w:val="nil"/>
              <w:bottom w:val="single" w:color="auto" w:sz="6" w:space="0"/>
              <w:right w:val="single" w:color="auto" w:sz="6" w:space="0"/>
            </w:tcBorders>
            <w:noWrap w:val="0"/>
            <w:tcMar>
              <w:left w:w="105" w:type="dxa"/>
              <w:bottom w:w="0" w:type="dxa"/>
              <w:right w:w="105" w:type="dxa"/>
            </w:tcMar>
            <w:vAlign w:val="center"/>
          </w:tcPr>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0</w:t>
            </w:r>
          </w:p>
        </w:tc>
        <w:tc>
          <w:tcPr>
            <w:tcW w:w="598" w:type="dxa"/>
            <w:tcBorders>
              <w:top w:val="nil"/>
              <w:left w:val="nil"/>
              <w:bottom w:val="single" w:color="auto" w:sz="6" w:space="0"/>
              <w:right w:val="single" w:color="auto" w:sz="6" w:space="0"/>
            </w:tcBorders>
            <w:noWrap w:val="0"/>
            <w:tcMar>
              <w:left w:w="105" w:type="dxa"/>
              <w:bottom w:w="0" w:type="dxa"/>
              <w:right w:w="105" w:type="dxa"/>
            </w:tcMar>
            <w:vAlign w:val="center"/>
          </w:tcPr>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570" w:type="dxa"/>
            <w:tcBorders>
              <w:top w:val="nil"/>
              <w:left w:val="nil"/>
              <w:bottom w:val="single" w:color="auto" w:sz="6" w:space="0"/>
              <w:right w:val="single" w:color="auto" w:sz="6" w:space="0"/>
            </w:tcBorders>
            <w:noWrap w:val="0"/>
            <w:tcMar>
              <w:left w:w="105" w:type="dxa"/>
              <w:bottom w:w="0" w:type="dxa"/>
              <w:right w:w="10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20" w:type="dxa"/>
            <w:tcBorders>
              <w:top w:val="nil"/>
              <w:left w:val="nil"/>
              <w:bottom w:val="single" w:color="auto" w:sz="6" w:space="0"/>
              <w:right w:val="single" w:color="auto" w:sz="6" w:space="0"/>
            </w:tcBorders>
            <w:noWrap w:val="0"/>
            <w:tcMar>
              <w:left w:w="105" w:type="dxa"/>
              <w:bottom w:w="0" w:type="dxa"/>
              <w:right w:w="105" w:type="dxa"/>
            </w:tcMar>
            <w:vAlign w:val="center"/>
          </w:tcPr>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543" w:type="dxa"/>
            <w:tcBorders>
              <w:top w:val="nil"/>
              <w:left w:val="nil"/>
              <w:bottom w:val="single" w:color="auto" w:sz="6" w:space="0"/>
              <w:right w:val="single" w:color="auto" w:sz="6" w:space="0"/>
            </w:tcBorders>
            <w:noWrap w:val="0"/>
            <w:tcMar>
              <w:left w:w="105" w:type="dxa"/>
              <w:bottom w:w="0" w:type="dxa"/>
              <w:right w:w="10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84" w:type="dxa"/>
            <w:tcBorders>
              <w:top w:val="nil"/>
              <w:left w:val="nil"/>
              <w:bottom w:val="single" w:color="auto" w:sz="6" w:space="0"/>
              <w:right w:val="single" w:color="auto" w:sz="6" w:space="0"/>
            </w:tcBorders>
            <w:noWrap w:val="0"/>
            <w:tcMar>
              <w:left w:w="105" w:type="dxa"/>
              <w:bottom w:w="0" w:type="dxa"/>
              <w:right w:w="10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84" w:type="dxa"/>
            <w:tcBorders>
              <w:top w:val="nil"/>
              <w:left w:val="nil"/>
              <w:bottom w:val="single" w:color="auto" w:sz="6" w:space="0"/>
              <w:right w:val="single" w:color="auto" w:sz="6" w:space="0"/>
            </w:tcBorders>
            <w:noWrap w:val="0"/>
            <w:tcMar>
              <w:left w:w="105" w:type="dxa"/>
              <w:bottom w:w="0" w:type="dxa"/>
              <w:right w:w="10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84" w:type="dxa"/>
            <w:tcBorders>
              <w:top w:val="nil"/>
              <w:left w:val="nil"/>
              <w:bottom w:val="single" w:color="auto" w:sz="6" w:space="0"/>
              <w:right w:val="single" w:color="auto" w:sz="6" w:space="0"/>
            </w:tcBorders>
            <w:noWrap w:val="0"/>
            <w:tcMar>
              <w:left w:w="105" w:type="dxa"/>
              <w:bottom w:w="0" w:type="dxa"/>
              <w:right w:w="10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98" w:type="dxa"/>
            <w:tcBorders>
              <w:top w:val="nil"/>
              <w:left w:val="nil"/>
              <w:bottom w:val="single" w:color="auto" w:sz="6" w:space="0"/>
              <w:right w:val="single" w:color="auto" w:sz="6" w:space="0"/>
            </w:tcBorders>
            <w:noWrap w:val="0"/>
            <w:tcMar>
              <w:left w:w="105" w:type="dxa"/>
              <w:bottom w:w="0" w:type="dxa"/>
              <w:right w:w="10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84" w:type="dxa"/>
            <w:tcBorders>
              <w:top w:val="nil"/>
              <w:left w:val="nil"/>
              <w:bottom w:val="single" w:color="auto" w:sz="6" w:space="0"/>
              <w:right w:val="single" w:color="auto" w:sz="6" w:space="0"/>
            </w:tcBorders>
            <w:noWrap w:val="0"/>
            <w:tcMar>
              <w:left w:w="105" w:type="dxa"/>
              <w:bottom w:w="0" w:type="dxa"/>
              <w:right w:w="10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84" w:type="dxa"/>
            <w:tcBorders>
              <w:top w:val="nil"/>
              <w:left w:val="nil"/>
              <w:bottom w:val="single" w:color="auto" w:sz="6" w:space="0"/>
              <w:right w:val="single" w:color="auto" w:sz="6" w:space="0"/>
            </w:tcBorders>
            <w:noWrap w:val="0"/>
            <w:tcMar>
              <w:left w:w="105" w:type="dxa"/>
              <w:bottom w:w="0" w:type="dxa"/>
              <w:right w:w="10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84" w:type="dxa"/>
            <w:tcBorders>
              <w:top w:val="nil"/>
              <w:left w:val="nil"/>
              <w:bottom w:val="single" w:color="auto" w:sz="6" w:space="0"/>
              <w:right w:val="single" w:color="auto" w:sz="6" w:space="0"/>
            </w:tcBorders>
            <w:noWrap w:val="0"/>
            <w:tcMar>
              <w:left w:w="105" w:type="dxa"/>
              <w:bottom w:w="0" w:type="dxa"/>
              <w:right w:w="10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84" w:type="dxa"/>
            <w:tcBorders>
              <w:top w:val="nil"/>
              <w:left w:val="nil"/>
              <w:bottom w:val="single" w:color="auto" w:sz="6" w:space="0"/>
              <w:right w:val="single" w:color="auto" w:sz="6" w:space="0"/>
            </w:tcBorders>
            <w:noWrap w:val="0"/>
            <w:tcMar>
              <w:left w:w="105" w:type="dxa"/>
              <w:bottom w:w="0" w:type="dxa"/>
              <w:right w:w="10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13" w:type="dxa"/>
            <w:tcBorders>
              <w:top w:val="nil"/>
              <w:left w:val="nil"/>
              <w:bottom w:val="single" w:color="auto" w:sz="6" w:space="0"/>
              <w:right w:val="single" w:color="auto" w:sz="6" w:space="0"/>
            </w:tcBorders>
            <w:noWrap w:val="0"/>
            <w:tcMar>
              <w:left w:w="105" w:type="dxa"/>
              <w:bottom w:w="0" w:type="dxa"/>
              <w:right w:w="10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bl>
    <w:p>
      <w:pPr>
        <w:keepNext w:val="0"/>
        <w:keepLines w:val="0"/>
        <w:pageBreakBefore w:val="0"/>
        <w:widowControl/>
        <w:suppressLineNumbers w:val="0"/>
        <w:kinsoku/>
        <w:overflowPunct/>
        <w:topLinePunct w:val="0"/>
        <w:autoSpaceDE/>
        <w:autoSpaceDN/>
        <w:bidi w:val="0"/>
        <w:adjustRightInd/>
        <w:snapToGrid/>
        <w:spacing w:afterAutospacing="0" w:line="580" w:lineRule="exact"/>
        <w:ind w:right="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五、政府信息公开工作存在的主要问题及改进情况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pPr>
      <w:r>
        <w:rPr>
          <w:rFonts w:hint="eastAsia" w:ascii="楷体_GB2312" w:hAnsi="楷体_GB2312" w:eastAsia="楷体_GB2312" w:cs="楷体_GB2312"/>
          <w:i w:val="0"/>
          <w:iCs w:val="0"/>
          <w:caps w:val="0"/>
          <w:color w:val="000000"/>
          <w:spacing w:val="0"/>
          <w:kern w:val="2"/>
          <w:sz w:val="32"/>
          <w:szCs w:val="32"/>
          <w:shd w:val="clear" w:fill="FFFFFF"/>
          <w:lang w:val="en-US" w:eastAsia="zh-CN" w:bidi="ar-SA"/>
        </w:rPr>
        <w:t>（一）主要问题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t>一是重点领域信息公开不够全面。二是有的栏目信息发布更新不够及时。三是街道政府政务公开工作力量比较薄弱。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pPr>
      <w:r>
        <w:rPr>
          <w:rFonts w:hint="eastAsia" w:ascii="楷体_GB2312" w:hAnsi="楷体_GB2312" w:eastAsia="楷体_GB2312" w:cs="楷体_GB2312"/>
          <w:i w:val="0"/>
          <w:iCs w:val="0"/>
          <w:caps w:val="0"/>
          <w:color w:val="000000"/>
          <w:spacing w:val="0"/>
          <w:kern w:val="2"/>
          <w:sz w:val="32"/>
          <w:szCs w:val="32"/>
          <w:shd w:val="clear" w:fill="FFFFFF"/>
          <w:lang w:val="en-US" w:eastAsia="zh-CN" w:bidi="ar-SA"/>
        </w:rPr>
        <w:t>（二）改进情况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t>一是加强重点领域信息公开，提升政府信息公开标准化规范化水平。二是及时做好动态更新工作，提升信息发布的时效性。三是加强人员管理和业务培训，提升基层政务公开工作人员的综合素质。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六、其他需要报告的事项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t> 1.本行政机关人大代表建议和政协提案办理结果公开情况。全年未承办区级人大代表建议，全年承办区政协委员提01件。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仿宋_GB2312" w:hAnsi="仿宋_GB2312" w:eastAsia="仿宋_GB2312" w:cs="仿宋_GB2312"/>
          <w:i w:val="0"/>
          <w:iCs w:val="0"/>
          <w:caps w:val="0"/>
          <w:color w:val="000000"/>
          <w:spacing w:val="0"/>
          <w:kern w:val="2"/>
          <w:sz w:val="32"/>
          <w:szCs w:val="32"/>
          <w:shd w:val="clear" w:fill="FFFFFF"/>
          <w:lang w:val="en-US" w:eastAsia="zh-CN" w:bidi="ar-SA"/>
        </w:rPr>
      </w:pPr>
      <w:r>
        <w:rPr>
          <w:rFonts w:hint="default" w:ascii="仿宋_GB2312" w:hAnsi="仿宋_GB2312" w:eastAsia="仿宋_GB2312" w:cs="仿宋_GB2312"/>
          <w:i w:val="0"/>
          <w:iCs w:val="0"/>
          <w:caps w:val="0"/>
          <w:color w:val="000000"/>
          <w:spacing w:val="0"/>
          <w:kern w:val="2"/>
          <w:sz w:val="32"/>
          <w:szCs w:val="32"/>
          <w:shd w:val="clear" w:fill="FFFFFF"/>
          <w:lang w:val="en-US" w:eastAsia="zh-CN" w:bidi="ar-SA"/>
        </w:rPr>
        <w:t>2.本年度政府信息公开申请未达到《政府信息公开信息处理费管理办法》（国办函〔2020〕109号）所规定的信息处理费收费标准，故未收取信息处理费。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仿宋_GB2312" w:hAnsi="仿宋_GB2312" w:eastAsia="仿宋_GB2312" w:cs="仿宋_GB2312"/>
          <w:i w:val="0"/>
          <w:iCs w:val="0"/>
          <w:caps w:val="0"/>
          <w:color w:val="000000"/>
          <w:spacing w:val="0"/>
          <w:kern w:val="2"/>
          <w:sz w:val="32"/>
          <w:szCs w:val="32"/>
          <w:shd w:val="clear" w:fill="FFFFFF"/>
          <w:lang w:val="en-US" w:eastAsia="zh-CN" w:bidi="ar-SA"/>
        </w:rPr>
      </w:pPr>
      <w:r>
        <w:rPr>
          <w:rFonts w:hint="default" w:ascii="仿宋_GB2312" w:hAnsi="仿宋_GB2312" w:eastAsia="仿宋_GB2312" w:cs="仿宋_GB2312"/>
          <w:i w:val="0"/>
          <w:iCs w:val="0"/>
          <w:caps w:val="0"/>
          <w:color w:val="000000"/>
          <w:spacing w:val="0"/>
          <w:kern w:val="2"/>
          <w:sz w:val="32"/>
          <w:szCs w:val="32"/>
          <w:shd w:val="clear" w:fill="FFFFFF"/>
          <w:lang w:val="en-US" w:eastAsia="zh-CN" w:bidi="ar-SA"/>
        </w:rPr>
        <w:t>3.落实年度政务公开重点工作情况。扎实做好政务公开基础工作，持续推进基层政务公开标准化、规范化，全面梳理细化相关领域政务公开事项，明确具体事项的公开标准，制作主动公开基本目录清单等，促进街道政务公开工作提质增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仿宋_GB2312" w:hAnsi="仿宋_GB2312" w:eastAsia="仿宋_GB2312" w:cs="仿宋_GB2312"/>
          <w:i w:val="0"/>
          <w:iCs w:val="0"/>
          <w:caps w:val="0"/>
          <w:color w:val="000000"/>
          <w:spacing w:val="0"/>
          <w:kern w:val="2"/>
          <w:sz w:val="32"/>
          <w:szCs w:val="32"/>
          <w:shd w:val="clear" w:fill="FFFFFF"/>
          <w:lang w:val="en-US" w:eastAsia="zh-CN" w:bidi="ar-SA"/>
        </w:rPr>
      </w:pPr>
      <w:r>
        <w:rPr>
          <w:rFonts w:hint="default" w:ascii="仿宋_GB2312" w:hAnsi="仿宋_GB2312" w:eastAsia="仿宋_GB2312" w:cs="仿宋_GB2312"/>
          <w:i w:val="0"/>
          <w:iCs w:val="0"/>
          <w:caps w:val="0"/>
          <w:color w:val="000000"/>
          <w:spacing w:val="0"/>
          <w:kern w:val="2"/>
          <w:sz w:val="32"/>
          <w:szCs w:val="32"/>
          <w:shd w:val="clear" w:fill="FFFFFF"/>
          <w:lang w:val="en-US" w:eastAsia="zh-CN" w:bidi="ar-SA"/>
        </w:rPr>
        <w:t>4.本行政机关年度政务公开工作创新情况。一是切实提升基层工作人员综合服务素质和能力，增强企业群众办事体验感和便利度</w:t>
      </w:r>
      <w:r>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仿宋_GB2312" w:hAnsi="仿宋_GB2312" w:eastAsia="仿宋_GB2312" w:cs="仿宋_GB2312"/>
          <w:i w:val="0"/>
          <w:iCs w:val="0"/>
          <w:caps w:val="0"/>
          <w:color w:val="000000"/>
          <w:spacing w:val="0"/>
          <w:kern w:val="2"/>
          <w:sz w:val="32"/>
          <w:szCs w:val="32"/>
          <w:shd w:val="clear" w:fill="FFFFFF"/>
          <w:lang w:val="en-US" w:eastAsia="zh-CN" w:bidi="ar-SA"/>
        </w:rPr>
      </w:pPr>
      <w:r>
        <w:rPr>
          <w:rFonts w:hint="default" w:ascii="仿宋_GB2312" w:hAnsi="仿宋_GB2312" w:eastAsia="仿宋_GB2312" w:cs="仿宋_GB2312"/>
          <w:i w:val="0"/>
          <w:iCs w:val="0"/>
          <w:caps w:val="0"/>
          <w:color w:val="000000"/>
          <w:spacing w:val="0"/>
          <w:kern w:val="2"/>
          <w:sz w:val="32"/>
          <w:szCs w:val="32"/>
          <w:shd w:val="clear" w:fill="FFFFFF"/>
          <w:lang w:val="en-US" w:eastAsia="zh-CN" w:bidi="ar-SA"/>
        </w:rPr>
        <w:t>5.本行政机关政府信息公开工作年度报告数据统计需要说明的事项。本报告中所列数据的统计时限为2023年1月1日至2023年12月31日。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仿宋_GB2312" w:hAnsi="仿宋_GB2312" w:eastAsia="仿宋_GB2312" w:cs="仿宋_GB2312"/>
          <w:i w:val="0"/>
          <w:iCs w:val="0"/>
          <w:caps w:val="0"/>
          <w:color w:val="000000"/>
          <w:spacing w:val="0"/>
          <w:kern w:val="2"/>
          <w:sz w:val="32"/>
          <w:szCs w:val="32"/>
          <w:shd w:val="clear" w:fill="FFFFFF"/>
          <w:lang w:val="en-US" w:eastAsia="zh-CN" w:bidi="ar-SA"/>
        </w:rPr>
      </w:pPr>
      <w:r>
        <w:rPr>
          <w:rFonts w:hint="default" w:ascii="仿宋_GB2312" w:hAnsi="仿宋_GB2312" w:eastAsia="仿宋_GB2312" w:cs="仿宋_GB2312"/>
          <w:i w:val="0"/>
          <w:iCs w:val="0"/>
          <w:caps w:val="0"/>
          <w:color w:val="000000"/>
          <w:spacing w:val="0"/>
          <w:kern w:val="2"/>
          <w:sz w:val="32"/>
          <w:szCs w:val="32"/>
          <w:shd w:val="clear" w:fill="FFFFFF"/>
          <w:lang w:val="en-US" w:eastAsia="zh-CN" w:bidi="ar-SA"/>
        </w:rPr>
        <w:t>6.本行政机关认为需要报告的其他事项。无。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pPr>
      <w:r>
        <w:rPr>
          <w:rFonts w:hint="default" w:ascii="仿宋_GB2312" w:hAnsi="仿宋_GB2312" w:eastAsia="仿宋_GB2312" w:cs="仿宋_GB2312"/>
          <w:i w:val="0"/>
          <w:iCs w:val="0"/>
          <w:caps w:val="0"/>
          <w:color w:val="000000"/>
          <w:spacing w:val="0"/>
          <w:kern w:val="2"/>
          <w:sz w:val="32"/>
          <w:szCs w:val="32"/>
          <w:shd w:val="clear" w:fill="FFFFFF"/>
          <w:lang w:val="en-US" w:eastAsia="zh-CN" w:bidi="ar-SA"/>
        </w:rPr>
        <w:t>7.其他有关文件专门要求通过政府信息公开工作年度报告予以报告的事项。无。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t xml:space="preserve">如对年度政府信息公开工作年度报告有疑问，请与枣庄高新区兴仁街道办事处联系（联系电话:0632- 8695998，电子邮箱:xingrenjiedao@126.com ）。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CD27068-B305-49E2-80A6-83D783BBA3C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D6127E7A-0229-4341-A661-DCBB8C52BFED}"/>
  </w:font>
  <w:font w:name="仿宋_GB2312">
    <w:panose1 w:val="02010609030101010101"/>
    <w:charset w:val="86"/>
    <w:family w:val="auto"/>
    <w:pitch w:val="default"/>
    <w:sig w:usb0="00000001" w:usb1="080E0000" w:usb2="00000000" w:usb3="00000000" w:csb0="00040000" w:csb1="00000000"/>
    <w:embedRegular r:id="rId3" w:fontKey="{8BE76E4D-8A36-4428-A9B9-058425294B31}"/>
  </w:font>
  <w:font w:name="楷体_GB2312">
    <w:panose1 w:val="02010609030101010101"/>
    <w:charset w:val="86"/>
    <w:family w:val="auto"/>
    <w:pitch w:val="default"/>
    <w:sig w:usb0="00000001" w:usb1="080E0000" w:usb2="00000000" w:usb3="00000000" w:csb0="00040000" w:csb1="00000000"/>
    <w:embedRegular r:id="rId4" w:fontKey="{639E8DAF-1894-4BAD-AD22-DEC5FDE32FCC}"/>
  </w:font>
  <w:font w:name="Ã¥Â¾Â®Ã¨Â½Â¯Ã©â€ºâ€¦Ã©Â»â€˜">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yYTMxOGM4ZmZlZGNhOWYyMTgxZDZkMzVkY2ZiNjMifQ=="/>
  </w:docVars>
  <w:rsids>
    <w:rsidRoot w:val="00000000"/>
    <w:rsid w:val="0B8B34D2"/>
    <w:rsid w:val="1B680943"/>
    <w:rsid w:val="28FB28A1"/>
    <w:rsid w:val="2B6F5C53"/>
    <w:rsid w:val="3B7235DF"/>
    <w:rsid w:val="3F5F0ADC"/>
    <w:rsid w:val="47602729"/>
    <w:rsid w:val="509D6459"/>
    <w:rsid w:val="57EC6773"/>
    <w:rsid w:val="5FF75CFA"/>
    <w:rsid w:val="639A0067"/>
    <w:rsid w:val="67935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2175</Words>
  <Characters>2304</Characters>
  <Lines>0</Lines>
  <Paragraphs>0</Paragraphs>
  <TotalTime>26</TotalTime>
  <ScaleCrop>false</ScaleCrop>
  <LinksUpToDate>false</LinksUpToDate>
  <CharactersWithSpaces>2308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2024-01-19T06:43:00Z</dcterms:created>
  <dc:creator>Admin</dc:creator>
  <cp:lastModifiedBy>热河</cp:lastModifiedBy>
  <dcterms:modified xsi:type="dcterms:W3CDTF">2024-01-26T07:52:57Z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5CA18B3F5100428991D9B6BE8626F001_12</vt:lpwstr>
  </property>
</Properties>
</file>