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eastAsia="方正小标宋简体"/>
          <w:kern w:val="0"/>
          <w:sz w:val="44"/>
          <w:szCs w:val="44"/>
        </w:rPr>
      </w:pPr>
      <w:r>
        <w:rPr>
          <w:rFonts w:hint="eastAsia" w:eastAsia="方正小标宋简体"/>
          <w:kern w:val="0"/>
          <w:sz w:val="44"/>
          <w:szCs w:val="44"/>
        </w:rPr>
        <w:t>枣庄高新区财政金融局202</w:t>
      </w:r>
      <w:r>
        <w:rPr>
          <w:rFonts w:hint="eastAsia" w:eastAsia="方正小标宋简体"/>
          <w:kern w:val="0"/>
          <w:sz w:val="44"/>
          <w:szCs w:val="44"/>
          <w:lang w:val="en-US" w:eastAsia="zh-CN"/>
        </w:rPr>
        <w:t>3</w:t>
      </w:r>
      <w:r>
        <w:rPr>
          <w:rFonts w:hint="eastAsia" w:eastAsia="方正小标宋简体"/>
          <w:kern w:val="0"/>
          <w:sz w:val="44"/>
          <w:szCs w:val="44"/>
        </w:rPr>
        <w:t>年</w:t>
      </w:r>
      <w:r>
        <w:rPr>
          <w:rFonts w:eastAsia="方正小标宋简体"/>
          <w:kern w:val="0"/>
          <w:sz w:val="44"/>
          <w:szCs w:val="44"/>
        </w:rPr>
        <w:t>政府信息</w:t>
      </w:r>
    </w:p>
    <w:p>
      <w:pPr>
        <w:widowControl/>
        <w:spacing w:line="580" w:lineRule="exact"/>
        <w:jc w:val="center"/>
        <w:rPr>
          <w:rFonts w:eastAsia="方正小标宋简体"/>
          <w:kern w:val="0"/>
          <w:sz w:val="44"/>
          <w:szCs w:val="44"/>
        </w:rPr>
      </w:pPr>
      <w:r>
        <w:rPr>
          <w:rFonts w:eastAsia="方正小标宋简体"/>
          <w:kern w:val="0"/>
          <w:sz w:val="44"/>
          <w:szCs w:val="44"/>
        </w:rPr>
        <w:t>公开工作年度报告</w:t>
      </w:r>
    </w:p>
    <w:p>
      <w:pPr>
        <w:pStyle w:val="4"/>
        <w:spacing w:after="0" w:line="600" w:lineRule="exact"/>
        <w:ind w:left="0" w:leftChars="0" w:firstLine="640"/>
        <w:rPr>
          <w:rFonts w:ascii="仿宋_GB2312" w:hAnsi="宋体" w:eastAsia="仿宋_GB2312" w:cs="仿宋_GB2312"/>
          <w:color w:val="000000"/>
          <w:sz w:val="32"/>
          <w:szCs w:val="32"/>
          <w:shd w:val="clear" w:color="auto" w:fill="FFFFFF"/>
        </w:rPr>
      </w:pPr>
    </w:p>
    <w:p>
      <w:pPr>
        <w:pStyle w:val="4"/>
        <w:spacing w:after="0" w:line="600" w:lineRule="exact"/>
        <w:ind w:left="0" w:leftChars="0" w:firstLine="640"/>
        <w:rPr>
          <w:rFonts w:ascii="仿宋_GB2312" w:hAnsi="宋体" w:eastAsia="仿宋_GB2312" w:cs="仿宋_GB2312"/>
          <w:color w:val="000000"/>
          <w:sz w:val="32"/>
          <w:szCs w:val="32"/>
          <w:shd w:val="clear" w:color="auto" w:fill="FFFFFF"/>
        </w:rPr>
      </w:pPr>
      <w:r>
        <w:rPr>
          <w:rFonts w:hint="eastAsia" w:ascii="仿宋_GB2312" w:hAnsi="宋体" w:eastAsia="仿宋_GB2312" w:cs="仿宋_GB2312"/>
          <w:color w:val="000000"/>
          <w:sz w:val="32"/>
          <w:szCs w:val="32"/>
          <w:shd w:val="clear" w:color="auto" w:fill="FFFFFF"/>
        </w:rPr>
        <w:t>本报告根据《中华人民共和国政府信息公开条例》《中华人民共和国政府信息公开工作年度报告格式》的通知（国办公开办函〔2021〕30号）和省、市有关工作要求，由枣庄高新区</w:t>
      </w:r>
      <w:r>
        <w:rPr>
          <w:rFonts w:hint="eastAsia" w:ascii="仿宋_GB2312" w:hAnsi="宋体" w:eastAsia="仿宋_GB2312" w:cs="仿宋_GB2312"/>
          <w:color w:val="000000"/>
          <w:sz w:val="32"/>
          <w:szCs w:val="32"/>
          <w:shd w:val="clear" w:color="auto" w:fill="FFFFFF"/>
          <w:lang w:eastAsia="zh-CN"/>
        </w:rPr>
        <w:t>财政金融局</w:t>
      </w:r>
      <w:r>
        <w:rPr>
          <w:rFonts w:hint="eastAsia" w:ascii="仿宋_GB2312" w:hAnsi="宋体" w:eastAsia="仿宋_GB2312" w:cs="仿宋_GB2312"/>
          <w:color w:val="000000"/>
          <w:sz w:val="32"/>
          <w:szCs w:val="32"/>
          <w:shd w:val="clear" w:color="auto" w:fill="FFFFFF"/>
        </w:rPr>
        <w:t>编制。全文包括202</w:t>
      </w:r>
      <w:r>
        <w:rPr>
          <w:rFonts w:hint="eastAsia" w:ascii="仿宋_GB2312" w:hAnsi="宋体" w:eastAsia="仿宋_GB2312" w:cs="仿宋_GB2312"/>
          <w:color w:val="000000"/>
          <w:sz w:val="32"/>
          <w:szCs w:val="32"/>
          <w:shd w:val="clear" w:color="auto" w:fill="FFFFFF"/>
          <w:lang w:val="en-US" w:eastAsia="zh-CN"/>
        </w:rPr>
        <w:t>3</w:t>
      </w:r>
      <w:r>
        <w:rPr>
          <w:rFonts w:hint="eastAsia" w:ascii="仿宋_GB2312" w:hAnsi="宋体" w:eastAsia="仿宋_GB2312" w:cs="仿宋_GB2312"/>
          <w:color w:val="000000"/>
          <w:sz w:val="32"/>
          <w:szCs w:val="32"/>
          <w:shd w:val="clear" w:color="auto" w:fill="FFFFFF"/>
        </w:rPr>
        <w:t>年政府信息公开工作要点落实情况，主动公开政府信息情况，回应解读情况，依申请公开情况，政府信息公开行政复议、行政诉讼和投诉情况，存在的主要问题及改进措施等。本报告所列数据的统计时限自202</w:t>
      </w:r>
      <w:r>
        <w:rPr>
          <w:rFonts w:hint="eastAsia" w:ascii="仿宋_GB2312" w:hAnsi="宋体" w:eastAsia="仿宋_GB2312" w:cs="仿宋_GB2312"/>
          <w:color w:val="000000"/>
          <w:sz w:val="32"/>
          <w:szCs w:val="32"/>
          <w:shd w:val="clear" w:color="auto" w:fill="FFFFFF"/>
          <w:lang w:val="en-US" w:eastAsia="zh-CN"/>
        </w:rPr>
        <w:t>3</w:t>
      </w:r>
      <w:r>
        <w:rPr>
          <w:rFonts w:hint="eastAsia" w:ascii="仿宋_GB2312" w:hAnsi="宋体" w:eastAsia="仿宋_GB2312" w:cs="仿宋_GB2312"/>
          <w:color w:val="000000"/>
          <w:sz w:val="32"/>
          <w:szCs w:val="32"/>
          <w:shd w:val="clear" w:color="auto" w:fill="FFFFFF"/>
        </w:rPr>
        <w:t>年1月1日至202</w:t>
      </w:r>
      <w:r>
        <w:rPr>
          <w:rFonts w:hint="eastAsia" w:ascii="仿宋_GB2312" w:hAnsi="宋体" w:eastAsia="仿宋_GB2312" w:cs="仿宋_GB2312"/>
          <w:color w:val="000000"/>
          <w:sz w:val="32"/>
          <w:szCs w:val="32"/>
          <w:shd w:val="clear" w:color="auto" w:fill="FFFFFF"/>
          <w:lang w:val="en-US" w:eastAsia="zh-CN"/>
        </w:rPr>
        <w:t>3</w:t>
      </w:r>
      <w:r>
        <w:rPr>
          <w:rFonts w:hint="eastAsia" w:ascii="仿宋_GB2312" w:hAnsi="宋体" w:eastAsia="仿宋_GB2312" w:cs="仿宋_GB2312"/>
          <w:color w:val="000000"/>
          <w:sz w:val="32"/>
          <w:szCs w:val="32"/>
          <w:shd w:val="clear" w:color="auto" w:fill="FFFFFF"/>
        </w:rPr>
        <w:t>年12月31日。本报告全文将在枣庄高新区官网（http://www.zzctp.gov.cn/）“政府信息公开年度报告”专栏公布。如对本报告有疑问，请与枣庄高新区财政金融局综合管理科联系（联系电话:0632-</w:t>
      </w:r>
      <w:r>
        <w:rPr>
          <w:rFonts w:hint="eastAsia" w:ascii="仿宋_GB2312" w:hAnsi="宋体" w:eastAsia="仿宋_GB2312" w:cs="仿宋_GB2312"/>
          <w:color w:val="000000"/>
          <w:sz w:val="32"/>
          <w:szCs w:val="32"/>
          <w:shd w:val="clear" w:color="auto" w:fill="FFFFFF"/>
          <w:lang w:val="en-US" w:eastAsia="zh-CN"/>
        </w:rPr>
        <w:t>8693279</w:t>
      </w:r>
      <w:r>
        <w:rPr>
          <w:rFonts w:hint="eastAsia" w:ascii="仿宋_GB2312" w:hAnsi="宋体" w:eastAsia="仿宋_GB2312" w:cs="仿宋_GB2312"/>
          <w:color w:val="000000"/>
          <w:sz w:val="32"/>
          <w:szCs w:val="32"/>
          <w:shd w:val="clear" w:color="auto" w:fill="FFFFFF"/>
        </w:rPr>
        <w:t>，电子邮箱:gxqczjrj@163.com）。</w:t>
      </w:r>
    </w:p>
    <w:p>
      <w:pPr>
        <w:pStyle w:val="4"/>
        <w:spacing w:after="0" w:line="600" w:lineRule="exact"/>
        <w:ind w:left="0" w:leftChars="0" w:firstLine="640"/>
        <w:rPr>
          <w:rFonts w:ascii="黑体" w:hAnsi="黑体" w:eastAsia="黑体" w:cs="黑体"/>
          <w:sz w:val="32"/>
          <w:szCs w:val="32"/>
        </w:rPr>
      </w:pPr>
      <w:r>
        <w:rPr>
          <w:rFonts w:hint="eastAsia" w:ascii="黑体" w:hAnsi="黑体" w:eastAsia="黑体" w:cs="黑体"/>
          <w:sz w:val="32"/>
          <w:szCs w:val="32"/>
        </w:rPr>
        <w:t>一、总体情况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枣庄高新区财政金融局坚持以习近平新时代中国特色社会主义思想为指导，全面贯彻落实党的二十大精神，不断健全完善政务公开工作制度，持续加大公开力度、拓展公开深度、提高公开精度，助力全区各项工作高质量发展。现将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年度政府信息公开工作情况报告如下：</w:t>
      </w:r>
    </w:p>
    <w:p>
      <w:pPr>
        <w:spacing w:line="600" w:lineRule="exact"/>
        <w:ind w:firstLine="640" w:firstLineChars="200"/>
        <w:rPr>
          <w:rFonts w:ascii="楷体" w:hAnsi="楷体" w:eastAsia="楷体" w:cs="楷体"/>
          <w:b w:val="0"/>
          <w:bCs w:val="0"/>
          <w:sz w:val="32"/>
          <w:szCs w:val="32"/>
        </w:rPr>
      </w:pPr>
      <w:r>
        <w:rPr>
          <w:rFonts w:hint="eastAsia" w:ascii="楷体" w:hAnsi="楷体" w:eastAsia="楷体" w:cs="楷体"/>
          <w:b w:val="0"/>
          <w:bCs w:val="0"/>
          <w:sz w:val="32"/>
          <w:szCs w:val="32"/>
        </w:rPr>
        <w:t>（一）主动公开</w:t>
      </w:r>
      <w:r>
        <w:rPr>
          <w:rFonts w:hint="eastAsia" w:ascii="楷体" w:hAnsi="楷体" w:eastAsia="楷体" w:cs="楷体"/>
          <w:b w:val="0"/>
          <w:bCs w:val="0"/>
          <w:sz w:val="32"/>
          <w:szCs w:val="32"/>
          <w:lang w:eastAsia="zh-CN"/>
        </w:rPr>
        <w:t>工作</w:t>
      </w:r>
      <w:r>
        <w:rPr>
          <w:rFonts w:hint="eastAsia" w:ascii="楷体" w:hAnsi="楷体" w:eastAsia="楷体" w:cs="楷体"/>
          <w:b w:val="0"/>
          <w:bCs w:val="0"/>
          <w:sz w:val="32"/>
          <w:szCs w:val="32"/>
        </w:rPr>
        <w:t>情况</w:t>
      </w:r>
    </w:p>
    <w:p>
      <w:pPr>
        <w:spacing w:line="600" w:lineRule="exact"/>
        <w:ind w:firstLine="640" w:firstLineChars="200"/>
        <w:rPr>
          <w:rFonts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202</w:t>
      </w:r>
      <w:r>
        <w:rPr>
          <w:rFonts w:hint="eastAsia" w:ascii="仿宋_GB2312" w:hAnsi="宋体" w:eastAsia="仿宋_GB2312" w:cs="仿宋_GB2312"/>
          <w:i w:val="0"/>
          <w:iCs w:val="0"/>
          <w:caps w:val="0"/>
          <w:color w:val="000000"/>
          <w:spacing w:val="0"/>
          <w:sz w:val="32"/>
          <w:szCs w:val="32"/>
          <w:shd w:val="clear" w:fill="FFFFFF"/>
          <w:lang w:val="en-US" w:eastAsia="zh-CN"/>
        </w:rPr>
        <w:t>3</w:t>
      </w:r>
      <w:r>
        <w:rPr>
          <w:rFonts w:hint="eastAsia" w:ascii="仿宋_GB2312" w:hAnsi="宋体" w:eastAsia="仿宋_GB2312" w:cs="仿宋_GB2312"/>
          <w:i w:val="0"/>
          <w:iCs w:val="0"/>
          <w:caps w:val="0"/>
          <w:color w:val="000000"/>
          <w:spacing w:val="0"/>
          <w:sz w:val="32"/>
          <w:szCs w:val="32"/>
          <w:shd w:val="clear" w:fill="FFFFFF"/>
        </w:rPr>
        <w:t>年，我局通过公开网站稿件</w:t>
      </w:r>
      <w:r>
        <w:rPr>
          <w:rFonts w:hint="eastAsia" w:ascii="仿宋_GB2312" w:hAnsi="宋体" w:eastAsia="仿宋_GB2312" w:cs="仿宋_GB2312"/>
          <w:i w:val="0"/>
          <w:iCs w:val="0"/>
          <w:caps w:val="0"/>
          <w:color w:val="000000"/>
          <w:spacing w:val="0"/>
          <w:sz w:val="32"/>
          <w:szCs w:val="32"/>
          <w:shd w:val="clear" w:fill="FFFFFF"/>
          <w:lang w:val="en-US" w:eastAsia="zh-CN"/>
        </w:rPr>
        <w:t>263</w:t>
      </w:r>
      <w:r>
        <w:rPr>
          <w:rFonts w:hint="eastAsia" w:ascii="仿宋_GB2312" w:hAnsi="宋体" w:eastAsia="仿宋_GB2312" w:cs="仿宋_GB2312"/>
          <w:i w:val="0"/>
          <w:iCs w:val="0"/>
          <w:caps w:val="0"/>
          <w:color w:val="000000"/>
          <w:spacing w:val="0"/>
          <w:sz w:val="32"/>
          <w:szCs w:val="32"/>
          <w:shd w:val="clear" w:fill="FFFFFF"/>
        </w:rPr>
        <w:t>篇，</w:t>
      </w:r>
      <w:r>
        <w:rPr>
          <w:rFonts w:ascii="仿宋_GB2312" w:hAnsi="宋体" w:eastAsia="仿宋_GB2312" w:cs="仿宋_GB2312"/>
          <w:i w:val="0"/>
          <w:iCs w:val="0"/>
          <w:caps w:val="0"/>
          <w:color w:val="000000"/>
          <w:spacing w:val="0"/>
          <w:sz w:val="32"/>
          <w:szCs w:val="32"/>
          <w:shd w:val="clear" w:fill="FFFFFF"/>
        </w:rPr>
        <w:t>会议公开方面，202</w:t>
      </w:r>
      <w:r>
        <w:rPr>
          <w:rFonts w:hint="eastAsia" w:ascii="仿宋_GB2312" w:hAnsi="宋体" w:eastAsia="仿宋_GB2312" w:cs="仿宋_GB2312"/>
          <w:i w:val="0"/>
          <w:iCs w:val="0"/>
          <w:caps w:val="0"/>
          <w:color w:val="000000"/>
          <w:spacing w:val="0"/>
          <w:sz w:val="32"/>
          <w:szCs w:val="32"/>
          <w:shd w:val="clear" w:fill="FFFFFF"/>
          <w:lang w:val="en-US" w:eastAsia="zh-CN"/>
        </w:rPr>
        <w:t>3</w:t>
      </w:r>
      <w:r>
        <w:rPr>
          <w:rFonts w:ascii="仿宋_GB2312" w:hAnsi="宋体" w:eastAsia="仿宋_GB2312" w:cs="仿宋_GB2312"/>
          <w:i w:val="0"/>
          <w:iCs w:val="0"/>
          <w:caps w:val="0"/>
          <w:color w:val="000000"/>
          <w:spacing w:val="0"/>
          <w:sz w:val="32"/>
          <w:szCs w:val="32"/>
          <w:shd w:val="clear" w:fill="FFFFFF"/>
        </w:rPr>
        <w:t>年共召开</w:t>
      </w:r>
      <w:r>
        <w:rPr>
          <w:rFonts w:hint="eastAsia" w:ascii="仿宋_GB2312" w:hAnsi="宋体" w:eastAsia="仿宋_GB2312" w:cs="仿宋_GB2312"/>
          <w:i w:val="0"/>
          <w:iCs w:val="0"/>
          <w:caps w:val="0"/>
          <w:color w:val="000000"/>
          <w:spacing w:val="0"/>
          <w:sz w:val="32"/>
          <w:szCs w:val="32"/>
          <w:shd w:val="clear" w:fill="FFFFFF"/>
          <w:lang w:val="en-US" w:eastAsia="zh-CN"/>
        </w:rPr>
        <w:t>12</w:t>
      </w:r>
      <w:r>
        <w:rPr>
          <w:rFonts w:ascii="仿宋_GB2312" w:hAnsi="宋体" w:eastAsia="仿宋_GB2312" w:cs="仿宋_GB2312"/>
          <w:i w:val="0"/>
          <w:iCs w:val="0"/>
          <w:caps w:val="0"/>
          <w:color w:val="000000"/>
          <w:spacing w:val="0"/>
          <w:sz w:val="32"/>
          <w:szCs w:val="32"/>
          <w:shd w:val="clear" w:fill="FFFFFF"/>
        </w:rPr>
        <w:t>次办公会议，其中通过高新区官方网站公开</w:t>
      </w:r>
      <w:r>
        <w:rPr>
          <w:rFonts w:hint="eastAsia" w:ascii="仿宋_GB2312" w:hAnsi="宋体" w:eastAsia="仿宋_GB2312" w:cs="仿宋_GB2312"/>
          <w:i w:val="0"/>
          <w:iCs w:val="0"/>
          <w:caps w:val="0"/>
          <w:color w:val="000000"/>
          <w:spacing w:val="0"/>
          <w:sz w:val="32"/>
          <w:szCs w:val="32"/>
          <w:shd w:val="clear" w:fill="FFFFFF"/>
          <w:lang w:val="en-US" w:eastAsia="zh-CN"/>
        </w:rPr>
        <w:t>12</w:t>
      </w:r>
      <w:r>
        <w:rPr>
          <w:rFonts w:ascii="仿宋_GB2312" w:hAnsi="宋体" w:eastAsia="仿宋_GB2312" w:cs="仿宋_GB2312"/>
          <w:i w:val="0"/>
          <w:iCs w:val="0"/>
          <w:caps w:val="0"/>
          <w:color w:val="000000"/>
          <w:spacing w:val="0"/>
          <w:sz w:val="32"/>
          <w:szCs w:val="32"/>
          <w:shd w:val="clear" w:fill="FFFFFF"/>
        </w:rPr>
        <w:t>次。</w:t>
      </w:r>
    </w:p>
    <w:p>
      <w:pPr>
        <w:pStyle w:val="4"/>
        <w:spacing w:after="0" w:line="600" w:lineRule="exact"/>
        <w:ind w:left="0" w:leftChars="0" w:firstLine="0" w:firstLineChars="0"/>
        <w:jc w:val="center"/>
      </w:pPr>
      <w:r>
        <w:rPr>
          <w:rFonts w:hint="eastAsia" w:ascii="仿宋_GB2312" w:hAnsi="仿宋_GB2312" w:eastAsia="仿宋_GB2312" w:cs="仿宋_GB2312"/>
          <w:sz w:val="32"/>
          <w:szCs w:val="32"/>
        </w:rPr>
        <w:t>政府信息主动公开稿件数量对比图</w:t>
      </w:r>
    </w:p>
    <w:p>
      <w:pPr>
        <w:spacing w:line="600" w:lineRule="exact"/>
        <w:ind w:firstLine="643" w:firstLineChars="200"/>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drawing>
          <wp:anchor distT="0" distB="0" distL="114300" distR="114300" simplePos="0" relativeHeight="251659264" behindDoc="1" locked="0" layoutInCell="1" allowOverlap="1">
            <wp:simplePos x="0" y="0"/>
            <wp:positionH relativeFrom="column">
              <wp:posOffset>292100</wp:posOffset>
            </wp:positionH>
            <wp:positionV relativeFrom="paragraph">
              <wp:posOffset>114300</wp:posOffset>
            </wp:positionV>
            <wp:extent cx="4838700" cy="2952115"/>
            <wp:effectExtent l="0" t="0" r="0" b="635"/>
            <wp:wrapNone/>
            <wp:docPr id="1" name="图片 1" descr="cedf9f1ad194995372876c75180d9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df9f1ad194995372876c75180d9f6"/>
                    <pic:cNvPicPr>
                      <a:picLocks noChangeAspect="1"/>
                    </pic:cNvPicPr>
                  </pic:nvPicPr>
                  <pic:blipFill>
                    <a:blip r:embed="rId4"/>
                    <a:stretch>
                      <a:fillRect/>
                    </a:stretch>
                  </pic:blipFill>
                  <pic:spPr>
                    <a:xfrm>
                      <a:off x="0" y="0"/>
                      <a:ext cx="4838700" cy="2952115"/>
                    </a:xfrm>
                    <a:prstGeom prst="rect">
                      <a:avLst/>
                    </a:prstGeom>
                  </pic:spPr>
                </pic:pic>
              </a:graphicData>
            </a:graphic>
          </wp:anchor>
        </w:drawing>
      </w:r>
    </w:p>
    <w:p>
      <w:pPr>
        <w:spacing w:line="600" w:lineRule="exact"/>
        <w:ind w:firstLine="643" w:firstLineChars="200"/>
        <w:rPr>
          <w:rFonts w:ascii="楷体" w:hAnsi="楷体" w:eastAsia="楷体" w:cs="楷体"/>
          <w:b/>
          <w:bCs/>
          <w:sz w:val="32"/>
          <w:szCs w:val="32"/>
        </w:rPr>
      </w:pPr>
    </w:p>
    <w:p>
      <w:pPr>
        <w:spacing w:line="600" w:lineRule="exact"/>
        <w:ind w:firstLine="643" w:firstLineChars="200"/>
        <w:rPr>
          <w:rFonts w:hint="eastAsia" w:ascii="楷体" w:hAnsi="楷体" w:eastAsia="楷体" w:cs="楷体"/>
          <w:b/>
          <w:bCs/>
          <w:sz w:val="32"/>
          <w:szCs w:val="32"/>
          <w:lang w:eastAsia="zh-CN"/>
        </w:rPr>
      </w:pPr>
    </w:p>
    <w:p>
      <w:pPr>
        <w:spacing w:line="600" w:lineRule="exact"/>
        <w:ind w:firstLine="643" w:firstLineChars="200"/>
        <w:rPr>
          <w:rFonts w:ascii="楷体" w:hAnsi="楷体" w:eastAsia="楷体" w:cs="楷体"/>
          <w:b/>
          <w:bCs/>
          <w:sz w:val="32"/>
          <w:szCs w:val="32"/>
        </w:rPr>
      </w:pPr>
    </w:p>
    <w:p>
      <w:pPr>
        <w:pStyle w:val="4"/>
        <w:ind w:firstLine="643"/>
        <w:rPr>
          <w:rFonts w:ascii="楷体" w:hAnsi="楷体" w:eastAsia="楷体" w:cs="楷体"/>
          <w:b/>
          <w:bCs/>
          <w:sz w:val="32"/>
          <w:szCs w:val="32"/>
        </w:rPr>
      </w:pPr>
    </w:p>
    <w:p/>
    <w:p>
      <w:pPr>
        <w:spacing w:line="600" w:lineRule="exact"/>
        <w:ind w:firstLine="643" w:firstLineChars="200"/>
        <w:rPr>
          <w:rFonts w:ascii="楷体" w:hAnsi="楷体" w:eastAsia="楷体" w:cs="楷体"/>
          <w:b/>
          <w:bCs/>
          <w:sz w:val="32"/>
          <w:szCs w:val="32"/>
        </w:rPr>
      </w:pPr>
    </w:p>
    <w:p>
      <w:pPr>
        <w:spacing w:line="600" w:lineRule="exact"/>
        <w:ind w:firstLine="643" w:firstLineChars="200"/>
        <w:rPr>
          <w:rFonts w:ascii="楷体" w:hAnsi="楷体" w:eastAsia="楷体" w:cs="楷体"/>
          <w:b/>
          <w:bCs/>
          <w:sz w:val="32"/>
          <w:szCs w:val="32"/>
        </w:rPr>
      </w:pPr>
    </w:p>
    <w:p>
      <w:pPr>
        <w:spacing w:line="600" w:lineRule="exact"/>
        <w:rPr>
          <w:rFonts w:ascii="楷体" w:hAnsi="楷体" w:eastAsia="楷体" w:cs="楷体"/>
          <w:b/>
          <w:bCs/>
          <w:sz w:val="32"/>
          <w:szCs w:val="32"/>
        </w:rPr>
      </w:pP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 xml:space="preserve">（二）依申请公开政府信息工作情况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年，我局共收到依申请公开件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件，全面做好依申请公开政府信息工作。</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（三）政府信息管理情况</w:t>
      </w:r>
    </w:p>
    <w:p>
      <w:pPr>
        <w:pStyle w:val="3"/>
        <w:widowControl/>
        <w:shd w:val="clear" w:color="auto" w:fill="FFFFFF"/>
        <w:spacing w:line="576" w:lineRule="atLeast"/>
        <w:ind w:firstLine="634"/>
        <w:rPr>
          <w:rFonts w:ascii="微软雅黑" w:hAnsi="微软雅黑" w:eastAsia="微软雅黑" w:cs="微软雅黑"/>
          <w:color w:val="000000"/>
          <w:szCs w:val="24"/>
        </w:rPr>
      </w:pPr>
      <w:r>
        <w:rPr>
          <w:rFonts w:ascii="仿宋_GB2312" w:hAnsi="微软雅黑" w:eastAsia="仿宋_GB2312" w:cs="仿宋_GB2312"/>
          <w:color w:val="000000"/>
          <w:sz w:val="32"/>
          <w:szCs w:val="32"/>
          <w:shd w:val="clear" w:color="auto" w:fill="FFFFFF"/>
        </w:rPr>
        <w:t>一是完善信息公开管理流程。对政府信息公开工作实行全流程管理，明确经办人员、科室负责人、分管领导分别审核的把关机制，重要信息须局主要负责人把关审签，最大限度保证公开内容经得起审查。</w:t>
      </w:r>
    </w:p>
    <w:p>
      <w:pPr>
        <w:pStyle w:val="3"/>
        <w:widowControl/>
        <w:shd w:val="clear" w:color="auto" w:fill="FFFFFF"/>
        <w:spacing w:line="576" w:lineRule="atLeast"/>
        <w:ind w:firstLine="634"/>
        <w:rPr>
          <w:rFonts w:ascii="微软雅黑" w:hAnsi="微软雅黑" w:eastAsia="微软雅黑" w:cs="微软雅黑"/>
          <w:color w:val="000000"/>
          <w:szCs w:val="24"/>
        </w:rPr>
      </w:pPr>
      <w:r>
        <w:rPr>
          <w:rFonts w:hint="eastAsia" w:ascii="仿宋_GB2312" w:hAnsi="微软雅黑" w:eastAsia="仿宋_GB2312" w:cs="仿宋_GB2312"/>
          <w:color w:val="000000"/>
          <w:sz w:val="32"/>
          <w:szCs w:val="32"/>
          <w:shd w:val="clear" w:color="auto" w:fill="FFFFFF"/>
        </w:rPr>
        <w:t>二是严格做好公开信息保密审查。认真落实《中华人民共和国保守国家秘密法》《中华人民共和国政府信息公开条例》等规定，按照“先审查、后公开”的原则，严格做好政</w:t>
      </w:r>
      <w:bookmarkStart w:id="10" w:name="_GoBack"/>
      <w:r>
        <w:rPr>
          <w:rFonts w:hint="eastAsia" w:ascii="楷体" w:hAnsi="楷体" w:eastAsia="楷体" w:cs="楷体"/>
          <w:b/>
          <w:bCs/>
          <w:sz w:val="32"/>
          <w:szCs w:val="32"/>
          <w:lang w:eastAsia="zh-CN"/>
        </w:rPr>
        <w:drawing>
          <wp:anchor distT="0" distB="0" distL="114300" distR="114300" simplePos="0" relativeHeight="251660288" behindDoc="1" locked="0" layoutInCell="1" allowOverlap="1">
            <wp:simplePos x="0" y="0"/>
            <wp:positionH relativeFrom="column">
              <wp:posOffset>68580</wp:posOffset>
            </wp:positionH>
            <wp:positionV relativeFrom="paragraph">
              <wp:posOffset>783590</wp:posOffset>
            </wp:positionV>
            <wp:extent cx="5263515" cy="4090035"/>
            <wp:effectExtent l="0" t="0" r="13335" b="5715"/>
            <wp:wrapNone/>
            <wp:docPr id="2" name="图片 2" descr="8124787bdce41cc52c2b2f94f27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24787bdce41cc52c2b2f94f278204"/>
                    <pic:cNvPicPr>
                      <a:picLocks noChangeAspect="1"/>
                    </pic:cNvPicPr>
                  </pic:nvPicPr>
                  <pic:blipFill>
                    <a:blip r:embed="rId5"/>
                    <a:stretch>
                      <a:fillRect/>
                    </a:stretch>
                  </pic:blipFill>
                  <pic:spPr>
                    <a:xfrm>
                      <a:off x="0" y="0"/>
                      <a:ext cx="5263515" cy="4090035"/>
                    </a:xfrm>
                    <a:prstGeom prst="rect">
                      <a:avLst/>
                    </a:prstGeom>
                  </pic:spPr>
                </pic:pic>
              </a:graphicData>
            </a:graphic>
          </wp:anchor>
        </w:drawing>
      </w:r>
      <w:bookmarkEnd w:id="10"/>
      <w:r>
        <w:rPr>
          <w:rFonts w:hint="eastAsia" w:ascii="仿宋_GB2312" w:hAnsi="微软雅黑" w:eastAsia="仿宋_GB2312" w:cs="仿宋_GB2312"/>
          <w:color w:val="000000"/>
          <w:sz w:val="32"/>
          <w:szCs w:val="32"/>
          <w:shd w:val="clear" w:color="auto" w:fill="FFFFFF"/>
        </w:rPr>
        <w:t>府信息公开保密审查，确保公开信息不涉密、涉密信息不公开。</w:t>
      </w:r>
    </w:p>
    <w:p>
      <w:pPr>
        <w:spacing w:line="600" w:lineRule="exact"/>
        <w:ind w:firstLine="643" w:firstLineChars="200"/>
        <w:rPr>
          <w:rFonts w:hint="eastAsia" w:ascii="楷体" w:hAnsi="楷体" w:eastAsia="楷体" w:cs="楷体"/>
          <w:b/>
          <w:bCs/>
          <w:sz w:val="32"/>
          <w:szCs w:val="32"/>
        </w:rPr>
      </w:pPr>
    </w:p>
    <w:p>
      <w:pPr>
        <w:spacing w:line="600" w:lineRule="exact"/>
        <w:ind w:firstLine="643" w:firstLineChars="200"/>
        <w:rPr>
          <w:rFonts w:hint="eastAsia" w:ascii="楷体" w:hAnsi="楷体" w:eastAsia="楷体" w:cs="楷体"/>
          <w:b/>
          <w:bCs/>
          <w:sz w:val="32"/>
          <w:szCs w:val="32"/>
        </w:rPr>
      </w:pPr>
    </w:p>
    <w:p>
      <w:pPr>
        <w:spacing w:line="600" w:lineRule="exact"/>
        <w:ind w:firstLine="643" w:firstLineChars="200"/>
        <w:rPr>
          <w:rFonts w:hint="eastAsia" w:ascii="楷体" w:hAnsi="楷体" w:eastAsia="楷体" w:cs="楷体"/>
          <w:b/>
          <w:bCs/>
          <w:sz w:val="32"/>
          <w:szCs w:val="32"/>
          <w:lang w:eastAsia="zh-CN"/>
        </w:rPr>
      </w:pPr>
    </w:p>
    <w:p>
      <w:pPr>
        <w:spacing w:line="600" w:lineRule="exact"/>
        <w:ind w:firstLine="643" w:firstLineChars="200"/>
        <w:rPr>
          <w:rFonts w:hint="eastAsia" w:ascii="楷体" w:hAnsi="楷体" w:eastAsia="楷体" w:cs="楷体"/>
          <w:b/>
          <w:bCs/>
          <w:sz w:val="32"/>
          <w:szCs w:val="32"/>
        </w:rPr>
      </w:pPr>
    </w:p>
    <w:p>
      <w:pPr>
        <w:spacing w:line="600" w:lineRule="exact"/>
        <w:ind w:firstLine="643" w:firstLineChars="200"/>
        <w:rPr>
          <w:rFonts w:hint="eastAsia" w:ascii="楷体" w:hAnsi="楷体" w:eastAsia="楷体" w:cs="楷体"/>
          <w:b/>
          <w:bCs/>
          <w:sz w:val="32"/>
          <w:szCs w:val="32"/>
        </w:rPr>
      </w:pPr>
    </w:p>
    <w:p>
      <w:pPr>
        <w:spacing w:line="600" w:lineRule="exact"/>
        <w:ind w:firstLine="643" w:firstLineChars="200"/>
        <w:rPr>
          <w:rFonts w:hint="eastAsia" w:ascii="楷体" w:hAnsi="楷体" w:eastAsia="楷体" w:cs="楷体"/>
          <w:b/>
          <w:bCs/>
          <w:sz w:val="32"/>
          <w:szCs w:val="32"/>
        </w:rPr>
      </w:pPr>
    </w:p>
    <w:p>
      <w:pPr>
        <w:spacing w:line="600" w:lineRule="exact"/>
        <w:ind w:firstLine="643" w:firstLineChars="200"/>
        <w:rPr>
          <w:rFonts w:hint="eastAsia" w:ascii="楷体" w:hAnsi="楷体" w:eastAsia="楷体" w:cs="楷体"/>
          <w:b/>
          <w:bCs/>
          <w:sz w:val="32"/>
          <w:szCs w:val="32"/>
        </w:rPr>
      </w:pPr>
    </w:p>
    <w:p>
      <w:pPr>
        <w:spacing w:line="600" w:lineRule="exact"/>
        <w:ind w:firstLine="643" w:firstLineChars="200"/>
        <w:rPr>
          <w:rFonts w:hint="eastAsia" w:ascii="楷体" w:hAnsi="楷体" w:eastAsia="楷体" w:cs="楷体"/>
          <w:b/>
          <w:bCs/>
          <w:sz w:val="32"/>
          <w:szCs w:val="32"/>
        </w:rPr>
      </w:pPr>
    </w:p>
    <w:p>
      <w:pPr>
        <w:spacing w:line="600" w:lineRule="exact"/>
        <w:ind w:firstLine="643" w:firstLineChars="200"/>
        <w:rPr>
          <w:rFonts w:hint="eastAsia" w:ascii="楷体" w:hAnsi="楷体" w:eastAsia="楷体" w:cs="楷体"/>
          <w:b/>
          <w:bCs/>
          <w:sz w:val="32"/>
          <w:szCs w:val="32"/>
        </w:rPr>
      </w:pPr>
    </w:p>
    <w:p>
      <w:pPr>
        <w:spacing w:line="600" w:lineRule="exact"/>
        <w:ind w:firstLine="643" w:firstLineChars="200"/>
        <w:rPr>
          <w:rFonts w:hint="eastAsia" w:ascii="楷体" w:hAnsi="楷体" w:eastAsia="楷体" w:cs="楷体"/>
          <w:b/>
          <w:bCs/>
          <w:sz w:val="32"/>
          <w:szCs w:val="32"/>
        </w:rPr>
      </w:pPr>
    </w:p>
    <w:p>
      <w:pPr>
        <w:spacing w:line="600" w:lineRule="exact"/>
        <w:ind w:firstLine="643" w:firstLineChars="200"/>
        <w:rPr>
          <w:rFonts w:hint="eastAsia" w:ascii="楷体" w:hAnsi="楷体" w:eastAsia="楷体" w:cs="楷体"/>
          <w:b/>
          <w:bCs/>
          <w:sz w:val="32"/>
          <w:szCs w:val="32"/>
        </w:rPr>
      </w:pP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（四）平台建设情况</w:t>
      </w:r>
    </w:p>
    <w:p>
      <w:pPr>
        <w:spacing w:line="60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一是严格按照政府信息公开目录，依托</w:t>
      </w:r>
      <w:r>
        <w:rPr>
          <w:rFonts w:ascii="仿宋_GB2312" w:hAnsi="宋体" w:eastAsia="仿宋_GB2312" w:cs="仿宋_GB2312"/>
          <w:color w:val="000000"/>
          <w:sz w:val="31"/>
          <w:szCs w:val="31"/>
          <w:shd w:val="clear" w:color="auto" w:fill="FFFFFF"/>
        </w:rPr>
        <w:t>高新区管委会门户网站</w:t>
      </w:r>
      <w:r>
        <w:rPr>
          <w:rFonts w:hint="eastAsia" w:ascii="仿宋_GB2312" w:hAnsi="仿宋_GB2312" w:eastAsia="仿宋_GB2312" w:cs="仿宋_GB2312"/>
          <w:color w:val="000000"/>
          <w:sz w:val="32"/>
          <w:szCs w:val="32"/>
          <w:shd w:val="clear" w:color="auto" w:fill="FFFFFF"/>
        </w:rPr>
        <w:t>，</w:t>
      </w:r>
      <w:r>
        <w:rPr>
          <w:rFonts w:ascii="仿宋_GB2312" w:hAnsi="宋体" w:eastAsia="仿宋_GB2312" w:cs="仿宋_GB2312"/>
          <w:color w:val="000000"/>
          <w:sz w:val="31"/>
          <w:szCs w:val="31"/>
          <w:shd w:val="clear" w:color="auto" w:fill="FFFFFF"/>
        </w:rPr>
        <w:t>在财政金融局各子栏目分门别类、准确、规范地发布主动公开各类财政相关信息</w:t>
      </w:r>
      <w:r>
        <w:rPr>
          <w:rFonts w:hint="eastAsia" w:ascii="仿宋_GB2312" w:hAnsi="宋体" w:eastAsia="仿宋_GB2312" w:cs="仿宋_GB2312"/>
          <w:color w:val="000000"/>
          <w:sz w:val="31"/>
          <w:szCs w:val="31"/>
          <w:shd w:val="clear" w:color="auto" w:fill="FFFFFF"/>
        </w:rPr>
        <w:t>，</w:t>
      </w:r>
      <w:r>
        <w:rPr>
          <w:rFonts w:hint="eastAsia" w:ascii="仿宋_GB2312" w:hAnsi="仿宋_GB2312" w:eastAsia="仿宋_GB2312" w:cs="仿宋_GB2312"/>
          <w:color w:val="000000"/>
          <w:sz w:val="32"/>
          <w:szCs w:val="32"/>
          <w:shd w:val="clear" w:color="auto" w:fill="FFFFFF"/>
        </w:rPr>
        <w:t>确保信息公开时效。二是依托“山东省政府采购信息公开平台”和“枣庄市公共资源交易网”，督促各预算单位主动公开政府采购需求公开、采购公告、结果公告、合同公开、验收公开等有关信息，提高政府采购透明度。</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（五）监督保障情况</w:t>
      </w:r>
    </w:p>
    <w:p>
      <w:pPr>
        <w:pStyle w:val="3"/>
        <w:widowControl/>
        <w:shd w:val="clear" w:color="auto" w:fill="FFFFFF"/>
        <w:spacing w:line="576" w:lineRule="atLeast"/>
        <w:ind w:firstLine="619"/>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1、完善工作机构。为配合做好政务信息公开工作的考核、社会评议和责任追究工作，积极督促各科室按照信息公开目录，及时准确提供本单位应公开的信息。</w:t>
      </w:r>
    </w:p>
    <w:p>
      <w:pPr>
        <w:pStyle w:val="3"/>
        <w:widowControl/>
        <w:shd w:val="clear" w:color="auto" w:fill="FFFFFF"/>
        <w:spacing w:line="576" w:lineRule="atLeast"/>
        <w:ind w:firstLine="619"/>
        <w:rPr>
          <w:rFonts w:ascii="仿宋_GB2312" w:hAnsi="仿宋_GB2312" w:eastAsia="仿宋_GB2312" w:cs="仿宋_GB2312"/>
          <w:color w:val="000000"/>
          <w:kern w:val="2"/>
          <w:sz w:val="32"/>
          <w:szCs w:val="32"/>
          <w:shd w:val="clear" w:color="auto" w:fill="FFFFFF"/>
        </w:rPr>
      </w:pPr>
      <w:r>
        <w:rPr>
          <w:rFonts w:hint="eastAsia" w:ascii="仿宋_GB2312" w:hAnsi="仿宋_GB2312" w:eastAsia="仿宋_GB2312" w:cs="仿宋_GB2312"/>
          <w:color w:val="000000"/>
          <w:kern w:val="2"/>
          <w:sz w:val="32"/>
          <w:szCs w:val="32"/>
          <w:shd w:val="clear" w:color="auto" w:fill="FFFFFF"/>
        </w:rPr>
        <w:t>2、强化工作督查。为提高依法公开水平，我局在推进政府信息公开工作的过程中，严格依法管理，强化督促检查,积极贯彻实施信息督查检查制度,广泛接受服务对象的监督，使政府信息公开工作制度化和规范化。</w:t>
      </w:r>
    </w:p>
    <w:p>
      <w:pPr>
        <w:pStyle w:val="4"/>
        <w:spacing w:after="0" w:line="600" w:lineRule="exact"/>
        <w:ind w:left="0" w:leftChars="0" w:firstLine="64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5"/>
        <w:tblW w:w="8824" w:type="dxa"/>
        <w:tblInd w:w="0" w:type="dxa"/>
        <w:tblLayout w:type="fixed"/>
        <w:tblCellMar>
          <w:top w:w="0" w:type="dxa"/>
          <w:left w:w="108" w:type="dxa"/>
          <w:bottom w:w="0" w:type="dxa"/>
          <w:right w:w="108" w:type="dxa"/>
        </w:tblCellMar>
      </w:tblPr>
      <w:tblGrid>
        <w:gridCol w:w="3207"/>
        <w:gridCol w:w="1400"/>
        <w:gridCol w:w="1449"/>
        <w:gridCol w:w="2768"/>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jc w:val="center"/>
              <w:rPr>
                <w:rFonts w:ascii="黑体" w:hAnsi="黑体" w:eastAsia="黑体" w:cs="宋体"/>
                <w:color w:val="000000"/>
                <w:kern w:val="0"/>
                <w:szCs w:val="21"/>
              </w:rPr>
            </w:pPr>
            <w:r>
              <w:rPr>
                <w:rFonts w:hint="eastAsia" w:ascii="黑体" w:hAnsi="黑体" w:eastAsia="黑体" w:cs="黑体"/>
                <w:sz w:val="24"/>
                <w:szCs w:val="24"/>
              </w:rPr>
              <w:t>第二十条第（一）项</w:t>
            </w:r>
          </w:p>
        </w:tc>
      </w:tr>
      <w:tr>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rPr>
              <w:t>信息内容</w:t>
            </w:r>
          </w:p>
        </w:tc>
        <w:tc>
          <w:tcPr>
            <w:tcW w:w="1400" w:type="dxa"/>
            <w:tcBorders>
              <w:top w:val="nil"/>
              <w:left w:val="nil"/>
              <w:bottom w:val="single" w:color="auto" w:sz="8" w:space="0"/>
              <w:right w:val="single" w:color="auto" w:sz="8"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本年制</w:t>
            </w:r>
          </w:p>
          <w:p>
            <w:pPr>
              <w:jc w:val="center"/>
              <w:rPr>
                <w:rFonts w:ascii="仿宋_GB2312" w:hAnsi="宋体" w:eastAsia="仿宋_GB2312" w:cs="宋体"/>
                <w:color w:val="000000"/>
                <w:kern w:val="0"/>
                <w:szCs w:val="21"/>
              </w:rPr>
            </w:pPr>
            <w:r>
              <w:rPr>
                <w:rFonts w:hint="eastAsia" w:ascii="黑体" w:hAnsi="黑体" w:eastAsia="黑体" w:cs="黑体"/>
                <w:sz w:val="24"/>
                <w:szCs w:val="24"/>
              </w:rPr>
              <w:t>发件数</w:t>
            </w:r>
          </w:p>
        </w:tc>
        <w:tc>
          <w:tcPr>
            <w:tcW w:w="1449" w:type="dxa"/>
            <w:tcBorders>
              <w:top w:val="nil"/>
              <w:left w:val="nil"/>
              <w:bottom w:val="single" w:color="auto" w:sz="8" w:space="0"/>
              <w:right w:val="single" w:color="auto" w:sz="8" w:space="0"/>
            </w:tcBorders>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本年废</w:t>
            </w:r>
          </w:p>
          <w:p>
            <w:pPr>
              <w:jc w:val="center"/>
              <w:rPr>
                <w:rFonts w:ascii="仿宋_GB2312" w:hAnsi="宋体" w:eastAsia="仿宋_GB2312" w:cs="宋体"/>
                <w:color w:val="000000"/>
                <w:kern w:val="0"/>
                <w:szCs w:val="21"/>
              </w:rPr>
            </w:pPr>
            <w:r>
              <w:rPr>
                <w:rFonts w:hint="eastAsia" w:ascii="黑体" w:hAnsi="黑体" w:eastAsia="黑体" w:cs="黑体"/>
                <w:sz w:val="24"/>
                <w:szCs w:val="24"/>
              </w:rPr>
              <w:t>止件数</w:t>
            </w:r>
          </w:p>
        </w:tc>
        <w:tc>
          <w:tcPr>
            <w:tcW w:w="2768" w:type="dxa"/>
            <w:tcBorders>
              <w:top w:val="nil"/>
              <w:left w:val="nil"/>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rPr>
              <w:t>现行有效件数</w:t>
            </w:r>
          </w:p>
        </w:tc>
      </w:tr>
      <w:tr>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lang w:val="en-US" w:eastAsia="zh-CN"/>
              </w:rPr>
              <w:t>规章</w:t>
            </w:r>
          </w:p>
        </w:tc>
        <w:tc>
          <w:tcPr>
            <w:tcW w:w="1400" w:type="dxa"/>
            <w:tcBorders>
              <w:top w:val="nil"/>
              <w:left w:val="nil"/>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仿宋_GB2312" w:hAnsi="仿宋_GB2312" w:eastAsia="仿宋_GB2312" w:cs="仿宋_GB2312"/>
                <w:sz w:val="24"/>
                <w:szCs w:val="24"/>
                <w:lang w:val="en-US" w:eastAsia="zh-CN"/>
              </w:rPr>
              <w:t>0</w:t>
            </w:r>
          </w:p>
        </w:tc>
        <w:tc>
          <w:tcPr>
            <w:tcW w:w="1449" w:type="dxa"/>
            <w:tcBorders>
              <w:top w:val="nil"/>
              <w:left w:val="nil"/>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仿宋_GB2312" w:hAnsi="仿宋_GB2312" w:eastAsia="仿宋_GB2312" w:cs="仿宋_GB2312"/>
                <w:sz w:val="24"/>
                <w:szCs w:val="24"/>
                <w:lang w:val="en-US" w:eastAsia="zh-CN"/>
              </w:rPr>
              <w:t>0</w:t>
            </w:r>
          </w:p>
        </w:tc>
        <w:tc>
          <w:tcPr>
            <w:tcW w:w="2768" w:type="dxa"/>
            <w:tcBorders>
              <w:top w:val="nil"/>
              <w:left w:val="nil"/>
              <w:bottom w:val="single" w:color="auto" w:sz="8" w:space="0"/>
              <w:right w:val="single" w:color="auto" w:sz="8" w:space="0"/>
            </w:tcBorders>
            <w:vAlign w:val="center"/>
          </w:tcPr>
          <w:p>
            <w:pPr>
              <w:jc w:val="center"/>
              <w:rPr>
                <w:rFonts w:ascii="仿宋_GB2312" w:hAnsi="Calibri" w:eastAsia="仿宋_GB2312" w:cs="Calibri"/>
                <w:color w:val="000000"/>
                <w:kern w:val="0"/>
                <w:szCs w:val="21"/>
              </w:rPr>
            </w:pPr>
            <w:r>
              <w:rPr>
                <w:rFonts w:hint="eastAsia" w:ascii="仿宋_GB2312" w:hAnsi="仿宋_GB2312" w:eastAsia="仿宋_GB2312" w:cs="仿宋_GB2312"/>
                <w:sz w:val="24"/>
                <w:szCs w:val="24"/>
                <w:lang w:val="en-US" w:eastAsia="zh-CN"/>
              </w:rPr>
              <w:t>0</w:t>
            </w:r>
          </w:p>
        </w:tc>
      </w:tr>
      <w:tr>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rPr>
              <w:t>行政规范性文件</w:t>
            </w:r>
          </w:p>
        </w:tc>
        <w:tc>
          <w:tcPr>
            <w:tcW w:w="1400" w:type="dxa"/>
            <w:tcBorders>
              <w:top w:val="nil"/>
              <w:left w:val="nil"/>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仿宋_GB2312" w:hAnsi="仿宋_GB2312" w:eastAsia="仿宋_GB2312" w:cs="仿宋_GB2312"/>
                <w:sz w:val="24"/>
                <w:szCs w:val="24"/>
                <w:lang w:val="en-US" w:eastAsia="zh-CN"/>
              </w:rPr>
              <w:t>0</w:t>
            </w:r>
          </w:p>
        </w:tc>
        <w:tc>
          <w:tcPr>
            <w:tcW w:w="1449" w:type="dxa"/>
            <w:tcBorders>
              <w:top w:val="nil"/>
              <w:left w:val="nil"/>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仿宋_GB2312" w:hAnsi="仿宋_GB2312" w:eastAsia="仿宋_GB2312" w:cs="仿宋_GB2312"/>
                <w:sz w:val="24"/>
                <w:szCs w:val="24"/>
                <w:lang w:val="en-US" w:eastAsia="zh-CN"/>
              </w:rPr>
              <w:t>0</w:t>
            </w:r>
          </w:p>
        </w:tc>
        <w:tc>
          <w:tcPr>
            <w:tcW w:w="2768" w:type="dxa"/>
            <w:tcBorders>
              <w:top w:val="nil"/>
              <w:left w:val="nil"/>
              <w:bottom w:val="single" w:color="auto" w:sz="8" w:space="0"/>
              <w:right w:val="single" w:color="auto" w:sz="8" w:space="0"/>
            </w:tcBorders>
            <w:vAlign w:val="center"/>
          </w:tcPr>
          <w:p>
            <w:pPr>
              <w:jc w:val="center"/>
              <w:rPr>
                <w:rFonts w:ascii="仿宋_GB2312" w:hAnsi="Calibri" w:eastAsia="仿宋_GB2312" w:cs="Calibri"/>
                <w:color w:val="000000"/>
                <w:kern w:val="0"/>
                <w:szCs w:val="21"/>
              </w:rPr>
            </w:pPr>
            <w:r>
              <w:rPr>
                <w:rFonts w:hint="eastAsia" w:ascii="仿宋_GB2312" w:hAnsi="仿宋_GB2312" w:eastAsia="仿宋_GB2312" w:cs="仿宋_GB2312"/>
                <w:sz w:val="24"/>
                <w:szCs w:val="24"/>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jc w:val="center"/>
              <w:rPr>
                <w:rFonts w:ascii="黑体" w:hAnsi="黑体" w:eastAsia="黑体" w:cs="宋体"/>
                <w:color w:val="000000"/>
                <w:kern w:val="0"/>
                <w:szCs w:val="21"/>
              </w:rPr>
            </w:pPr>
            <w:r>
              <w:rPr>
                <w:rFonts w:hint="eastAsia" w:ascii="黑体" w:hAnsi="黑体" w:eastAsia="黑体" w:cs="黑体"/>
                <w:sz w:val="24"/>
                <w:szCs w:val="24"/>
              </w:rPr>
              <w:t>第二十条第（五）项</w:t>
            </w:r>
          </w:p>
        </w:tc>
      </w:tr>
      <w:tr>
        <w:tblPrEx>
          <w:tblCellMar>
            <w:top w:w="0" w:type="dxa"/>
            <w:left w:w="108" w:type="dxa"/>
            <w:bottom w:w="0" w:type="dxa"/>
            <w:right w:w="108" w:type="dxa"/>
          </w:tblCellMar>
        </w:tblPrEx>
        <w:trPr>
          <w:trHeight w:val="582" w:hRule="atLeast"/>
        </w:trPr>
        <w:tc>
          <w:tcPr>
            <w:tcW w:w="3207" w:type="dxa"/>
            <w:tcBorders>
              <w:top w:val="nil"/>
              <w:left w:val="single" w:color="auto" w:sz="8" w:space="0"/>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rPr>
              <w:t>信息内容</w:t>
            </w:r>
          </w:p>
        </w:tc>
        <w:tc>
          <w:tcPr>
            <w:tcW w:w="5617" w:type="dxa"/>
            <w:gridSpan w:val="3"/>
            <w:tcBorders>
              <w:top w:val="single" w:color="auto" w:sz="8" w:space="0"/>
              <w:left w:val="nil"/>
              <w:bottom w:val="single" w:color="auto" w:sz="8" w:space="0"/>
              <w:right w:val="single" w:color="000000"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rPr>
              <w:t>本年处理决定数量</w:t>
            </w:r>
          </w:p>
        </w:tc>
      </w:tr>
      <w:tr>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rPr>
              <w:t>行政许可</w:t>
            </w:r>
          </w:p>
        </w:tc>
        <w:tc>
          <w:tcPr>
            <w:tcW w:w="5617" w:type="dxa"/>
            <w:gridSpan w:val="3"/>
            <w:tcBorders>
              <w:top w:val="single" w:color="auto" w:sz="8" w:space="0"/>
              <w:left w:val="nil"/>
              <w:bottom w:val="single" w:color="auto" w:sz="8" w:space="0"/>
              <w:right w:val="single" w:color="000000" w:sz="8" w:space="0"/>
            </w:tcBorders>
            <w:vAlign w:val="center"/>
          </w:tcPr>
          <w:p>
            <w:pPr>
              <w:jc w:val="center"/>
              <w:rPr>
                <w:rFonts w:ascii="仿宋_GB2312" w:hAnsi="Calibri" w:eastAsia="仿宋_GB2312" w:cs="Calibri"/>
                <w:color w:val="000000"/>
                <w:kern w:val="0"/>
                <w:szCs w:val="21"/>
              </w:rPr>
            </w:pPr>
            <w:r>
              <w:rPr>
                <w:rFonts w:hint="eastAsia" w:ascii="仿宋_GB2312" w:hAnsi="仿宋_GB2312" w:eastAsia="仿宋_GB2312" w:cs="仿宋_GB2312"/>
                <w:sz w:val="24"/>
                <w:szCs w:val="24"/>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jc w:val="center"/>
              <w:rPr>
                <w:rFonts w:ascii="黑体" w:hAnsi="黑体" w:eastAsia="黑体" w:cs="宋体"/>
                <w:color w:val="000000"/>
                <w:kern w:val="0"/>
                <w:szCs w:val="21"/>
              </w:rPr>
            </w:pPr>
            <w:r>
              <w:rPr>
                <w:rFonts w:hint="eastAsia" w:ascii="黑体" w:hAnsi="黑体" w:eastAsia="黑体" w:cs="黑体"/>
                <w:sz w:val="24"/>
                <w:szCs w:val="24"/>
              </w:rPr>
              <w:t>第二十条第（六）项</w:t>
            </w:r>
          </w:p>
        </w:tc>
      </w:tr>
      <w:tr>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rPr>
              <w:t>信息内容</w:t>
            </w:r>
          </w:p>
        </w:tc>
        <w:tc>
          <w:tcPr>
            <w:tcW w:w="5617" w:type="dxa"/>
            <w:gridSpan w:val="3"/>
            <w:tcBorders>
              <w:top w:val="single" w:color="auto" w:sz="8" w:space="0"/>
              <w:left w:val="nil"/>
              <w:bottom w:val="single" w:color="auto" w:sz="8" w:space="0"/>
              <w:right w:val="single" w:color="000000"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rPr>
              <w:t>本年处理决定数量</w:t>
            </w:r>
          </w:p>
        </w:tc>
      </w:tr>
      <w:tr>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rPr>
              <w:t>行政处罚</w:t>
            </w:r>
          </w:p>
        </w:tc>
        <w:tc>
          <w:tcPr>
            <w:tcW w:w="5617" w:type="dxa"/>
            <w:gridSpan w:val="3"/>
            <w:tcBorders>
              <w:top w:val="single" w:color="auto" w:sz="8" w:space="0"/>
              <w:left w:val="nil"/>
              <w:bottom w:val="single" w:color="auto" w:sz="8" w:space="0"/>
              <w:right w:val="single" w:color="000000" w:sz="8" w:space="0"/>
            </w:tcBorders>
            <w:vAlign w:val="center"/>
          </w:tcPr>
          <w:p>
            <w:pPr>
              <w:jc w:val="center"/>
              <w:rPr>
                <w:rFonts w:ascii="仿宋_GB2312" w:hAnsi="宋体" w:eastAsia="仿宋_GB2312" w:cs="宋体"/>
                <w:color w:val="000000"/>
                <w:kern w:val="0"/>
                <w:szCs w:val="21"/>
              </w:rPr>
            </w:pPr>
            <w:r>
              <w:rPr>
                <w:rFonts w:hint="eastAsia" w:ascii="仿宋_GB2312" w:hAnsi="仿宋_GB2312" w:eastAsia="仿宋_GB2312" w:cs="仿宋_GB2312"/>
                <w:sz w:val="24"/>
                <w:szCs w:val="24"/>
                <w:lang w:val="en-US" w:eastAsia="zh-CN"/>
              </w:rPr>
              <w:t>0</w:t>
            </w:r>
          </w:p>
        </w:tc>
      </w:tr>
      <w:tr>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rPr>
              <w:t>行政强制</w:t>
            </w:r>
          </w:p>
        </w:tc>
        <w:tc>
          <w:tcPr>
            <w:tcW w:w="5617" w:type="dxa"/>
            <w:gridSpan w:val="3"/>
            <w:tcBorders>
              <w:top w:val="single" w:color="auto" w:sz="8" w:space="0"/>
              <w:left w:val="nil"/>
              <w:bottom w:val="single" w:color="auto" w:sz="8" w:space="0"/>
              <w:right w:val="single" w:color="000000" w:sz="8" w:space="0"/>
            </w:tcBorders>
            <w:vAlign w:val="center"/>
          </w:tcPr>
          <w:p>
            <w:pPr>
              <w:jc w:val="center"/>
              <w:rPr>
                <w:rFonts w:ascii="仿宋_GB2312" w:hAnsi="宋体" w:eastAsia="仿宋_GB2312" w:cs="宋体"/>
                <w:color w:val="000000"/>
                <w:kern w:val="0"/>
                <w:szCs w:val="21"/>
              </w:rPr>
            </w:pPr>
            <w:r>
              <w:rPr>
                <w:rFonts w:hint="eastAsia" w:ascii="仿宋_GB2312" w:hAnsi="仿宋_GB2312" w:eastAsia="仿宋_GB2312" w:cs="仿宋_GB2312"/>
                <w:sz w:val="24"/>
                <w:szCs w:val="24"/>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jc w:val="center"/>
              <w:rPr>
                <w:rFonts w:ascii="黑体" w:hAnsi="黑体" w:eastAsia="黑体" w:cs="宋体"/>
                <w:color w:val="000000"/>
                <w:kern w:val="0"/>
                <w:szCs w:val="21"/>
              </w:rPr>
            </w:pPr>
            <w:r>
              <w:rPr>
                <w:rFonts w:hint="eastAsia" w:ascii="黑体" w:hAnsi="黑体" w:eastAsia="黑体" w:cs="黑体"/>
                <w:sz w:val="24"/>
                <w:szCs w:val="24"/>
              </w:rPr>
              <w:t>第二十条第（八）项</w:t>
            </w:r>
          </w:p>
        </w:tc>
      </w:tr>
      <w:tr>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rPr>
              <w:t>信息内容</w:t>
            </w:r>
          </w:p>
        </w:tc>
        <w:tc>
          <w:tcPr>
            <w:tcW w:w="5617" w:type="dxa"/>
            <w:gridSpan w:val="3"/>
            <w:tcBorders>
              <w:top w:val="single" w:color="auto" w:sz="8" w:space="0"/>
              <w:left w:val="nil"/>
              <w:bottom w:val="single" w:color="auto" w:sz="8" w:space="0"/>
              <w:right w:val="single" w:color="000000"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rPr>
              <w:t>本年收费金额（单位：万元）</w:t>
            </w:r>
          </w:p>
        </w:tc>
      </w:tr>
      <w:tr>
        <w:tblPrEx>
          <w:tblCellMar>
            <w:top w:w="0" w:type="dxa"/>
            <w:left w:w="108" w:type="dxa"/>
            <w:bottom w:w="0" w:type="dxa"/>
            <w:right w:w="108" w:type="dxa"/>
          </w:tblCellMar>
        </w:tblPrEx>
        <w:trPr>
          <w:trHeight w:val="567" w:hRule="atLeast"/>
        </w:trPr>
        <w:tc>
          <w:tcPr>
            <w:tcW w:w="3207" w:type="dxa"/>
            <w:tcBorders>
              <w:top w:val="nil"/>
              <w:left w:val="single" w:color="auto" w:sz="8" w:space="0"/>
              <w:bottom w:val="single" w:color="auto" w:sz="8" w:space="0"/>
              <w:right w:val="single" w:color="auto" w:sz="8" w:space="0"/>
            </w:tcBorders>
            <w:vAlign w:val="center"/>
          </w:tcPr>
          <w:p>
            <w:pPr>
              <w:jc w:val="center"/>
              <w:rPr>
                <w:rFonts w:ascii="仿宋_GB2312" w:hAnsi="宋体" w:eastAsia="仿宋_GB2312" w:cs="宋体"/>
                <w:color w:val="000000"/>
                <w:kern w:val="0"/>
                <w:szCs w:val="21"/>
              </w:rPr>
            </w:pPr>
            <w:r>
              <w:rPr>
                <w:rFonts w:hint="eastAsia" w:ascii="黑体" w:hAnsi="黑体" w:eastAsia="黑体" w:cs="黑体"/>
                <w:sz w:val="24"/>
                <w:szCs w:val="24"/>
              </w:rPr>
              <w:t>行政事业性收费</w:t>
            </w:r>
          </w:p>
        </w:tc>
        <w:tc>
          <w:tcPr>
            <w:tcW w:w="5617" w:type="dxa"/>
            <w:gridSpan w:val="3"/>
            <w:tcBorders>
              <w:top w:val="single" w:color="auto" w:sz="8" w:space="0"/>
              <w:left w:val="nil"/>
              <w:bottom w:val="single" w:color="auto" w:sz="8" w:space="0"/>
              <w:right w:val="single" w:color="000000" w:sz="8" w:space="0"/>
            </w:tcBorders>
            <w:vAlign w:val="center"/>
          </w:tcPr>
          <w:p>
            <w:pPr>
              <w:jc w:val="center"/>
              <w:rPr>
                <w:rFonts w:hint="default" w:ascii="仿宋_GB2312" w:hAnsi="Calibri" w:eastAsia="仿宋_GB2312" w:cs="Calibri"/>
                <w:color w:val="000000"/>
                <w:kern w:val="0"/>
                <w:szCs w:val="21"/>
                <w:lang w:val="en-US" w:eastAsia="zh-CN"/>
              </w:rPr>
            </w:pPr>
            <w:r>
              <w:rPr>
                <w:rFonts w:hint="eastAsia" w:ascii="仿宋_GB2312" w:hAnsi="仿宋_GB2312" w:eastAsia="仿宋_GB2312" w:cs="仿宋_GB2312"/>
                <w:sz w:val="24"/>
                <w:szCs w:val="24"/>
                <w:lang w:val="en-US" w:eastAsia="zh-CN"/>
              </w:rPr>
              <w:t>368</w:t>
            </w:r>
          </w:p>
        </w:tc>
      </w:tr>
    </w:tbl>
    <w:p>
      <w:pPr>
        <w:pStyle w:val="4"/>
        <w:spacing w:after="0" w:line="600" w:lineRule="exact"/>
        <w:ind w:left="0" w:leftChars="0" w:firstLine="0" w:firstLineChars="0"/>
        <w:rPr>
          <w:rFonts w:hint="eastAsia" w:ascii="黑体" w:hAnsi="黑体" w:eastAsia="黑体" w:cs="黑体"/>
          <w:sz w:val="32"/>
          <w:szCs w:val="32"/>
        </w:rPr>
      </w:pPr>
    </w:p>
    <w:p>
      <w:pPr>
        <w:pStyle w:val="4"/>
        <w:spacing w:after="0" w:line="600" w:lineRule="exact"/>
        <w:ind w:left="0" w:leftChars="0" w:firstLine="0" w:firstLineChars="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820" w:type="dxa"/>
            <w:gridSpan w:val="7"/>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tcMar>
              <w:left w:w="108" w:type="dxa"/>
              <w:right w:w="108" w:type="dxa"/>
            </w:tcMar>
            <w:vAlign w:val="center"/>
          </w:tcPr>
          <w:p>
            <w:pPr>
              <w:jc w:val="center"/>
              <w:rPr>
                <w:rFonts w:ascii="仿宋_GB2312" w:eastAsia="仿宋_GB2312"/>
                <w:szCs w:val="21"/>
              </w:rPr>
            </w:pPr>
          </w:p>
        </w:tc>
        <w:tc>
          <w:tcPr>
            <w:tcW w:w="829"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tcMar>
              <w:left w:w="108" w:type="dxa"/>
              <w:right w:w="108" w:type="dxa"/>
            </w:tcMar>
            <w:vAlign w:val="center"/>
          </w:tcPr>
          <w:p>
            <w:pPr>
              <w:jc w:val="center"/>
              <w:rPr>
                <w:rFonts w:ascii="仿宋_GB2312" w:eastAsia="仿宋_GB2312"/>
                <w:szCs w:val="21"/>
              </w:rPr>
            </w:pPr>
          </w:p>
        </w:tc>
        <w:tc>
          <w:tcPr>
            <w:tcW w:w="829" w:type="dxa"/>
            <w:vMerge w:val="continue"/>
            <w:tcMar>
              <w:left w:w="108" w:type="dxa"/>
              <w:right w:w="108" w:type="dxa"/>
            </w:tcMar>
            <w:vAlign w:val="center"/>
          </w:tcPr>
          <w:p>
            <w:pPr>
              <w:jc w:val="center"/>
              <w:rPr>
                <w:rFonts w:ascii="黑体" w:hAnsi="黑体" w:eastAsia="黑体"/>
                <w:szCs w:val="21"/>
              </w:rPr>
            </w:pPr>
          </w:p>
        </w:tc>
        <w:tc>
          <w:tcPr>
            <w:tcW w:w="567"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tcMar>
              <w:left w:w="108" w:type="dxa"/>
              <w:right w:w="108" w:type="dxa"/>
            </w:tcMar>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tcMar>
              <w:left w:w="108" w:type="dxa"/>
              <w:right w:w="108" w:type="dxa"/>
            </w:tcMar>
            <w:vAlign w:val="center"/>
          </w:tcPr>
          <w:p>
            <w:pPr>
              <w:widowControl/>
              <w:spacing w:after="180"/>
              <w:jc w:val="center"/>
              <w:rPr>
                <w:rFonts w:hint="eastAsia" w:ascii="仿宋_GB2312" w:eastAsia="仿宋_GB2312"/>
                <w:szCs w:val="21"/>
                <w:lang w:eastAsia="zh-CN"/>
              </w:rPr>
            </w:pPr>
            <w:r>
              <w:rPr>
                <w:rFonts w:hint="eastAsia" w:ascii="仿宋_GB2312" w:eastAsia="仿宋_GB2312"/>
                <w:szCs w:val="21"/>
                <w:lang w:val="en-US" w:eastAsia="zh-CN"/>
              </w:rPr>
              <w:t>1</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hint="eastAsia" w:ascii="仿宋_GB2312" w:eastAsia="仿宋_GB2312"/>
                <w:szCs w:val="21"/>
                <w:lang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jc w:val="left"/>
              <w:rPr>
                <w:rFonts w:ascii="黑体" w:hAnsi="黑体" w:eastAsia="黑体"/>
                <w:szCs w:val="21"/>
              </w:rPr>
            </w:pPr>
            <w:r>
              <w:rPr>
                <w:rFonts w:hint="eastAsia" w:ascii="黑体" w:hAnsi="黑体" w:eastAsia="黑体"/>
                <w:kern w:val="0"/>
                <w:szCs w:val="21"/>
              </w:rPr>
              <w:t>（三）不予公开</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jc w:val="left"/>
              <w:rPr>
                <w:rFonts w:ascii="黑体" w:hAnsi="黑体" w:eastAsia="黑体"/>
                <w:szCs w:val="21"/>
              </w:rPr>
            </w:pPr>
            <w:r>
              <w:rPr>
                <w:rFonts w:hint="eastAsia" w:ascii="黑体" w:hAnsi="黑体" w:eastAsia="黑体"/>
                <w:kern w:val="0"/>
                <w:szCs w:val="21"/>
              </w:rPr>
              <w:t>（四）无法提供</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tcMar>
              <w:left w:w="108" w:type="dxa"/>
              <w:right w:w="108" w:type="dxa"/>
            </w:tcMar>
            <w:vAlign w:val="center"/>
          </w:tcPr>
          <w:p>
            <w:pPr>
              <w:widowControl/>
              <w:spacing w:after="180" w:line="200" w:lineRule="exact"/>
              <w:jc w:val="center"/>
              <w:rPr>
                <w:rFonts w:hint="eastAsia" w:ascii="仿宋_GB2312" w:eastAsia="仿宋_GB2312"/>
                <w:szCs w:val="21"/>
                <w:lang w:eastAsia="zh-CN"/>
              </w:rPr>
            </w:pPr>
            <w:r>
              <w:rPr>
                <w:rFonts w:hint="eastAsia" w:ascii="仿宋_GB2312" w:eastAsia="仿宋_GB2312"/>
                <w:szCs w:val="21"/>
                <w:lang w:val="en-US" w:eastAsia="zh-CN"/>
              </w:rPr>
              <w:t>1</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hint="eastAsia" w:ascii="仿宋_GB2312" w:eastAsia="仿宋_GB2312"/>
                <w:szCs w:val="21"/>
                <w:lang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ind w:left="-107" w:leftChars="-51"/>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200" w:lineRule="exact"/>
              <w:ind w:left="-107" w:leftChars="-51"/>
              <w:jc w:val="left"/>
              <w:rPr>
                <w:rFonts w:ascii="黑体" w:hAnsi="黑体" w:eastAsia="黑体"/>
                <w:szCs w:val="21"/>
              </w:rPr>
            </w:pPr>
            <w:r>
              <w:rPr>
                <w:rFonts w:hint="eastAsia" w:ascii="黑体" w:hAnsi="黑体" w:eastAsia="黑体"/>
                <w:kern w:val="0"/>
                <w:szCs w:val="21"/>
              </w:rPr>
              <w:t>（五）不予处理</w:t>
            </w: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spacing w:line="200" w:lineRule="exact"/>
              <w:jc w:val="left"/>
              <w:rPr>
                <w:rFonts w:ascii="黑体" w:hAnsi="黑体" w:eastAsia="黑体"/>
                <w:szCs w:val="21"/>
              </w:rPr>
            </w:pPr>
          </w:p>
        </w:tc>
        <w:tc>
          <w:tcPr>
            <w:tcW w:w="2976" w:type="dxa"/>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restart"/>
            <w:tcMar>
              <w:left w:w="108" w:type="dxa"/>
              <w:right w:w="108" w:type="dxa"/>
            </w:tcMar>
            <w:vAlign w:val="center"/>
          </w:tcPr>
          <w:p>
            <w:pPr>
              <w:widowControl/>
              <w:spacing w:line="300" w:lineRule="exact"/>
              <w:jc w:val="left"/>
              <w:rPr>
                <w:rFonts w:ascii="黑体" w:hAnsi="黑体" w:eastAsia="黑体"/>
                <w:kern w:val="0"/>
                <w:szCs w:val="21"/>
              </w:rPr>
            </w:pPr>
            <w:r>
              <w:rPr>
                <w:rFonts w:hint="eastAsia" w:ascii="黑体" w:hAnsi="黑体" w:eastAsia="黑体"/>
                <w:kern w:val="0"/>
                <w:szCs w:val="21"/>
              </w:rPr>
              <w:t>（六）其他处理</w:t>
            </w:r>
          </w:p>
        </w:tc>
        <w:tc>
          <w:tcPr>
            <w:tcW w:w="2976" w:type="dxa"/>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1701" w:type="dxa"/>
            <w:vMerge w:val="continue"/>
            <w:tcMar>
              <w:left w:w="108" w:type="dxa"/>
              <w:right w:w="108" w:type="dxa"/>
            </w:tcMar>
            <w:vAlign w:val="center"/>
          </w:tcPr>
          <w:p>
            <w:pPr>
              <w:widowControl/>
              <w:spacing w:line="300" w:lineRule="exact"/>
              <w:rPr>
                <w:rFonts w:ascii="黑体" w:hAnsi="黑体" w:eastAsia="黑体"/>
                <w:kern w:val="0"/>
                <w:szCs w:val="21"/>
              </w:rPr>
            </w:pPr>
          </w:p>
        </w:tc>
        <w:tc>
          <w:tcPr>
            <w:tcW w:w="2976" w:type="dxa"/>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tcMar>
              <w:left w:w="108" w:type="dxa"/>
              <w:right w:w="108" w:type="dxa"/>
            </w:tcMar>
            <w:vAlign w:val="center"/>
          </w:tcPr>
          <w:p>
            <w:pPr>
              <w:rPr>
                <w:rFonts w:ascii="黑体" w:hAnsi="黑体" w:eastAsia="黑体"/>
                <w:szCs w:val="21"/>
              </w:rPr>
            </w:pPr>
          </w:p>
        </w:tc>
        <w:tc>
          <w:tcPr>
            <w:tcW w:w="4677" w:type="dxa"/>
            <w:gridSpan w:val="2"/>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tcMar>
              <w:left w:w="108" w:type="dxa"/>
              <w:right w:w="108" w:type="dxa"/>
            </w:tcMar>
            <w:vAlign w:val="center"/>
          </w:tcPr>
          <w:p>
            <w:pPr>
              <w:widowControl/>
              <w:spacing w:after="180" w:line="200" w:lineRule="exact"/>
              <w:jc w:val="center"/>
              <w:rPr>
                <w:rFonts w:hint="eastAsia" w:ascii="仿宋_GB2312" w:eastAsia="仿宋_GB2312"/>
                <w:szCs w:val="21"/>
                <w:lang w:eastAsia="zh-CN"/>
              </w:rPr>
            </w:pPr>
            <w:r>
              <w:rPr>
                <w:rFonts w:hint="eastAsia" w:ascii="仿宋_GB2312" w:eastAsia="仿宋_GB2312"/>
                <w:szCs w:val="21"/>
                <w:lang w:val="en-US" w:eastAsia="zh-CN"/>
              </w:rPr>
              <w:t>1</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hint="eastAsia" w:ascii="仿宋_GB2312" w:eastAsia="仿宋_GB2312"/>
                <w:szCs w:val="21"/>
                <w:lang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line="200" w:lineRule="exact"/>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3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708"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567"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c>
          <w:tcPr>
            <w:tcW w:w="851" w:type="dxa"/>
            <w:tcMar>
              <w:left w:w="108" w:type="dxa"/>
              <w:right w:w="108" w:type="dxa"/>
            </w:tcMar>
            <w:vAlign w:val="center"/>
          </w:tcPr>
          <w:p>
            <w:pPr>
              <w:widowControl/>
              <w:spacing w:after="180"/>
              <w:jc w:val="center"/>
              <w:rPr>
                <w:rFonts w:ascii="仿宋_GB2312" w:eastAsia="仿宋_GB2312"/>
                <w:szCs w:val="21"/>
              </w:rPr>
            </w:pPr>
            <w:r>
              <w:rPr>
                <w:rFonts w:hint="eastAsia" w:ascii="仿宋_GB2312" w:eastAsia="仿宋_GB2312"/>
                <w:szCs w:val="21"/>
              </w:rPr>
              <w:t>0</w:t>
            </w:r>
          </w:p>
        </w:tc>
      </w:tr>
    </w:tbl>
    <w:p>
      <w:pPr>
        <w:pStyle w:val="4"/>
        <w:spacing w:after="0" w:line="600" w:lineRule="exact"/>
        <w:ind w:left="0" w:leftChars="0" w:firstLine="0" w:firstLineChars="0"/>
        <w:rPr>
          <w:rFonts w:hint="eastAsia" w:ascii="黑体" w:hAnsi="黑体" w:eastAsia="黑体" w:cs="黑体"/>
          <w:sz w:val="32"/>
          <w:szCs w:val="32"/>
        </w:rPr>
      </w:pPr>
    </w:p>
    <w:p>
      <w:pPr>
        <w:pStyle w:val="4"/>
        <w:spacing w:after="0" w:line="600" w:lineRule="exact"/>
        <w:ind w:left="0" w:leftChars="0" w:firstLine="64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黑体" w:hAnsi="黑体" w:eastAsia="黑体"/>
                <w:kern w:val="0"/>
                <w:sz w:val="20"/>
              </w:rPr>
            </w:pPr>
            <w:r>
              <w:rPr>
                <w:rFonts w:ascii="黑体" w:hAnsi="黑体" w:eastAsia="黑体"/>
                <w:kern w:val="0"/>
                <w:sz w:val="20"/>
              </w:rPr>
              <w:t>结果</w:t>
            </w:r>
          </w:p>
          <w:p>
            <w:pPr>
              <w:widowControl/>
              <w:ind w:left="-149" w:leftChars="-71" w:right="-170"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黑体" w:hAnsi="黑体" w:eastAsia="黑体"/>
                <w:kern w:val="0"/>
                <w:sz w:val="20"/>
              </w:rPr>
            </w:pPr>
            <w:r>
              <w:rPr>
                <w:rFonts w:ascii="黑体" w:hAnsi="黑体" w:eastAsia="黑体"/>
                <w:kern w:val="0"/>
                <w:sz w:val="20"/>
              </w:rPr>
              <w:t>尚未</w:t>
            </w:r>
          </w:p>
          <w:p>
            <w:pPr>
              <w:widowControl/>
              <w:ind w:left="-118" w:leftChars="-56" w:right="-118"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黑体" w:hAnsi="黑体" w:eastAsia="黑体"/>
                <w:kern w:val="0"/>
                <w:sz w:val="20"/>
              </w:rPr>
            </w:pPr>
            <w:r>
              <w:rPr>
                <w:rFonts w:ascii="黑体" w:hAnsi="黑体" w:eastAsia="黑体"/>
                <w:kern w:val="0"/>
                <w:sz w:val="20"/>
              </w:rPr>
              <w:t>总</w:t>
            </w:r>
          </w:p>
          <w:p>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黑体" w:hAnsi="黑体" w:eastAsia="黑体"/>
                <w:kern w:val="0"/>
                <w:sz w:val="20"/>
              </w:rPr>
            </w:pPr>
            <w:r>
              <w:rPr>
                <w:rFonts w:ascii="黑体" w:hAnsi="黑体" w:eastAsia="黑体"/>
                <w:kern w:val="0"/>
                <w:sz w:val="20"/>
              </w:rPr>
              <w:t>其他</w:t>
            </w:r>
          </w:p>
          <w:p>
            <w:pPr>
              <w:widowControl/>
              <w:ind w:left="-126" w:leftChars="-60" w:right="-136"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黑体" w:hAnsi="黑体" w:eastAsia="黑体"/>
                <w:kern w:val="0"/>
                <w:sz w:val="20"/>
              </w:rPr>
            </w:pPr>
            <w:r>
              <w:rPr>
                <w:rFonts w:ascii="黑体" w:hAnsi="黑体" w:eastAsia="黑体"/>
                <w:kern w:val="0"/>
                <w:sz w:val="20"/>
              </w:rPr>
              <w:t>尚未</w:t>
            </w:r>
          </w:p>
          <w:p>
            <w:pPr>
              <w:widowControl/>
              <w:ind w:left="-164" w:leftChars="-78" w:right="-153"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黑体" w:hAnsi="黑体" w:eastAsia="黑体"/>
                <w:kern w:val="0"/>
                <w:sz w:val="20"/>
              </w:rPr>
            </w:pPr>
            <w:r>
              <w:rPr>
                <w:rFonts w:ascii="黑体" w:hAnsi="黑体" w:eastAsia="黑体"/>
                <w:kern w:val="0"/>
                <w:sz w:val="20"/>
              </w:rPr>
              <w:t>结果</w:t>
            </w:r>
          </w:p>
          <w:p>
            <w:pPr>
              <w:widowControl/>
              <w:ind w:left="-136" w:leftChars="-65" w:right="-124"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黑体" w:hAnsi="黑体" w:eastAsia="黑体"/>
                <w:kern w:val="0"/>
                <w:sz w:val="20"/>
              </w:rPr>
            </w:pPr>
            <w:r>
              <w:rPr>
                <w:rFonts w:ascii="黑体" w:hAnsi="黑体" w:eastAsia="黑体"/>
                <w:kern w:val="0"/>
                <w:sz w:val="20"/>
              </w:rPr>
              <w:t>其他</w:t>
            </w:r>
          </w:p>
          <w:p>
            <w:pPr>
              <w:widowControl/>
              <w:ind w:left="-173" w:leftChars="-83" w:right="-134"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eastAsia" w:eastAsia="宋体"/>
                <w:lang w:eastAsia="zh-CN"/>
              </w:rPr>
            </w:pPr>
            <w:r>
              <w:rPr>
                <w:rFonts w:hint="eastAsia"/>
                <w:lang w:val="en-US" w:eastAsia="zh-CN"/>
              </w:rPr>
              <w:t>1</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hint="eastAsia" w:eastAsia="宋体"/>
                <w:lang w:eastAsia="zh-CN"/>
              </w:rPr>
            </w:pPr>
            <w:r>
              <w:rPr>
                <w:rFonts w:hint="eastAsia"/>
                <w:lang w:val="en-US" w:eastAsia="zh-CN"/>
              </w:rPr>
              <w:t>1</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ind w:firstLine="210" w:firstLineChars="100"/>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pPr>
            <w:r>
              <w:rPr>
                <w:rFonts w:hint="eastAsia"/>
              </w:rPr>
              <w:t>0</w:t>
            </w:r>
          </w:p>
        </w:tc>
      </w:tr>
    </w:tbl>
    <w:p>
      <w:pPr>
        <w:pStyle w:val="4"/>
        <w:spacing w:after="0" w:line="600" w:lineRule="exact"/>
        <w:ind w:left="0" w:leftChars="0" w:firstLine="640"/>
        <w:rPr>
          <w:rFonts w:ascii="黑体" w:hAnsi="黑体" w:eastAsia="黑体" w:cs="黑体"/>
          <w:sz w:val="32"/>
          <w:szCs w:val="32"/>
        </w:rPr>
      </w:pPr>
      <w:r>
        <w:rPr>
          <w:rFonts w:ascii="黑体" w:hAnsi="黑体" w:eastAsia="黑体" w:cs="黑体"/>
          <w:sz w:val="32"/>
          <w:szCs w:val="32"/>
        </w:rPr>
        <w:t>五、存在的主要问题及改进情况</w:t>
      </w:r>
    </w:p>
    <w:p>
      <w:pPr>
        <w:pStyle w:val="4"/>
        <w:spacing w:after="0" w:line="600" w:lineRule="exact"/>
        <w:ind w:left="0" w:leftChars="0"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年，我局政府信息公开工作虽取得了一定成绩，但也还存在一些问题：如，部分栏目内容不够丰富；信息更新还不够及时高效；</w:t>
      </w:r>
      <w:r>
        <w:rPr>
          <w:rFonts w:ascii="仿宋_GB2312" w:hAnsi="宋体" w:eastAsia="仿宋_GB2312" w:cs="仿宋_GB2312"/>
          <w:color w:val="000000"/>
          <w:sz w:val="32"/>
          <w:szCs w:val="32"/>
          <w:shd w:val="clear" w:color="auto" w:fill="FFFFFF"/>
        </w:rPr>
        <w:t>对政务公开工作研究不足、主动性差。</w:t>
      </w:r>
      <w:r>
        <w:rPr>
          <w:rFonts w:hint="eastAsia" w:ascii="仿宋_GB2312" w:hAnsi="仿宋_GB2312" w:eastAsia="仿宋_GB2312" w:cs="仿宋_GB2312"/>
          <w:sz w:val="32"/>
          <w:szCs w:val="32"/>
        </w:rPr>
        <w:t>结合以上不足，我局将采取以下措施完善信息公开工作：</w:t>
      </w:r>
    </w:p>
    <w:p>
      <w:pPr>
        <w:spacing w:line="600" w:lineRule="exact"/>
        <w:ind w:firstLine="640" w:firstLineChars="200"/>
        <w:rPr>
          <w:rFonts w:ascii="仿宋_GB2312" w:hAnsi="仿宋_GB2312" w:eastAsia="仿宋_GB2312" w:cs="仿宋_GB2312"/>
          <w:sz w:val="32"/>
          <w:szCs w:val="32"/>
        </w:rPr>
      </w:pPr>
      <w:r>
        <w:rPr>
          <w:rFonts w:hint="eastAsia" w:ascii="仿宋_GB2312" w:hAnsi="宋体" w:eastAsia="仿宋_GB2312" w:cs="仿宋_GB2312"/>
          <w:color w:val="000000"/>
          <w:sz w:val="32"/>
          <w:szCs w:val="32"/>
          <w:shd w:val="clear" w:color="auto" w:fill="FFFFFF"/>
        </w:rPr>
        <w:t>一</w:t>
      </w:r>
      <w:r>
        <w:rPr>
          <w:rFonts w:ascii="仿宋_GB2312" w:hAnsi="宋体" w:eastAsia="仿宋_GB2312" w:cs="仿宋_GB2312"/>
          <w:color w:val="000000"/>
          <w:sz w:val="32"/>
          <w:szCs w:val="32"/>
          <w:shd w:val="clear" w:color="auto" w:fill="FFFFFF"/>
        </w:rPr>
        <w:t>是持续强化队伍建设。努力克服人手不足困难，切实提高专业化水平</w:t>
      </w:r>
      <w:r>
        <w:rPr>
          <w:rFonts w:hint="eastAsia" w:ascii="仿宋_GB2312" w:hAnsi="宋体" w:eastAsia="仿宋_GB2312" w:cs="仿宋_GB2312"/>
          <w:color w:val="000000"/>
          <w:sz w:val="32"/>
          <w:szCs w:val="32"/>
          <w:shd w:val="clear" w:color="auto" w:fill="FFFFFF"/>
        </w:rPr>
        <w:t>。</w:t>
      </w:r>
      <w:r>
        <w:rPr>
          <w:rFonts w:hint="eastAsia" w:ascii="仿宋_GB2312" w:hAnsi="仿宋_GB2312" w:eastAsia="仿宋_GB2312" w:cs="仿宋_GB2312"/>
          <w:sz w:val="32"/>
          <w:szCs w:val="32"/>
        </w:rPr>
        <w:t>二是加强信息公开主阵地建设，加大信息报送力度，增强信息发布时效性，建立互动、方便、及时的信息发布机制，主动回应社会。</w:t>
      </w:r>
    </w:p>
    <w:p>
      <w:pPr>
        <w:pStyle w:val="4"/>
        <w:spacing w:after="0" w:line="600" w:lineRule="exact"/>
        <w:ind w:left="0" w:leftChars="0" w:firstLine="640"/>
        <w:rPr>
          <w:rFonts w:hint="eastAsia" w:ascii="仿宋_GB2312" w:hAnsi="仿宋_GB2312" w:eastAsia="仿宋_GB2312" w:cs="仿宋_GB2312"/>
          <w:sz w:val="32"/>
          <w:szCs w:val="32"/>
        </w:rPr>
      </w:pPr>
      <w:r>
        <w:rPr>
          <w:rFonts w:hint="eastAsia" w:ascii="黑体" w:hAnsi="黑体" w:eastAsia="黑体" w:cs="黑体"/>
          <w:sz w:val="32"/>
          <w:szCs w:val="32"/>
        </w:rPr>
        <w:t>六、其他需要报告的事项</w:t>
      </w:r>
    </w:p>
    <w:p>
      <w:pPr>
        <w:pStyle w:val="4"/>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1.本年度政府信息公开申请未达到《政府信息公开信息处理费管理办法》（国办函〔2020〕109号）所规定的信息处理费收费标准，故未收取信息处理费。</w:t>
      </w:r>
    </w:p>
    <w:p>
      <w:pPr>
        <w:pStyle w:val="4"/>
        <w:spacing w:after="0" w:line="60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落实上级政务公开重点工作情况</w:t>
      </w:r>
      <w:r>
        <w:rPr>
          <w:rFonts w:hint="eastAsia" w:ascii="仿宋_GB2312" w:hAnsi="仿宋_GB2312" w:eastAsia="仿宋_GB2312" w:cs="仿宋_GB2312"/>
          <w:color w:val="000000"/>
          <w:sz w:val="32"/>
          <w:szCs w:val="32"/>
        </w:rPr>
        <w:t>。根据《2023年枣庄市政务公开工作要点》要求，结合高新区实际，及时制定202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年政务公开工作实施方案。将各部门政策发</w:t>
      </w:r>
      <w:r>
        <w:rPr>
          <w:rFonts w:hint="eastAsia" w:ascii="仿宋_GB2312" w:hAnsi="仿宋_GB2312" w:eastAsia="仿宋_GB2312" w:cs="仿宋_GB2312"/>
          <w:sz w:val="32"/>
          <w:szCs w:val="32"/>
        </w:rPr>
        <w:t>布解读与回应、政民互动、网站和政务新媒体运行等内容纳入日常考核范围，按季度定期监测进行通报，推进政务公开工作常态化开展，确保责任公开事项落实到位。及时公开财政信息、重大项目建设等重点领域信息，畅通群众获取政府信息的渠道。持续推进基层政务公开标准化规范化，全面梳理细化相关领域政务公开事项，明确具体事项的公开标准，制作主动公开基本目录清单等工作，促进高新区政务公开工作提质增效。</w:t>
      </w:r>
    </w:p>
    <w:p>
      <w:pPr>
        <w:pStyle w:val="4"/>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.本行政机关人大代表建议和政协提案办理结果公开情况。全年承办区级人大代表建议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件和区政协委员提案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件。目前均按要求办理完毕，办复率100%。</w:t>
      </w:r>
    </w:p>
    <w:p>
      <w:pPr>
        <w:pStyle w:val="4"/>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.本行政机关年度政务公开工作创新情况。逐步推动政务公开电子化。充分利用政府网站、政务新媒体加大宣传力度，扩大政府公报知晓度和影响力。提供word或PDF等多格式下载，方便群众查阅。</w:t>
      </w:r>
    </w:p>
    <w:p>
      <w:pPr>
        <w:pStyle w:val="4"/>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.本行政机关政府信息公开工作年度报告数据统计需要说明的事项。本报告中所列数据的统计时限为202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p>
    <w:p>
      <w:pPr>
        <w:pStyle w:val="4"/>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.本行政机关认为需要报告的其他事项。无。</w:t>
      </w:r>
    </w:p>
    <w:p>
      <w:pPr>
        <w:pStyle w:val="4"/>
        <w:spacing w:after="0" w:line="600" w:lineRule="exact"/>
        <w:ind w:left="0" w:leftChars="0" w:firstLine="640"/>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.其他有关文件专门要求通过政府信息公开工作年度报告予以报告的事项。无。</w:t>
      </w:r>
    </w:p>
    <w:p>
      <w:pPr>
        <w:pStyle w:val="4"/>
        <w:spacing w:after="0" w:line="600" w:lineRule="exact"/>
        <w:ind w:left="0" w:leftChars="0" w:firstLine="640"/>
        <w:rPr>
          <w:rFonts w:hint="eastAsia" w:ascii="仿宋_GB2312" w:hAnsi="仿宋_GB2312" w:eastAsia="仿宋_GB2312" w:cs="仿宋_GB2312"/>
          <w:sz w:val="32"/>
          <w:szCs w:val="32"/>
        </w:rPr>
      </w:pPr>
    </w:p>
    <w:p>
      <w:pPr>
        <w:spacing w:line="600" w:lineRule="exact"/>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0YmE4NGNkNmRjNjEyMmQ3MWRmYTYyNmUwN2FkZTAifQ=="/>
  </w:docVars>
  <w:rsids>
    <w:rsidRoot w:val="7BD76FF5"/>
    <w:rsid w:val="002246F8"/>
    <w:rsid w:val="0060313F"/>
    <w:rsid w:val="008773D4"/>
    <w:rsid w:val="0C8310F1"/>
    <w:rsid w:val="0CB97065"/>
    <w:rsid w:val="105E1823"/>
    <w:rsid w:val="12604D05"/>
    <w:rsid w:val="12FB0922"/>
    <w:rsid w:val="17C97A33"/>
    <w:rsid w:val="1946389F"/>
    <w:rsid w:val="1D1F4EB4"/>
    <w:rsid w:val="276B3214"/>
    <w:rsid w:val="31CE3307"/>
    <w:rsid w:val="32430EAB"/>
    <w:rsid w:val="37053DC6"/>
    <w:rsid w:val="45A34105"/>
    <w:rsid w:val="468C4AA7"/>
    <w:rsid w:val="4EFC389E"/>
    <w:rsid w:val="548E1F89"/>
    <w:rsid w:val="57F7199A"/>
    <w:rsid w:val="584C1A17"/>
    <w:rsid w:val="5C0A0EC1"/>
    <w:rsid w:val="5C1714AC"/>
    <w:rsid w:val="5DC911AA"/>
    <w:rsid w:val="5EE77BE8"/>
    <w:rsid w:val="5F0463B3"/>
    <w:rsid w:val="5FD611B6"/>
    <w:rsid w:val="60957AFE"/>
    <w:rsid w:val="67C94954"/>
    <w:rsid w:val="67FB4C27"/>
    <w:rsid w:val="6B571F13"/>
    <w:rsid w:val="6E2A65EF"/>
    <w:rsid w:val="71C329B0"/>
    <w:rsid w:val="789F1986"/>
    <w:rsid w:val="7B0D70C3"/>
    <w:rsid w:val="7BD76FF5"/>
    <w:rsid w:val="7FFA2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style>
  <w:style w:type="paragraph" w:styleId="3">
    <w:name w:val="Normal (Web)"/>
    <w:basedOn w:val="1"/>
    <w:autoRedefine/>
    <w:qFormat/>
    <w:uiPriority w:val="0"/>
    <w:pPr>
      <w:jc w:val="left"/>
    </w:pPr>
    <w:rPr>
      <w:kern w:val="0"/>
      <w:sz w:val="24"/>
    </w:rPr>
  </w:style>
  <w:style w:type="paragraph" w:styleId="4">
    <w:name w:val="Body Text First Indent 2"/>
    <w:basedOn w:val="2"/>
    <w:next w:val="1"/>
    <w:autoRedefine/>
    <w:unhideWhenUsed/>
    <w:qFormat/>
    <w:uiPriority w:val="99"/>
    <w:pPr>
      <w:ind w:firstLine="420" w:firstLineChars="200"/>
    </w:p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2666</Words>
  <Characters>2802</Characters>
  <Lines>21</Lines>
  <Paragraphs>6</Paragraphs>
  <TotalTime>1</TotalTime>
  <ScaleCrop>false</ScaleCrop>
  <LinksUpToDate>false</LinksUpToDate>
  <CharactersWithSpaces>2831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2022-01-17T08:07:00Z</dcterms:created>
  <dc:creator>御</dc:creator>
  <cp:lastModifiedBy>Nicole 牛</cp:lastModifiedBy>
  <cp:lastPrinted>2022-01-19T02:31:00Z</cp:lastPrinted>
  <dcterms:modified xsi:type="dcterms:W3CDTF">2024-01-26T01:45:56Z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FCDE93A5EBB74C3DBB71FF1039AA4EAA</vt:lpwstr>
  </property>
</Properties>
</file>