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Times New Roman" w:hAnsi="Times New Roman" w:eastAsia="方正小标宋简体" w:cs="Times New Roman"/>
          <w:color w:val="000000"/>
          <w:kern w:val="0"/>
          <w:sz w:val="44"/>
          <w:szCs w:val="44"/>
          <w:lang w:val="en-US" w:eastAsia="zh-CN" w:bidi="ar-SA"/>
        </w:rPr>
      </w:pPr>
      <w:r>
        <w:rPr>
          <w:rFonts w:ascii="Times New Roman" w:hAnsi="Times New Roman" w:eastAsia="方正小标宋简体" w:cs="Times New Roman"/>
          <w:color w:val="000000"/>
          <w:kern w:val="0"/>
          <w:sz w:val="44"/>
          <w:szCs w:val="44"/>
          <w:lang w:val="en-US" w:eastAsia="zh-CN" w:bidi="ar-SA"/>
        </w:rPr>
        <w:t>枣庄</w:t>
      </w:r>
      <w:r>
        <w:rPr>
          <w:rFonts w:hint="eastAsia" w:ascii="Times New Roman" w:hAnsi="Times New Roman" w:eastAsia="方正小标宋简体" w:cs="Times New Roman"/>
          <w:color w:val="000000"/>
          <w:kern w:val="0"/>
          <w:sz w:val="44"/>
          <w:szCs w:val="44"/>
          <w:lang w:val="en-US" w:eastAsia="zh-CN" w:bidi="ar-SA"/>
        </w:rPr>
        <w:t>高新区</w:t>
      </w:r>
      <w:r>
        <w:rPr>
          <w:rFonts w:hint="eastAsia" w:eastAsia="方正小标宋简体" w:cs="Times New Roman"/>
          <w:color w:val="000000"/>
          <w:kern w:val="0"/>
          <w:sz w:val="44"/>
          <w:szCs w:val="44"/>
          <w:lang w:val="en-US" w:eastAsia="zh-CN" w:bidi="ar-SA"/>
        </w:rPr>
        <w:t>产业东区</w:t>
      </w:r>
      <w:r>
        <w:rPr>
          <w:rFonts w:hint="eastAsia" w:ascii="Times New Roman" w:hAnsi="Times New Roman" w:eastAsia="方正小标宋简体" w:cs="Times New Roman"/>
          <w:color w:val="000000"/>
          <w:kern w:val="0"/>
          <w:sz w:val="44"/>
          <w:szCs w:val="44"/>
          <w:lang w:val="en-US" w:eastAsia="zh-CN" w:bidi="ar-SA"/>
        </w:rPr>
        <w:t>运营公司202</w:t>
      </w:r>
      <w:r>
        <w:rPr>
          <w:rFonts w:hint="eastAsia" w:eastAsia="方正小标宋简体" w:cs="Times New Roman"/>
          <w:color w:val="000000"/>
          <w:kern w:val="0"/>
          <w:sz w:val="44"/>
          <w:szCs w:val="44"/>
          <w:lang w:val="en-US" w:eastAsia="zh-CN" w:bidi="ar-SA"/>
        </w:rPr>
        <w:t>3</w:t>
      </w:r>
      <w:r>
        <w:rPr>
          <w:rFonts w:hint="eastAsia" w:ascii="Times New Roman" w:hAnsi="Times New Roman" w:eastAsia="方正小标宋简体" w:cs="Times New Roman"/>
          <w:color w:val="000000"/>
          <w:kern w:val="0"/>
          <w:sz w:val="44"/>
          <w:szCs w:val="44"/>
          <w:lang w:val="en-US" w:eastAsia="zh-CN" w:bidi="ar-SA"/>
        </w:rPr>
        <w:t>年</w:t>
      </w:r>
      <w:r>
        <w:rPr>
          <w:rFonts w:ascii="Times New Roman" w:hAnsi="Times New Roman" w:eastAsia="方正小标宋简体" w:cs="Times New Roman"/>
          <w:color w:val="000000"/>
          <w:kern w:val="0"/>
          <w:sz w:val="44"/>
          <w:szCs w:val="44"/>
          <w:lang w:val="en-US" w:eastAsia="zh-CN" w:bidi="ar-SA"/>
        </w:rPr>
        <w:t>政府信息公开工作年度报告</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eastAsia="仿宋_GB2312" w:cs="宋体"/>
          <w:color w:val="333333"/>
          <w:sz w:val="32"/>
          <w:szCs w:val="32"/>
          <w:shd w:val="clear" w:color="auto" w:fill="FFFFFF"/>
          <w:lang w:val="en-US" w:eastAsia="zh-CN" w:bidi="ar-SA"/>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本报告根据</w:t>
      </w:r>
      <w:r>
        <w:rPr>
          <w:rFonts w:hint="eastAsia" w:ascii="仿宋_GB2312" w:eastAsia="仿宋_GB2312" w:cs="仿宋_GB2312"/>
          <w:sz w:val="32"/>
          <w:szCs w:val="32"/>
          <w:lang w:bidi="ar-SA"/>
        </w:rPr>
        <w:t>《中华人民共和国政府信息公开条例》以及区管委会关于政府信息公开工作的各项要求</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由枣庄高新产业东区运营有限</w:t>
      </w:r>
      <w:r>
        <w:rPr>
          <w:rFonts w:hint="eastAsia" w:ascii="仿宋_GB2312" w:eastAsia="仿宋_GB2312" w:cs="仿宋_GB2312"/>
          <w:sz w:val="32"/>
          <w:szCs w:val="32"/>
          <w:lang w:bidi="ar-SA"/>
        </w:rPr>
        <w:t>公司</w:t>
      </w:r>
      <w:r>
        <w:rPr>
          <w:rFonts w:hint="eastAsia" w:ascii="仿宋_GB2312" w:eastAsia="仿宋_GB2312" w:cs="仿宋_GB2312"/>
          <w:sz w:val="32"/>
          <w:szCs w:val="32"/>
          <w:lang w:val="en-US" w:eastAsia="zh-CN" w:bidi="ar-SA"/>
        </w:rPr>
        <w:t>编制</w:t>
      </w:r>
      <w:r>
        <w:rPr>
          <w:rFonts w:hint="eastAsia" w:ascii="仿宋_GB2312" w:eastAsia="仿宋_GB2312" w:cs="仿宋_GB2312"/>
          <w:sz w:val="32"/>
          <w:szCs w:val="32"/>
          <w:lang w:bidi="ar-SA"/>
        </w:rPr>
        <w:t>。全文包括总体情况、主动公开政府信息情况、收到和处理政府信息公开申请情况</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因政府信息公开工作被申请行政复议、提起行政诉讼情况、存在的主要问题及改进情况、其他需要报告的事项。本报告所列数据的统计时限自2023年1月1日至2023年12月31日。本报告全文将在枣庄高新区官</w:t>
      </w:r>
      <w:r>
        <w:rPr>
          <w:rFonts w:hint="eastAsia" w:ascii="仿宋_GB2312" w:eastAsia="仿宋_GB2312" w:cs="仿宋_GB2312"/>
          <w:sz w:val="32"/>
          <w:szCs w:val="32"/>
          <w:lang w:val="en-US" w:eastAsia="zh-CN" w:bidi="ar-SA"/>
        </w:rPr>
        <w:t>网</w:t>
      </w:r>
      <w:r>
        <w:rPr>
          <w:rFonts w:hint="eastAsia" w:ascii="仿宋_GB2312" w:eastAsia="仿宋_GB2312" w:cs="仿宋_GB2312"/>
          <w:sz w:val="32"/>
          <w:szCs w:val="32"/>
          <w:lang w:bidi="ar-SA"/>
        </w:rPr>
        <w:t>（http://www.zzctp.gov.cn/）“政府信息公开年度报告”专栏公布。如对本报告有疑问，请与枣庄高新区产业</w:t>
      </w:r>
      <w:r>
        <w:rPr>
          <w:rFonts w:hint="eastAsia" w:ascii="仿宋_GB2312" w:eastAsia="仿宋_GB2312" w:cs="仿宋_GB2312"/>
          <w:sz w:val="32"/>
          <w:szCs w:val="32"/>
          <w:lang w:val="en-US" w:eastAsia="zh-CN" w:bidi="ar-SA"/>
        </w:rPr>
        <w:t>东</w:t>
      </w:r>
      <w:r>
        <w:rPr>
          <w:rFonts w:hint="eastAsia" w:ascii="仿宋_GB2312" w:eastAsia="仿宋_GB2312" w:cs="仿宋_GB2312"/>
          <w:sz w:val="32"/>
          <w:szCs w:val="32"/>
          <w:lang w:bidi="ar-SA"/>
        </w:rPr>
        <w:t>区运营公司综合部联系（联系电话:0632-8</w:t>
      </w:r>
      <w:r>
        <w:rPr>
          <w:rFonts w:hint="eastAsia" w:ascii="仿宋_GB2312" w:eastAsia="仿宋_GB2312" w:cs="仿宋_GB2312"/>
          <w:sz w:val="32"/>
          <w:szCs w:val="32"/>
          <w:lang w:val="en-US" w:eastAsia="zh-CN" w:bidi="ar-SA"/>
        </w:rPr>
        <w:t>261819</w:t>
      </w:r>
      <w:r>
        <w:rPr>
          <w:rFonts w:hint="eastAsia" w:ascii="仿宋_GB2312" w:eastAsia="仿宋_GB2312" w:cs="仿宋_GB2312"/>
          <w:sz w:val="32"/>
          <w:szCs w:val="32"/>
          <w:lang w:bidi="ar-SA"/>
        </w:rPr>
        <w:t>，电子邮箱:gxcy</w:t>
      </w:r>
      <w:r>
        <w:rPr>
          <w:rFonts w:hint="eastAsia" w:ascii="仿宋_GB2312" w:eastAsia="仿宋_GB2312" w:cs="仿宋_GB2312"/>
          <w:sz w:val="32"/>
          <w:szCs w:val="32"/>
          <w:lang w:val="en-US" w:eastAsia="zh-CN" w:bidi="ar-SA"/>
        </w:rPr>
        <w:t>d</w:t>
      </w:r>
      <w:r>
        <w:rPr>
          <w:rFonts w:hint="eastAsia" w:ascii="仿宋_GB2312" w:eastAsia="仿宋_GB2312" w:cs="仿宋_GB2312"/>
          <w:sz w:val="32"/>
          <w:szCs w:val="32"/>
          <w:lang w:bidi="ar-SA"/>
        </w:rPr>
        <w:t>q@163.com）。</w:t>
      </w:r>
    </w:p>
    <w:p>
      <w:pPr>
        <w:widowControl/>
        <w:spacing w:line="560" w:lineRule="exact"/>
        <w:ind w:firstLine="640" w:firstLineChars="200"/>
        <w:jc w:val="left"/>
        <w:rPr>
          <w:rFonts w:hint="default" w:ascii="Times New Roman" w:hAnsi="Times New Roman" w:eastAsia="黑体" w:cs="Times New Roman"/>
          <w:color w:val="000000"/>
          <w:kern w:val="0"/>
          <w:sz w:val="32"/>
          <w:szCs w:val="32"/>
          <w:lang w:bidi="ar-SA"/>
        </w:rPr>
      </w:pPr>
      <w:r>
        <w:rPr>
          <w:rFonts w:hint="default" w:ascii="Times New Roman" w:hAnsi="Times New Roman" w:eastAsia="黑体" w:cs="Times New Roman"/>
          <w:color w:val="000000"/>
          <w:kern w:val="0"/>
          <w:sz w:val="32"/>
          <w:szCs w:val="32"/>
          <w:lang w:bidi="ar-SA"/>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right="0" w:firstLine="620" w:firstLineChars="200"/>
        <w:jc w:val="left"/>
        <w:rPr>
          <w:rFonts w:hint="eastAsia" w:ascii="仿宋_GB2312" w:eastAsia="仿宋_GB2312" w:cs="仿宋_GB2312"/>
          <w:color w:val="000000"/>
          <w:kern w:val="2"/>
          <w:sz w:val="31"/>
          <w:szCs w:val="31"/>
        </w:rPr>
      </w:pPr>
      <w:r>
        <w:rPr>
          <w:rFonts w:hint="eastAsia" w:ascii="仿宋_GB2312" w:eastAsia="仿宋_GB2312" w:cs="仿宋_GB2312"/>
          <w:color w:val="000000"/>
          <w:spacing w:val="0"/>
          <w:kern w:val="2"/>
          <w:sz w:val="31"/>
          <w:szCs w:val="31"/>
          <w:lang w:val="en-US" w:eastAsia="zh-CN"/>
        </w:rPr>
        <w:t>2023年度，枣庄高新产业东区运营公司在区党工委、管委会的正确领导下，坚持政务信息公开、透明、规范化，提升行政效能，准确及时地向公众公开各项决策部署，</w:t>
      </w:r>
      <w:r>
        <w:rPr>
          <w:rFonts w:hint="eastAsia" w:ascii="仿宋_GB2312" w:eastAsia="仿宋_GB2312" w:cs="仿宋_GB2312"/>
          <w:color w:val="000000"/>
          <w:kern w:val="2"/>
          <w:sz w:val="31"/>
          <w:szCs w:val="31"/>
        </w:rPr>
        <w:t>及时向社会发布工作情况，充分保障公众的知情权和监督权，积极做好信息公开反馈工作，有效地保障了公民的知情权。</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楷体_GB2312" w:eastAsia="楷体_GB2312" w:cs="楷体_GB2312"/>
          <w:b/>
          <w:bCs/>
          <w:color w:val="333333"/>
          <w:sz w:val="32"/>
          <w:szCs w:val="32"/>
          <w:shd w:val="clear" w:color="auto" w:fill="FFFFFF"/>
          <w:lang w:val="en-US" w:eastAsia="zh-CN" w:bidi="ar-SA"/>
        </w:rPr>
      </w:pPr>
      <w:r>
        <w:rPr>
          <w:rFonts w:hint="eastAsia" w:ascii="楷体_GB2312" w:eastAsia="楷体_GB2312" w:cs="楷体_GB2312"/>
          <w:b/>
          <w:bCs/>
          <w:color w:val="333333"/>
          <w:sz w:val="32"/>
          <w:szCs w:val="32"/>
          <w:shd w:val="clear" w:color="auto" w:fill="FFFFFF"/>
          <w:lang w:val="en-US" w:eastAsia="zh-CN" w:bidi="ar-SA"/>
        </w:rPr>
        <w:t>主动公开政府信息情况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right="0" w:firstLine="930" w:firstLineChars="300"/>
        <w:jc w:val="left"/>
        <w:rPr>
          <w:rFonts w:hint="eastAsia" w:ascii="仿宋_GB2312" w:hAnsi="宋体" w:eastAsia="仿宋_GB2312" w:cs="仿宋_GB2312"/>
          <w:i w:val="0"/>
          <w:iCs w:val="0"/>
          <w:caps w:val="0"/>
          <w:color w:val="000000"/>
          <w:spacing w:val="0"/>
          <w:sz w:val="31"/>
          <w:szCs w:val="31"/>
          <w:shd w:val="clear" w:fill="FFFFFF"/>
        </w:rPr>
      </w:pPr>
      <w:r>
        <w:rPr>
          <w:rFonts w:hint="eastAsia" w:ascii="仿宋_GB2312" w:eastAsia="仿宋_GB2312" w:cs="仿宋_GB2312"/>
          <w:color w:val="000000"/>
          <w:spacing w:val="0"/>
          <w:kern w:val="2"/>
          <w:sz w:val="31"/>
          <w:szCs w:val="31"/>
          <w:lang w:val="en-US" w:eastAsia="zh-CN" w:bidi="ar-SA"/>
        </w:rPr>
        <w:t>2023年，产业东区运营公司</w:t>
      </w:r>
      <w:r>
        <w:rPr>
          <w:rFonts w:ascii="仿宋_GB2312" w:hAnsi="宋体" w:eastAsia="仿宋_GB2312" w:cs="仿宋_GB2312"/>
          <w:i w:val="0"/>
          <w:iCs w:val="0"/>
          <w:caps w:val="0"/>
          <w:color w:val="000000"/>
          <w:spacing w:val="0"/>
          <w:sz w:val="31"/>
          <w:szCs w:val="31"/>
          <w:shd w:val="clear" w:fill="FFFFFF"/>
        </w:rPr>
        <w:t>通过区管委会政府公开网站共发表相关信息</w:t>
      </w:r>
      <w:r>
        <w:rPr>
          <w:rFonts w:hint="eastAsia" w:ascii="仿宋_GB2312" w:hAnsi="宋体" w:eastAsia="仿宋_GB2312" w:cs="仿宋_GB2312"/>
          <w:i w:val="0"/>
          <w:iCs w:val="0"/>
          <w:caps w:val="0"/>
          <w:color w:val="000000"/>
          <w:spacing w:val="0"/>
          <w:sz w:val="31"/>
          <w:szCs w:val="31"/>
          <w:shd w:val="clear" w:fill="FFFFFF"/>
          <w:lang w:val="en-US" w:eastAsia="zh-CN"/>
        </w:rPr>
        <w:t>115</w:t>
      </w:r>
      <w:r>
        <w:rPr>
          <w:rFonts w:hint="eastAsia" w:ascii="仿宋_GB2312" w:hAnsi="宋体" w:eastAsia="仿宋_GB2312" w:cs="仿宋_GB2312"/>
          <w:i w:val="0"/>
          <w:iCs w:val="0"/>
          <w:caps w:val="0"/>
          <w:color w:val="000000"/>
          <w:spacing w:val="0"/>
          <w:sz w:val="31"/>
          <w:szCs w:val="31"/>
          <w:shd w:val="clear" w:fill="FFFFFF"/>
        </w:rPr>
        <w:t>篇，其中法定主动公开内容</w:t>
      </w:r>
      <w:r>
        <w:rPr>
          <w:rFonts w:hint="eastAsia" w:ascii="仿宋_GB2312" w:hAnsi="宋体" w:eastAsia="仿宋_GB2312" w:cs="仿宋_GB2312"/>
          <w:i w:val="0"/>
          <w:iCs w:val="0"/>
          <w:caps w:val="0"/>
          <w:color w:val="000000"/>
          <w:spacing w:val="0"/>
          <w:sz w:val="31"/>
          <w:szCs w:val="31"/>
          <w:shd w:val="clear" w:fill="FFFFFF"/>
          <w:lang w:val="en-US" w:eastAsia="zh-CN"/>
        </w:rPr>
        <w:t>19</w:t>
      </w:r>
      <w:r>
        <w:rPr>
          <w:rFonts w:hint="eastAsia" w:ascii="仿宋_GB2312" w:hAnsi="宋体" w:eastAsia="仿宋_GB2312" w:cs="仿宋_GB2312"/>
          <w:i w:val="0"/>
          <w:iCs w:val="0"/>
          <w:caps w:val="0"/>
          <w:color w:val="000000"/>
          <w:spacing w:val="0"/>
          <w:sz w:val="31"/>
          <w:szCs w:val="31"/>
          <w:shd w:val="clear" w:fill="FFFFFF"/>
        </w:rPr>
        <w:t>篇、产业发展12篇、主导产业24篇、重点项目12篇、通知公告</w:t>
      </w:r>
      <w:r>
        <w:rPr>
          <w:rFonts w:hint="eastAsia" w:ascii="仿宋_GB2312" w:hAnsi="宋体" w:eastAsia="仿宋_GB2312" w:cs="仿宋_GB2312"/>
          <w:i w:val="0"/>
          <w:iCs w:val="0"/>
          <w:caps w:val="0"/>
          <w:color w:val="000000"/>
          <w:spacing w:val="0"/>
          <w:sz w:val="31"/>
          <w:szCs w:val="31"/>
          <w:shd w:val="clear" w:fill="FFFFFF"/>
          <w:lang w:val="en-US" w:eastAsia="zh-CN"/>
        </w:rPr>
        <w:t>8</w:t>
      </w:r>
      <w:r>
        <w:rPr>
          <w:rFonts w:hint="eastAsia" w:ascii="仿宋_GB2312" w:hAnsi="宋体" w:eastAsia="仿宋_GB2312" w:cs="仿宋_GB2312"/>
          <w:i w:val="0"/>
          <w:iCs w:val="0"/>
          <w:caps w:val="0"/>
          <w:color w:val="000000"/>
          <w:spacing w:val="0"/>
          <w:sz w:val="31"/>
          <w:szCs w:val="31"/>
          <w:shd w:val="clear" w:fill="FFFFFF"/>
        </w:rPr>
        <w:t>篇、部门信息</w:t>
      </w:r>
      <w:r>
        <w:rPr>
          <w:rFonts w:hint="eastAsia" w:ascii="仿宋_GB2312" w:hAnsi="宋体" w:eastAsia="仿宋_GB2312" w:cs="仿宋_GB2312"/>
          <w:i w:val="0"/>
          <w:iCs w:val="0"/>
          <w:caps w:val="0"/>
          <w:color w:val="000000"/>
          <w:spacing w:val="0"/>
          <w:sz w:val="31"/>
          <w:szCs w:val="31"/>
          <w:shd w:val="clear" w:fill="FFFFFF"/>
          <w:lang w:val="en-US" w:eastAsia="zh-CN"/>
        </w:rPr>
        <w:t>39</w:t>
      </w:r>
      <w:r>
        <w:rPr>
          <w:rFonts w:hint="eastAsia" w:ascii="仿宋_GB2312" w:hAnsi="宋体" w:eastAsia="仿宋_GB2312" w:cs="仿宋_GB2312"/>
          <w:i w:val="0"/>
          <w:iCs w:val="0"/>
          <w:caps w:val="0"/>
          <w:color w:val="000000"/>
          <w:spacing w:val="0"/>
          <w:sz w:val="31"/>
          <w:szCs w:val="31"/>
          <w:shd w:val="clear" w:fill="FFFFFF"/>
        </w:rPr>
        <w:t>篇</w:t>
      </w:r>
      <w:r>
        <w:rPr>
          <w:rFonts w:hint="eastAsia" w:ascii="仿宋_GB2312" w:hAnsi="宋体" w:eastAsia="仿宋_GB2312" w:cs="仿宋_GB2312"/>
          <w:i w:val="0"/>
          <w:iCs w:val="0"/>
          <w:caps w:val="0"/>
          <w:color w:val="000000"/>
          <w:spacing w:val="0"/>
          <w:sz w:val="31"/>
          <w:szCs w:val="31"/>
          <w:shd w:val="clear" w:fill="FFFFFF"/>
          <w:lang w:eastAsia="zh-CN"/>
        </w:rPr>
        <w:t>、</w:t>
      </w:r>
      <w:r>
        <w:rPr>
          <w:rFonts w:hint="eastAsia" w:ascii="仿宋_GB2312" w:hAnsi="宋体" w:eastAsia="仿宋_GB2312" w:cs="仿宋_GB2312"/>
          <w:i w:val="0"/>
          <w:iCs w:val="0"/>
          <w:caps w:val="0"/>
          <w:color w:val="000000"/>
          <w:spacing w:val="0"/>
          <w:sz w:val="31"/>
          <w:szCs w:val="31"/>
          <w:shd w:val="clear" w:fill="FFFFFF"/>
          <w:lang w:val="en-US" w:eastAsia="zh-CN"/>
        </w:rPr>
        <w:t>投资环境1篇</w:t>
      </w:r>
      <w:r>
        <w:rPr>
          <w:rFonts w:hint="eastAsia" w:ascii="仿宋_GB2312" w:hAnsi="宋体" w:eastAsia="仿宋_GB2312" w:cs="仿宋_GB2312"/>
          <w:i w:val="0"/>
          <w:iCs w:val="0"/>
          <w:caps w:val="0"/>
          <w:color w:val="000000"/>
          <w:spacing w:val="0"/>
          <w:sz w:val="31"/>
          <w:szCs w:val="31"/>
          <w:shd w:val="clear" w:fill="FFFFFF"/>
        </w:rPr>
        <w:t>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0" w:afterAutospacing="0" w:line="240" w:lineRule="auto"/>
        <w:ind w:right="0"/>
        <w:jc w:val="center"/>
        <w:textAlignment w:val="auto"/>
      </w:pPr>
      <w:r>
        <w:drawing>
          <wp:inline distT="0" distB="0" distL="114300" distR="114300">
            <wp:extent cx="4600575" cy="34480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00575" cy="3448050"/>
                    </a:xfrm>
                    <a:prstGeom prst="rect">
                      <a:avLst/>
                    </a:prstGeom>
                    <a:noFill/>
                    <a:ln>
                      <a:noFill/>
                    </a:ln>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313" w:beforeLines="100" w:beforeAutospacing="0" w:after="0" w:afterAutospacing="0" w:line="240" w:lineRule="auto"/>
        <w:ind w:right="0"/>
        <w:jc w:val="center"/>
        <w:textAlignment w:val="auto"/>
        <w:rPr>
          <w:rFonts w:hint="eastAsia" w:eastAsia="宋体"/>
          <w:lang w:val="en-US" w:eastAsia="zh-CN"/>
        </w:rPr>
      </w:pPr>
      <w:r>
        <w:rPr>
          <w:rFonts w:hint="eastAsia" w:eastAsia="宋体"/>
          <w:lang w:val="en-US" w:eastAsia="zh-CN"/>
        </w:rPr>
        <w:drawing>
          <wp:inline distT="0" distB="0" distL="114300" distR="114300">
            <wp:extent cx="5267325" cy="3000375"/>
            <wp:effectExtent l="0" t="0" r="9525" b="9525"/>
            <wp:docPr id="11"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图片1"/>
                    <pic:cNvPicPr>
                      <a:picLocks noChangeAspect="1"/>
                    </pic:cNvPicPr>
                  </pic:nvPicPr>
                  <pic:blipFill>
                    <a:blip r:embed="rId5"/>
                    <a:stretch>
                      <a:fillRect/>
                    </a:stretch>
                  </pic:blipFill>
                  <pic:spPr>
                    <a:xfrm>
                      <a:off x="0" y="0"/>
                      <a:ext cx="5267325" cy="30003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3" w:firstLineChars="200"/>
        <w:jc w:val="both"/>
        <w:textAlignment w:val="auto"/>
        <w:rPr>
          <w:rFonts w:hint="eastAsia" w:ascii="仿宋_GB2312" w:eastAsia="仿宋_GB2312" w:cs="宋体"/>
          <w:b/>
          <w:bCs/>
          <w:color w:val="333333"/>
          <w:sz w:val="32"/>
          <w:szCs w:val="32"/>
          <w:shd w:val="clear" w:color="auto" w:fill="FFFFFF"/>
          <w:lang w:val="en-US" w:eastAsia="zh-CN" w:bidi="ar-SA"/>
        </w:rPr>
      </w:pPr>
      <w:r>
        <w:rPr>
          <w:rFonts w:hint="eastAsia" w:ascii="楷体_GB2312" w:eastAsia="楷体_GB2312" w:cs="楷体_GB2312"/>
          <w:b/>
          <w:bCs/>
          <w:color w:val="333333"/>
          <w:sz w:val="32"/>
          <w:szCs w:val="32"/>
          <w:shd w:val="clear" w:color="auto" w:fill="FFFFFF"/>
          <w:lang w:val="en-US" w:eastAsia="zh-CN" w:bidi="ar-SA"/>
        </w:rPr>
        <w:t>（二）依申请公开政府信息工作情况</w:t>
      </w:r>
      <w:r>
        <w:rPr>
          <w:rFonts w:hint="eastAsia" w:ascii="仿宋_GB2312" w:eastAsia="仿宋_GB2312" w:cs="宋体"/>
          <w:b/>
          <w:bCs/>
          <w:color w:val="333333"/>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jc w:val="both"/>
        <w:textAlignment w:val="auto"/>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bidi="ar-SA"/>
        </w:rPr>
        <w:t>全面做好依申请公开政府信息工作</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val="en-US" w:eastAsia="zh-CN" w:bidi="ar-SA"/>
        </w:rPr>
        <w:t>2023年收到申请数0件。</w:t>
      </w:r>
    </w:p>
    <w:p>
      <w:pPr>
        <w:pStyle w:val="4"/>
        <w:spacing w:after="0" w:line="560" w:lineRule="exact"/>
        <w:ind w:left="0" w:leftChars="0" w:firstLine="643" w:firstLineChars="200"/>
        <w:rPr>
          <w:rFonts w:hint="eastAsia" w:ascii="楷体_GB2312" w:eastAsia="楷体_GB2312" w:cs="楷体_GB2312"/>
          <w:b/>
          <w:bCs/>
          <w:color w:val="333333"/>
          <w:kern w:val="2"/>
          <w:sz w:val="32"/>
          <w:szCs w:val="32"/>
          <w:shd w:val="clear" w:color="auto" w:fill="FFFFFF"/>
          <w:lang w:val="en-US" w:eastAsia="zh-CN" w:bidi="ar-SA"/>
        </w:rPr>
      </w:pPr>
      <w:r>
        <w:rPr>
          <w:rFonts w:hint="eastAsia" w:ascii="楷体_GB2312" w:eastAsia="楷体_GB2312" w:cs="楷体_GB2312"/>
          <w:b/>
          <w:bCs/>
          <w:color w:val="333333"/>
          <w:kern w:val="2"/>
          <w:sz w:val="32"/>
          <w:szCs w:val="32"/>
          <w:shd w:val="clear" w:color="auto" w:fill="FFFFFF"/>
          <w:lang w:val="en-US" w:eastAsia="zh-CN" w:bidi="ar-SA"/>
        </w:rPr>
        <w:t>（三）政府信息管理情况</w:t>
      </w:r>
    </w:p>
    <w:p>
      <w:pPr>
        <w:pStyle w:val="4"/>
        <w:spacing w:after="0" w:line="560" w:lineRule="exact"/>
        <w:ind w:left="0" w:leftChars="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val="en-US" w:eastAsia="zh-CN" w:bidi="ar-SA"/>
        </w:rPr>
        <w:t>2023年，产业东区运营公司</w:t>
      </w:r>
      <w:r>
        <w:rPr>
          <w:rFonts w:hint="eastAsia" w:ascii="仿宋_GB2312" w:eastAsia="仿宋_GB2312" w:cs="仿宋_GB2312"/>
          <w:sz w:val="32"/>
          <w:szCs w:val="32"/>
          <w:lang w:bidi="ar-SA"/>
        </w:rPr>
        <w:t>严格按照《条例》要求，结合</w:t>
      </w:r>
      <w:r>
        <w:rPr>
          <w:rFonts w:hint="eastAsia" w:ascii="仿宋_GB2312" w:eastAsia="仿宋_GB2312" w:cs="仿宋_GB2312"/>
          <w:sz w:val="32"/>
          <w:szCs w:val="32"/>
          <w:lang w:val="en-US" w:eastAsia="zh-CN" w:bidi="ar-SA"/>
        </w:rPr>
        <w:t>园区</w:t>
      </w:r>
      <w:r>
        <w:rPr>
          <w:rFonts w:hint="eastAsia" w:ascii="仿宋_GB2312" w:eastAsia="仿宋_GB2312" w:cs="仿宋_GB2312"/>
          <w:sz w:val="32"/>
          <w:szCs w:val="32"/>
          <w:lang w:bidi="ar-SA"/>
        </w:rPr>
        <w:t>工作实际，完善政务信息公开各项制度，按规定公开各类政务信息，确保信息公开及时、准确，信息发布内容的准确、严谨。</w:t>
      </w:r>
    </w:p>
    <w:p>
      <w:pPr>
        <w:pStyle w:val="4"/>
        <w:spacing w:after="0" w:line="560" w:lineRule="exact"/>
        <w:ind w:left="0" w:leftChars="0" w:firstLine="643" w:firstLineChars="200"/>
        <w:rPr>
          <w:rFonts w:hint="eastAsia" w:ascii="楷体_GB2312" w:eastAsia="楷体_GB2312" w:cs="楷体_GB2312"/>
          <w:b/>
          <w:bCs/>
          <w:color w:val="333333"/>
          <w:kern w:val="2"/>
          <w:sz w:val="32"/>
          <w:szCs w:val="32"/>
          <w:shd w:val="clear" w:color="auto" w:fill="FFFFFF"/>
          <w:lang w:val="en-US" w:eastAsia="zh-CN" w:bidi="ar-SA"/>
        </w:rPr>
      </w:pPr>
      <w:r>
        <w:rPr>
          <w:rFonts w:hint="eastAsia" w:ascii="楷体_GB2312" w:eastAsia="楷体_GB2312" w:cs="楷体_GB2312"/>
          <w:b/>
          <w:bCs/>
          <w:color w:val="333333"/>
          <w:kern w:val="2"/>
          <w:sz w:val="32"/>
          <w:szCs w:val="32"/>
          <w:shd w:val="clear" w:color="auto" w:fill="FFFFFF"/>
          <w:lang w:val="en-US" w:eastAsia="zh-CN" w:bidi="ar-SA"/>
        </w:rPr>
        <w:t>(四)政府信息平台建设情况</w:t>
      </w:r>
    </w:p>
    <w:p>
      <w:pPr>
        <w:pStyle w:val="4"/>
        <w:spacing w:after="0" w:line="560" w:lineRule="exact"/>
        <w:ind w:left="0" w:leftChars="0" w:firstLine="640" w:firstLineChars="200"/>
        <w:rPr>
          <w:rFonts w:hint="eastAsia"/>
          <w:lang w:val="en-US" w:eastAsia="zh-CN"/>
        </w:rPr>
      </w:pPr>
      <w:r>
        <w:rPr>
          <w:rFonts w:hint="eastAsia" w:ascii="仿宋_GB2312" w:eastAsia="仿宋_GB2312" w:cs="仿宋_GB2312"/>
          <w:kern w:val="2"/>
          <w:sz w:val="32"/>
          <w:szCs w:val="32"/>
          <w:lang w:val="en-US" w:eastAsia="zh-CN" w:bidi="ar-SA"/>
        </w:rPr>
        <w:t>2023年，产业东区运营公司完善在政府网站集约化管理平台的账号注册、管理和信息录入、审核、发布等操作细则，网站管理职责进一步明确，网站规范化水平再上台阶。</w:t>
      </w:r>
    </w:p>
    <w:p>
      <w:pPr>
        <w:pStyle w:val="4"/>
        <w:spacing w:after="0" w:line="560" w:lineRule="exact"/>
        <w:ind w:left="0" w:leftChars="0"/>
        <w:rPr>
          <w:rFonts w:hint="eastAsia" w:ascii="楷体_GB2312" w:eastAsia="楷体_GB2312" w:cs="楷体_GB2312"/>
          <w:b/>
          <w:bCs/>
          <w:color w:val="333333"/>
          <w:kern w:val="2"/>
          <w:sz w:val="32"/>
          <w:szCs w:val="32"/>
          <w:shd w:val="clear" w:color="auto" w:fill="FFFFFF"/>
          <w:lang w:val="en-US" w:eastAsia="zh-CN" w:bidi="ar-SA"/>
        </w:rPr>
      </w:pPr>
      <w:r>
        <w:rPr>
          <w:rFonts w:hint="eastAsia" w:ascii="楷体_GB2312" w:eastAsia="楷体_GB2312" w:cs="楷体_GB2312"/>
          <w:b/>
          <w:bCs/>
          <w:color w:val="333333"/>
          <w:kern w:val="2"/>
          <w:sz w:val="32"/>
          <w:szCs w:val="32"/>
          <w:shd w:val="clear" w:color="auto" w:fill="FFFFFF"/>
          <w:lang w:val="en-US" w:eastAsia="zh-CN" w:bidi="ar-SA"/>
        </w:rPr>
        <w:t>（五）监督保障情况</w:t>
      </w:r>
    </w:p>
    <w:p>
      <w:pPr>
        <w:pStyle w:val="3"/>
        <w:shd w:val="clear" w:color="auto" w:fill="FFFFFF"/>
        <w:spacing w:before="0" w:beforeAutospacing="0" w:after="0" w:afterAutospacing="0" w:line="560" w:lineRule="exact"/>
        <w:ind w:right="0" w:firstLine="640" w:firstLineChars="200"/>
        <w:rPr>
          <w:rFonts w:hint="eastAsia" w:ascii="Å¾®è½¯é›…é»‘" w:hAnsi="Å¾®è½¯é›…é»‘" w:eastAsia="仿宋_GB2312"/>
          <w:color w:val="000000"/>
          <w:spacing w:val="0"/>
          <w:sz w:val="24"/>
          <w:szCs w:val="24"/>
          <w:lang w:eastAsia="zh-CN"/>
        </w:rPr>
      </w:pPr>
      <w:r>
        <w:rPr>
          <w:rStyle w:val="7"/>
          <w:rFonts w:hint="eastAsia" w:ascii="仿宋_GB2312" w:eastAsia="仿宋_GB2312"/>
          <w:b w:val="0"/>
          <w:color w:val="000000"/>
          <w:spacing w:val="0"/>
          <w:sz w:val="32"/>
          <w:szCs w:val="32"/>
        </w:rPr>
        <w:t>1.加强日常监督机制。</w:t>
      </w:r>
      <w:r>
        <w:rPr>
          <w:rFonts w:hint="eastAsia" w:ascii="仿宋_GB2312" w:eastAsia="仿宋_GB2312"/>
          <w:color w:val="000000"/>
          <w:spacing w:val="0"/>
          <w:sz w:val="32"/>
          <w:szCs w:val="32"/>
        </w:rPr>
        <w:t>每月定期排查各专栏信息上传情况运行等工作情况</w:t>
      </w:r>
      <w:r>
        <w:rPr>
          <w:rFonts w:hint="eastAsia" w:ascii="仿宋_GB2312" w:eastAsia="仿宋_GB2312"/>
          <w:color w:val="000000"/>
          <w:spacing w:val="0"/>
          <w:sz w:val="32"/>
          <w:szCs w:val="32"/>
          <w:lang w:eastAsia="zh-CN"/>
        </w:rPr>
        <w:t>。</w:t>
      </w:r>
    </w:p>
    <w:p>
      <w:pPr>
        <w:spacing w:line="560" w:lineRule="exact"/>
        <w:ind w:firstLine="640" w:firstLineChars="200"/>
        <w:rPr>
          <w:rFonts w:hint="eastAsia" w:ascii="仿宋_GB2312" w:eastAsia="仿宋_GB2312" w:cs="仿宋_GB2312"/>
          <w:color w:val="000000"/>
          <w:spacing w:val="0"/>
          <w:sz w:val="32"/>
          <w:szCs w:val="32"/>
          <w:lang w:eastAsia="zh-CN" w:bidi="ar-SA"/>
        </w:rPr>
      </w:pPr>
      <w:r>
        <w:rPr>
          <w:rStyle w:val="7"/>
          <w:rFonts w:hint="eastAsia" w:ascii="仿宋_GB2312" w:eastAsia="仿宋_GB2312"/>
          <w:b w:val="0"/>
          <w:color w:val="000000"/>
          <w:spacing w:val="0"/>
          <w:sz w:val="32"/>
          <w:szCs w:val="32"/>
        </w:rPr>
        <w:t>2.加大考核培训力度。</w:t>
      </w:r>
      <w:r>
        <w:rPr>
          <w:rStyle w:val="7"/>
          <w:rFonts w:hint="eastAsia" w:ascii="仿宋_GB2312" w:eastAsia="仿宋_GB2312"/>
          <w:b w:val="0"/>
          <w:color w:val="000000"/>
          <w:spacing w:val="0"/>
          <w:sz w:val="32"/>
          <w:szCs w:val="32"/>
          <w:lang w:val="en-US" w:eastAsia="zh-CN"/>
        </w:rPr>
        <w:t>2023年，</w:t>
      </w:r>
      <w:r>
        <w:rPr>
          <w:rFonts w:hint="eastAsia" w:ascii="仿宋_GB2312" w:eastAsia="仿宋_GB2312"/>
          <w:color w:val="000000"/>
          <w:spacing w:val="0"/>
          <w:sz w:val="32"/>
          <w:szCs w:val="32"/>
        </w:rPr>
        <w:t>产业东区开展工作调度和业务培训4次，每季度对</w:t>
      </w:r>
      <w:r>
        <w:rPr>
          <w:rFonts w:hint="eastAsia" w:ascii="仿宋_GB2312" w:eastAsia="仿宋_GB2312"/>
          <w:color w:val="000000"/>
          <w:spacing w:val="0"/>
          <w:sz w:val="32"/>
          <w:szCs w:val="32"/>
          <w:lang w:val="en-US" w:eastAsia="zh-CN"/>
        </w:rPr>
        <w:t>单位</w:t>
      </w:r>
      <w:r>
        <w:rPr>
          <w:rFonts w:hint="eastAsia" w:ascii="仿宋_GB2312" w:eastAsia="仿宋_GB2312"/>
          <w:color w:val="000000"/>
          <w:spacing w:val="0"/>
          <w:sz w:val="32"/>
          <w:szCs w:val="32"/>
        </w:rPr>
        <w:t>政务公开完成情况通报</w:t>
      </w:r>
      <w:r>
        <w:rPr>
          <w:rFonts w:hint="eastAsia" w:ascii="仿宋_GB2312" w:eastAsia="仿宋_GB2312"/>
          <w:color w:val="000000"/>
          <w:spacing w:val="0"/>
          <w:sz w:val="32"/>
          <w:szCs w:val="32"/>
          <w:lang w:eastAsia="zh-CN"/>
        </w:rPr>
        <w:t>，</w:t>
      </w:r>
      <w:r>
        <w:rPr>
          <w:rFonts w:hint="eastAsia" w:ascii="仿宋_GB2312" w:eastAsia="仿宋_GB2312"/>
          <w:color w:val="000000"/>
          <w:spacing w:val="0"/>
          <w:sz w:val="32"/>
          <w:szCs w:val="32"/>
          <w:lang w:val="en-US" w:eastAsia="zh-CN"/>
        </w:rPr>
        <w:t>加强单位自查和</w:t>
      </w:r>
      <w:r>
        <w:rPr>
          <w:rFonts w:hint="eastAsia" w:ascii="仿宋_GB2312" w:eastAsia="仿宋_GB2312"/>
          <w:color w:val="000000"/>
          <w:spacing w:val="0"/>
          <w:sz w:val="32"/>
          <w:szCs w:val="32"/>
        </w:rPr>
        <w:t>业务交流提升，强化单位各部门之间的配合，</w:t>
      </w:r>
      <w:r>
        <w:rPr>
          <w:rFonts w:hint="eastAsia" w:ascii="仿宋_GB2312" w:eastAsia="仿宋_GB2312"/>
          <w:color w:val="000000"/>
          <w:spacing w:val="0"/>
          <w:sz w:val="32"/>
          <w:szCs w:val="32"/>
          <w:lang w:val="en-US" w:eastAsia="zh-CN"/>
        </w:rPr>
        <w:t>不断</w:t>
      </w:r>
      <w:r>
        <w:rPr>
          <w:rFonts w:hint="eastAsia" w:ascii="仿宋_GB2312" w:eastAsia="仿宋_GB2312"/>
          <w:color w:val="000000"/>
          <w:spacing w:val="0"/>
          <w:sz w:val="32"/>
          <w:szCs w:val="32"/>
        </w:rPr>
        <w:t>提升政务公开水平</w:t>
      </w:r>
      <w:r>
        <w:rPr>
          <w:rFonts w:hint="eastAsia" w:ascii="仿宋_GB2312" w:eastAsia="仿宋_GB2312"/>
          <w:color w:val="000000"/>
          <w:spacing w:val="0"/>
          <w:sz w:val="32"/>
          <w:szCs w:val="32"/>
          <w:lang w:eastAsia="zh-CN"/>
        </w:rPr>
        <w:t>。</w:t>
      </w:r>
    </w:p>
    <w:p>
      <w:pPr>
        <w:pStyle w:val="3"/>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rPr>
      </w:pPr>
      <w:r>
        <w:rPr>
          <w:rFonts w:hint="eastAsia" w:ascii="黑体" w:hAnsi="宋体" w:eastAsia="黑体" w:cs="黑体"/>
          <w:color w:val="000000"/>
          <w:spacing w:val="0"/>
          <w:sz w:val="31"/>
          <w:szCs w:val="31"/>
        </w:rPr>
        <w:t>二、主动公开政府信息情况</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2955"/>
        <w:gridCol w:w="1290"/>
        <w:gridCol w:w="1335"/>
        <w:gridCol w:w="2550"/>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第二十条第（一）项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本年制</w:t>
            </w:r>
          </w:p>
          <w:p>
            <w:pPr>
              <w:jc w:val="center"/>
              <w:rPr>
                <w:rFonts w:hint="eastAsia" w:ascii="黑体" w:hAnsi="黑体" w:eastAsia="黑体" w:cs="黑体"/>
                <w:sz w:val="24"/>
                <w:szCs w:val="24"/>
              </w:rPr>
            </w:pPr>
            <w:r>
              <w:rPr>
                <w:rFonts w:hint="eastAsia" w:ascii="黑体" w:hAnsi="黑体" w:eastAsia="黑体" w:cs="黑体"/>
                <w:sz w:val="24"/>
                <w:szCs w:val="24"/>
              </w:rPr>
              <w:t>发件数</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本年废</w:t>
            </w:r>
          </w:p>
          <w:p>
            <w:pPr>
              <w:jc w:val="center"/>
              <w:rPr>
                <w:rFonts w:hint="eastAsia" w:ascii="黑体" w:hAnsi="黑体" w:eastAsia="黑体" w:cs="黑体"/>
                <w:sz w:val="24"/>
                <w:szCs w:val="24"/>
              </w:rPr>
            </w:pPr>
            <w:r>
              <w:rPr>
                <w:rFonts w:hint="eastAsia" w:ascii="黑体" w:hAnsi="黑体" w:eastAsia="黑体" w:cs="黑体"/>
                <w:sz w:val="24"/>
                <w:szCs w:val="24"/>
              </w:rPr>
              <w:t>止件数</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现行有效件数</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 w:hRule="atLeast"/>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规章</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行政规范性文件</w:t>
            </w:r>
          </w:p>
        </w:tc>
        <w:tc>
          <w:tcPr>
            <w:tcW w:w="129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c>
          <w:tcPr>
            <w:tcW w:w="133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c>
          <w:tcPr>
            <w:tcW w:w="2550"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第二十条第（五）项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行政许可</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第二十条第（六）项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本年处理决定数量</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行政处罚</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行政强制</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8130" w:type="dxa"/>
            <w:gridSpan w:val="4"/>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第二十条第（八）项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信息内容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本年收费金额（单位：万元）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2955" w:type="dxa"/>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eastAsia" w:ascii="黑体" w:hAnsi="黑体" w:eastAsia="黑体" w:cs="黑体"/>
                <w:sz w:val="24"/>
                <w:szCs w:val="24"/>
              </w:rPr>
            </w:pPr>
            <w:r>
              <w:rPr>
                <w:rFonts w:hint="eastAsia" w:ascii="黑体" w:hAnsi="黑体" w:eastAsia="黑体" w:cs="黑体"/>
                <w:sz w:val="24"/>
                <w:szCs w:val="24"/>
              </w:rPr>
              <w:t>行政事业性收费</w:t>
            </w:r>
          </w:p>
        </w:tc>
        <w:tc>
          <w:tcPr>
            <w:tcW w:w="5175" w:type="dxa"/>
            <w:gridSpan w:val="3"/>
            <w:tcBorders>
              <w:top w:val="outset" w:color="auto" w:sz="6" w:space="0"/>
              <w:left w:val="outset" w:color="auto" w:sz="6" w:space="0"/>
              <w:bottom w:val="outset" w:color="auto" w:sz="6" w:space="0"/>
              <w:right w:val="outset" w:color="auto" w:sz="6" w:space="0"/>
            </w:tcBorders>
            <w:noWrap w:val="0"/>
            <w:tcMar>
              <w:top w:w="75" w:type="dxa"/>
              <w:left w:w="75" w:type="dxa"/>
              <w:right w:w="75" w:type="dxa"/>
            </w:tcMar>
            <w:vAlign w:val="center"/>
          </w:tcPr>
          <w:p>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w:t>
            </w:r>
          </w:p>
        </w:tc>
      </w:tr>
    </w:tbl>
    <w:p>
      <w:pPr>
        <w:pStyle w:val="3"/>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rPr>
      </w:pPr>
      <w:r>
        <w:rPr>
          <w:rFonts w:hint="eastAsia" w:ascii="黑体" w:hAnsi="宋体" w:eastAsia="黑体" w:cs="黑体"/>
          <w:color w:val="000000"/>
          <w:spacing w:val="0"/>
          <w:sz w:val="31"/>
          <w:szCs w:val="31"/>
        </w:rPr>
        <w:t>三、收到和处理政府信息公开申请情况</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630"/>
        <w:gridCol w:w="840"/>
        <w:gridCol w:w="2668"/>
        <w:gridCol w:w="540"/>
        <w:gridCol w:w="553"/>
        <w:gridCol w:w="553"/>
        <w:gridCol w:w="700"/>
        <w:gridCol w:w="673"/>
        <w:gridCol w:w="553"/>
        <w:gridCol w:w="80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38" w:type="dxa"/>
            <w:gridSpan w:val="3"/>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pStyle w:val="3"/>
              <w:keepNext w:val="0"/>
              <w:keepLines w:val="0"/>
              <w:pageBreakBefore w:val="0"/>
              <w:widowControl/>
              <w:suppressLineNumbers w:val="0"/>
              <w:kinsoku/>
              <w:wordWrap w:val="0"/>
              <w:overflowPunct/>
              <w:topLinePunct w:val="0"/>
              <w:autoSpaceDE/>
              <w:autoSpaceDN/>
              <w:bidi w:val="0"/>
              <w:adjustRightInd/>
              <w:snapToGrid/>
              <w:spacing w:beforeAutospacing="0" w:line="580" w:lineRule="exact"/>
              <w:jc w:val="center"/>
              <w:textAlignment w:val="auto"/>
            </w:pPr>
            <w:r>
              <w:rPr>
                <w:rFonts w:hint="eastAsia" w:ascii="楷体" w:hAnsi="楷体" w:eastAsia="楷体" w:cs="楷体"/>
                <w:sz w:val="21"/>
                <w:szCs w:val="21"/>
              </w:rPr>
              <w:t>（本列数据的勾稽关系为：第一项加第二项之和，等于第三项加第四项之和）</w:t>
            </w:r>
          </w:p>
        </w:tc>
        <w:tc>
          <w:tcPr>
            <w:tcW w:w="4378" w:type="dxa"/>
            <w:gridSpan w:val="7"/>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申请人情况</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20" w:hRule="atLeast"/>
          <w:jc w:val="center"/>
        </w:trPr>
        <w:tc>
          <w:tcPr>
            <w:tcW w:w="4138"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54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自然人</w:t>
            </w:r>
          </w:p>
        </w:tc>
        <w:tc>
          <w:tcPr>
            <w:tcW w:w="3032"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法人或其他组织</w:t>
            </w:r>
          </w:p>
        </w:tc>
        <w:tc>
          <w:tcPr>
            <w:tcW w:w="806"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725" w:hRule="atLeast"/>
          <w:jc w:val="center"/>
        </w:trPr>
        <w:tc>
          <w:tcPr>
            <w:tcW w:w="4138" w:type="dxa"/>
            <w:gridSpan w:val="3"/>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5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商业企业</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科研机构</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社会公益组织</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法律服务机构</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其他</w:t>
            </w:r>
          </w:p>
        </w:tc>
        <w:tc>
          <w:tcPr>
            <w:tcW w:w="806"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95" w:hRule="atLeast"/>
          <w:jc w:val="center"/>
        </w:trPr>
        <w:tc>
          <w:tcPr>
            <w:tcW w:w="4138"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一、</w:t>
            </w:r>
            <w:bookmarkStart w:id="0" w:name="_Hlk66973412"/>
            <w:r>
              <w:rPr>
                <w:rFonts w:hint="eastAsia" w:ascii="黑体" w:hAnsi="黑体" w:eastAsia="黑体" w:cs="黑体"/>
              </w:rPr>
              <w:t>本年新收政府信息公开申请数量</w:t>
            </w:r>
            <w:bookmarkEnd w:id="0"/>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val="en-US"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15" w:hRule="atLeast"/>
          <w:jc w:val="center"/>
        </w:trPr>
        <w:tc>
          <w:tcPr>
            <w:tcW w:w="4138"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二、上年结转政府信息公开申请数量</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3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三、本年度办理结果</w:t>
            </w:r>
          </w:p>
        </w:tc>
        <w:tc>
          <w:tcPr>
            <w:tcW w:w="3508"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（一）予以公开</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val="en-US"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val="en-US"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3508"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（二）部分公开（</w:t>
            </w:r>
            <w:bookmarkStart w:id="1" w:name="_Hlk66973981"/>
            <w:r>
              <w:rPr>
                <w:rFonts w:hint="eastAsia" w:ascii="黑体" w:hAnsi="黑体" w:eastAsia="黑体" w:cs="黑体"/>
              </w:rPr>
              <w:t>区分处理的，只计这一情形，不计其他情形</w:t>
            </w:r>
            <w:bookmarkEnd w:id="1"/>
            <w:r>
              <w:rPr>
                <w:rFonts w:hint="eastAsia" w:ascii="黑体" w:hAnsi="黑体" w:eastAsia="黑体" w:cs="黑体"/>
              </w:rPr>
              <w:t>）</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（三）不予公开</w:t>
            </w: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1.属于国家秘密</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bookmarkStart w:id="2" w:name="_Hlk66974104"/>
            <w:r>
              <w:rPr>
                <w:rFonts w:hint="eastAsia" w:ascii="仿宋_GB2312" w:hAnsi="仿宋_GB2312" w:eastAsia="仿宋_GB2312" w:cs="仿宋_GB2312"/>
              </w:rPr>
              <w:t>其他法律行政法规禁止公开</w:t>
            </w:r>
            <w:bookmarkEnd w:id="2"/>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3.危及“三安全一稳定”</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w:t>
            </w:r>
            <w:bookmarkStart w:id="3" w:name="_Hlk66974290"/>
            <w:r>
              <w:rPr>
                <w:rFonts w:hint="eastAsia" w:ascii="仿宋_GB2312" w:hAnsi="仿宋_GB2312" w:eastAsia="仿宋_GB2312" w:cs="仿宋_GB2312"/>
              </w:rPr>
              <w:t>保护第三方合法权益</w:t>
            </w:r>
            <w:bookmarkEnd w:id="3"/>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5.属于三类内部事务信息</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lang w:val="en-US"/>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lang w:val="en-US"/>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lang w:val="en-US"/>
              </w:rPr>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lang w:val="en-US"/>
              </w:rPr>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lang w:val="en-US"/>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lang w:val="en-US"/>
              </w:rPr>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lang w:val="en-US"/>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6.</w:t>
            </w:r>
            <w:bookmarkStart w:id="4" w:name="_Hlk66974555"/>
            <w:r>
              <w:rPr>
                <w:rFonts w:hint="eastAsia" w:ascii="仿宋_GB2312" w:hAnsi="仿宋_GB2312" w:eastAsia="仿宋_GB2312" w:cs="仿宋_GB2312"/>
              </w:rPr>
              <w:t>属于四类过程性信息</w:t>
            </w:r>
            <w:bookmarkEnd w:id="4"/>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7.属于行政执法案卷</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8.</w:t>
            </w:r>
            <w:bookmarkStart w:id="5" w:name="_Hlk66975211"/>
            <w:r>
              <w:rPr>
                <w:rFonts w:hint="eastAsia" w:ascii="仿宋_GB2312" w:hAnsi="仿宋_GB2312" w:eastAsia="仿宋_GB2312" w:cs="仿宋_GB2312"/>
              </w:rPr>
              <w:t>属于行政查询事项</w:t>
            </w:r>
            <w:bookmarkEnd w:id="5"/>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（四）无法提供</w:t>
            </w: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1.本机关不掌握相关政府信息</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w:t>
            </w:r>
            <w:bookmarkStart w:id="6" w:name="_Hlk66975392"/>
            <w:r>
              <w:rPr>
                <w:rFonts w:hint="eastAsia" w:ascii="仿宋_GB2312" w:hAnsi="仿宋_GB2312" w:eastAsia="仿宋_GB2312" w:cs="仿宋_GB2312"/>
              </w:rPr>
              <w:t>没有现成信息需要另行制作</w:t>
            </w:r>
            <w:bookmarkEnd w:id="6"/>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w:t>
            </w:r>
            <w:bookmarkStart w:id="7" w:name="_Hlk66975466"/>
            <w:r>
              <w:rPr>
                <w:rFonts w:hint="eastAsia" w:ascii="仿宋_GB2312" w:hAnsi="仿宋_GB2312" w:eastAsia="仿宋_GB2312" w:cs="仿宋_GB2312"/>
              </w:rPr>
              <w:t>补正后申请内容仍不明确</w:t>
            </w:r>
            <w:bookmarkEnd w:id="7"/>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（五）不予处理</w:t>
            </w: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w:t>
            </w:r>
            <w:bookmarkStart w:id="8" w:name="_Hlk66975537"/>
            <w:r>
              <w:rPr>
                <w:rFonts w:hint="eastAsia" w:ascii="仿宋_GB2312" w:hAnsi="仿宋_GB2312" w:eastAsia="仿宋_GB2312" w:cs="仿宋_GB2312"/>
              </w:rPr>
              <w:t>信访举报投诉类申请</w:t>
            </w:r>
            <w:bookmarkEnd w:id="8"/>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2.重复申请</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3.要求提供公开出版物</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90" w:hRule="atLeast"/>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4.无正当理由大量反复申请</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2668"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5.要求行政机关确认或重新出具已获取信息</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840" w:type="dxa"/>
            <w:vMerge w:val="restart"/>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（六）其他处理</w:t>
            </w:r>
          </w:p>
        </w:tc>
        <w:tc>
          <w:tcPr>
            <w:tcW w:w="2668"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1.申请人无正当理由逾期不补正、行政机关不再处理其政府信息公开申请</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2668"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2.申请人逾期未按收费通知要求缴纳费用、行政机关不再处理其政府信息公开申请</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84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kinsoku/>
              <w:overflowPunct/>
              <w:topLinePunct w:val="0"/>
              <w:autoSpaceDE/>
              <w:autoSpaceDN/>
              <w:bidi w:val="0"/>
              <w:adjustRightInd/>
              <w:snapToGrid/>
              <w:spacing w:beforeAutospacing="0" w:line="580" w:lineRule="exact"/>
              <w:jc w:val="center"/>
              <w:textAlignment w:val="auto"/>
              <w:rPr>
                <w:rFonts w:hint="default" w:ascii="sans-serif" w:hAnsi="sans-serif" w:eastAsia="sans-serif" w:cs="sans-serif"/>
                <w:sz w:val="24"/>
                <w:szCs w:val="24"/>
              </w:rPr>
            </w:pPr>
          </w:p>
        </w:tc>
        <w:tc>
          <w:tcPr>
            <w:tcW w:w="2668" w:type="dxa"/>
            <w:tcBorders>
              <w:top w:val="single" w:color="auto" w:sz="6" w:space="0"/>
              <w:left w:val="single" w:color="auto" w:sz="6" w:space="0"/>
              <w:bottom w:val="single" w:color="auto" w:sz="6" w:space="0"/>
              <w:right w:val="single" w:color="auto" w:sz="6" w:space="0"/>
            </w:tcBorders>
            <w:noWrap w:val="0"/>
            <w:tcMar>
              <w:left w:w="0" w:type="dxa"/>
              <w:bottom w:w="0" w:type="dxa"/>
              <w:right w:w="0" w:type="dxa"/>
            </w:tcMar>
            <w:vAlign w:val="center"/>
          </w:tcPr>
          <w:p>
            <w:pPr>
              <w:jc w:val="center"/>
              <w:rPr>
                <w:rFonts w:hint="eastAsia" w:ascii="仿宋_GB2312" w:hAnsi="仿宋_GB2312" w:eastAsia="仿宋_GB2312" w:cs="仿宋_GB2312"/>
              </w:rPr>
            </w:pPr>
            <w:r>
              <w:rPr>
                <w:rFonts w:hint="eastAsia" w:ascii="仿宋_GB2312" w:hAnsi="仿宋_GB2312" w:eastAsia="仿宋_GB2312" w:cs="仿宋_GB2312"/>
              </w:rPr>
              <w:t>3.其他</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p>
        </w:tc>
        <w:tc>
          <w:tcPr>
            <w:tcW w:w="3508" w:type="dxa"/>
            <w:gridSpan w:val="2"/>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（七）总计</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4138" w:type="dxa"/>
            <w:gridSpan w:val="3"/>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rPr>
            </w:pPr>
            <w:r>
              <w:rPr>
                <w:rFonts w:hint="eastAsia" w:ascii="黑体" w:hAnsi="黑体" w:eastAsia="黑体" w:cs="黑体"/>
              </w:rPr>
              <w:t>四、结转下年度继续办理</w:t>
            </w:r>
          </w:p>
        </w:tc>
        <w:tc>
          <w:tcPr>
            <w:tcW w:w="54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eastAsia" w:eastAsia="宋体"/>
                <w:lang w:eastAsia="zh-CN"/>
              </w:rPr>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700"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67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553"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pPr>
            <w:r>
              <w:rPr>
                <w:rFonts w:hint="eastAsia" w:ascii="仿宋_GB2312" w:hAnsi="sans-serif" w:eastAsia="仿宋_GB2312" w:cs="仿宋_GB2312"/>
                <w:sz w:val="21"/>
                <w:szCs w:val="21"/>
                <w:lang w:val="en-US" w:eastAsia="zh-CN"/>
              </w:rPr>
              <w:t>0</w:t>
            </w:r>
          </w:p>
        </w:tc>
        <w:tc>
          <w:tcPr>
            <w:tcW w:w="806" w:type="dxa"/>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keepNext w:val="0"/>
              <w:keepLines w:val="0"/>
              <w:pageBreakBefore w:val="0"/>
              <w:widowControl/>
              <w:suppressLineNumbers w:val="0"/>
              <w:kinsoku/>
              <w:wordWrap w:val="0"/>
              <w:overflowPunct/>
              <w:topLinePunct w:val="0"/>
              <w:autoSpaceDE/>
              <w:autoSpaceDN/>
              <w:bidi w:val="0"/>
              <w:adjustRightInd/>
              <w:snapToGrid/>
              <w:spacing w:beforeAutospacing="0" w:after="180" w:afterAutospacing="0" w:line="580" w:lineRule="exact"/>
              <w:jc w:val="center"/>
              <w:textAlignment w:val="auto"/>
              <w:rPr>
                <w:rFonts w:hint="default" w:eastAsia="宋体"/>
                <w:lang w:val="en-US" w:eastAsia="zh-CN"/>
              </w:rPr>
            </w:pPr>
            <w:r>
              <w:rPr>
                <w:rFonts w:hint="eastAsia" w:ascii="仿宋_GB2312" w:hAnsi="sans-serif" w:eastAsia="仿宋_GB2312" w:cs="仿宋_GB2312"/>
                <w:sz w:val="21"/>
                <w:szCs w:val="21"/>
                <w:lang w:val="en-US" w:eastAsia="zh-CN"/>
              </w:rPr>
              <w:t>0</w:t>
            </w:r>
          </w:p>
        </w:tc>
      </w:tr>
    </w:tbl>
    <w:p>
      <w:pPr>
        <w:pStyle w:val="3"/>
        <w:keepNext w:val="0"/>
        <w:keepLines w:val="0"/>
        <w:pageBreakBefore w:val="0"/>
        <w:widowControl/>
        <w:suppressLineNumbers w:val="0"/>
        <w:kinsoku/>
        <w:overflowPunct/>
        <w:topLinePunct w:val="0"/>
        <w:autoSpaceDE/>
        <w:autoSpaceDN/>
        <w:bidi w:val="0"/>
        <w:adjustRightInd/>
        <w:snapToGrid/>
        <w:spacing w:beforeAutospacing="0" w:line="580" w:lineRule="exact"/>
        <w:ind w:left="0" w:firstLine="645"/>
        <w:textAlignment w:val="auto"/>
        <w:rPr>
          <w:color w:val="000000"/>
        </w:rPr>
      </w:pPr>
      <w:r>
        <w:rPr>
          <w:rFonts w:hint="eastAsia" w:ascii="黑体" w:hAnsi="宋体" w:eastAsia="黑体" w:cs="黑体"/>
          <w:color w:val="000000"/>
          <w:spacing w:val="0"/>
          <w:sz w:val="31"/>
          <w:szCs w:val="31"/>
        </w:rPr>
        <w:t>四、政府信息公开行政复议、行政诉讼情况</w:t>
      </w:r>
    </w:p>
    <w:tbl>
      <w:tblPr>
        <w:tblStyle w:val="5"/>
        <w:tblW w:w="0" w:type="auto"/>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Layout w:type="autofit"/>
        <w:tblCellMar>
          <w:top w:w="0" w:type="dxa"/>
          <w:left w:w="150" w:type="dxa"/>
          <w:bottom w:w="75" w:type="dxa"/>
          <w:right w:w="150" w:type="dxa"/>
        </w:tblCellMar>
      </w:tblPr>
      <w:tblGrid>
        <w:gridCol w:w="515"/>
        <w:gridCol w:w="570"/>
        <w:gridCol w:w="598"/>
        <w:gridCol w:w="570"/>
        <w:gridCol w:w="419"/>
        <w:gridCol w:w="543"/>
        <w:gridCol w:w="584"/>
        <w:gridCol w:w="584"/>
        <w:gridCol w:w="584"/>
        <w:gridCol w:w="598"/>
        <w:gridCol w:w="584"/>
        <w:gridCol w:w="584"/>
        <w:gridCol w:w="585"/>
        <w:gridCol w:w="585"/>
        <w:gridCol w:w="61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495" w:hRule="atLeast"/>
          <w:jc w:val="center"/>
        </w:trPr>
        <w:tc>
          <w:tcPr>
            <w:tcW w:w="2730" w:type="dxa"/>
            <w:gridSpan w:val="5"/>
            <w:tcBorders>
              <w:top w:val="single" w:color="auto" w:sz="6" w:space="0"/>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行政复议</w:t>
            </w:r>
          </w:p>
        </w:tc>
        <w:tc>
          <w:tcPr>
            <w:tcW w:w="6000" w:type="dxa"/>
            <w:gridSpan w:val="10"/>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540" w:hRule="atLeast"/>
          <w:jc w:val="center"/>
        </w:trPr>
        <w:tc>
          <w:tcPr>
            <w:tcW w:w="525" w:type="dxa"/>
            <w:vMerge w:val="restart"/>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w:t>
            </w:r>
          </w:p>
          <w:p>
            <w:pPr>
              <w:jc w:val="center"/>
              <w:rPr>
                <w:rFonts w:hint="eastAsia" w:ascii="黑体" w:hAnsi="黑体" w:eastAsia="黑体" w:cs="黑体"/>
                <w:sz w:val="20"/>
                <w:szCs w:val="20"/>
              </w:rPr>
            </w:pPr>
            <w:r>
              <w:rPr>
                <w:rFonts w:hint="eastAsia" w:ascii="黑体" w:hAnsi="黑体" w:eastAsia="黑体" w:cs="黑体"/>
                <w:sz w:val="20"/>
                <w:szCs w:val="20"/>
              </w:rPr>
              <w:t>维持</w:t>
            </w:r>
          </w:p>
        </w:tc>
        <w:tc>
          <w:tcPr>
            <w:tcW w:w="585" w:type="dxa"/>
            <w:vMerge w:val="restart"/>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结果纠正</w:t>
            </w:r>
          </w:p>
        </w:tc>
        <w:tc>
          <w:tcPr>
            <w:tcW w:w="615"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其他结果</w:t>
            </w:r>
          </w:p>
        </w:tc>
        <w:tc>
          <w:tcPr>
            <w:tcW w:w="585"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尚未</w:t>
            </w:r>
          </w:p>
          <w:p>
            <w:pPr>
              <w:jc w:val="center"/>
              <w:rPr>
                <w:rFonts w:hint="eastAsia" w:ascii="黑体" w:hAnsi="黑体" w:eastAsia="黑体" w:cs="黑体"/>
                <w:sz w:val="20"/>
                <w:szCs w:val="20"/>
              </w:rPr>
            </w:pPr>
            <w:r>
              <w:rPr>
                <w:rFonts w:hint="eastAsia" w:ascii="黑体" w:hAnsi="黑体" w:eastAsia="黑体" w:cs="黑体"/>
                <w:sz w:val="20"/>
                <w:szCs w:val="20"/>
              </w:rPr>
              <w:t>审结</w:t>
            </w:r>
          </w:p>
        </w:tc>
        <w:tc>
          <w:tcPr>
            <w:tcW w:w="420" w:type="dxa"/>
            <w:vMerge w:val="restart"/>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总</w:t>
            </w:r>
          </w:p>
          <w:p>
            <w:pPr>
              <w:jc w:val="center"/>
              <w:rPr>
                <w:rFonts w:hint="eastAsia" w:ascii="黑体" w:hAnsi="黑体" w:eastAsia="黑体" w:cs="黑体"/>
                <w:sz w:val="20"/>
                <w:szCs w:val="20"/>
              </w:rPr>
            </w:pPr>
            <w:r>
              <w:rPr>
                <w:rFonts w:hint="eastAsia" w:ascii="黑体" w:hAnsi="黑体" w:eastAsia="黑体" w:cs="黑体"/>
                <w:sz w:val="20"/>
                <w:szCs w:val="20"/>
              </w:rPr>
              <w:t>计</w:t>
            </w:r>
          </w:p>
        </w:tc>
        <w:tc>
          <w:tcPr>
            <w:tcW w:w="297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未经复议直接起诉</w:t>
            </w:r>
          </w:p>
        </w:tc>
        <w:tc>
          <w:tcPr>
            <w:tcW w:w="3030" w:type="dxa"/>
            <w:gridSpan w:val="5"/>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bookmarkStart w:id="9" w:name="_Hlk67039688"/>
            <w:r>
              <w:rPr>
                <w:rFonts w:hint="eastAsia" w:ascii="黑体" w:hAnsi="黑体" w:eastAsia="黑体" w:cs="黑体"/>
                <w:sz w:val="20"/>
                <w:szCs w:val="20"/>
              </w:rPr>
              <w:t>复议后起诉</w:t>
            </w:r>
            <w:bookmarkEnd w:id="9"/>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900" w:hRule="atLeast"/>
          <w:jc w:val="center"/>
        </w:trPr>
        <w:tc>
          <w:tcPr>
            <w:tcW w:w="525" w:type="dxa"/>
            <w:vMerge w:val="continue"/>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585" w:type="dxa"/>
            <w:vMerge w:val="continue"/>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615"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585"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420" w:type="dxa"/>
            <w:vMerge w:val="continue"/>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结果维持</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其他</w:t>
            </w:r>
          </w:p>
          <w:p>
            <w:pPr>
              <w:jc w:val="center"/>
              <w:rPr>
                <w:rFonts w:hint="eastAsia" w:ascii="黑体" w:hAnsi="黑体" w:eastAsia="黑体" w:cs="黑体"/>
                <w:sz w:val="20"/>
                <w:szCs w:val="20"/>
              </w:rPr>
            </w:pPr>
            <w:r>
              <w:rPr>
                <w:rFonts w:hint="eastAsia" w:ascii="黑体" w:hAnsi="黑体" w:eastAsia="黑体" w:cs="黑体"/>
                <w:sz w:val="20"/>
                <w:szCs w:val="20"/>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尚未</w:t>
            </w:r>
          </w:p>
          <w:p>
            <w:pPr>
              <w:jc w:val="center"/>
              <w:rPr>
                <w:rFonts w:hint="eastAsia" w:ascii="黑体" w:hAnsi="黑体" w:eastAsia="黑体" w:cs="黑体"/>
                <w:sz w:val="20"/>
                <w:szCs w:val="20"/>
              </w:rPr>
            </w:pPr>
            <w:r>
              <w:rPr>
                <w:rFonts w:hint="eastAsia" w:ascii="黑体" w:hAnsi="黑体" w:eastAsia="黑体" w:cs="黑体"/>
                <w:sz w:val="20"/>
                <w:szCs w:val="20"/>
              </w:rPr>
              <w:t>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总计</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结果维持</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结果</w:t>
            </w:r>
          </w:p>
          <w:p>
            <w:pPr>
              <w:jc w:val="center"/>
              <w:rPr>
                <w:rFonts w:hint="eastAsia" w:ascii="黑体" w:hAnsi="黑体" w:eastAsia="黑体" w:cs="黑体"/>
                <w:sz w:val="20"/>
                <w:szCs w:val="20"/>
              </w:rPr>
            </w:pPr>
            <w:r>
              <w:rPr>
                <w:rFonts w:hint="eastAsia" w:ascii="黑体" w:hAnsi="黑体" w:eastAsia="黑体" w:cs="黑体"/>
                <w:sz w:val="20"/>
                <w:szCs w:val="20"/>
              </w:rPr>
              <w:t>纠正</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其他</w:t>
            </w:r>
          </w:p>
          <w:p>
            <w:pPr>
              <w:jc w:val="center"/>
              <w:rPr>
                <w:rFonts w:hint="eastAsia" w:ascii="黑体" w:hAnsi="黑体" w:eastAsia="黑体" w:cs="黑体"/>
                <w:sz w:val="20"/>
                <w:szCs w:val="20"/>
              </w:rPr>
            </w:pPr>
            <w:r>
              <w:rPr>
                <w:rFonts w:hint="eastAsia" w:ascii="黑体" w:hAnsi="黑体" w:eastAsia="黑体" w:cs="黑体"/>
                <w:sz w:val="20"/>
                <w:szCs w:val="20"/>
              </w:rPr>
              <w:t>结果</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尚未审结</w:t>
            </w:r>
          </w:p>
        </w:tc>
        <w:tc>
          <w:tcPr>
            <w:tcW w:w="600" w:type="dxa"/>
            <w:tcBorders>
              <w:top w:val="single" w:color="auto" w:sz="6" w:space="0"/>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jc w:val="center"/>
        </w:trPr>
        <w:tc>
          <w:tcPr>
            <w:tcW w:w="525" w:type="dxa"/>
            <w:tcBorders>
              <w:top w:val="nil"/>
              <w:left w:val="single" w:color="auto" w:sz="6" w:space="0"/>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lang w:eastAsia="zh-CN"/>
              </w:rPr>
            </w:pPr>
            <w:r>
              <w:rPr>
                <w:rFonts w:hint="eastAsia" w:ascii="黑体" w:hAnsi="黑体" w:eastAsia="黑体" w:cs="黑体"/>
                <w:sz w:val="20"/>
                <w:szCs w:val="20"/>
                <w:lang w:val="en-US" w:eastAsia="zh-CN"/>
              </w:rPr>
              <w:t>0</w:t>
            </w:r>
          </w:p>
        </w:tc>
        <w:tc>
          <w:tcPr>
            <w:tcW w:w="585"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lang w:eastAsia="zh-CN"/>
              </w:rPr>
            </w:pPr>
            <w:r>
              <w:rPr>
                <w:rFonts w:hint="eastAsia" w:ascii="黑体" w:hAnsi="黑体" w:eastAsia="黑体" w:cs="黑体"/>
                <w:sz w:val="20"/>
                <w:szCs w:val="20"/>
                <w:lang w:val="en-US" w:eastAsia="zh-CN"/>
              </w:rPr>
              <w:t>0</w:t>
            </w:r>
          </w:p>
        </w:tc>
        <w:tc>
          <w:tcPr>
            <w:tcW w:w="615"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lang w:val="en-US" w:eastAsia="zh-CN"/>
              </w:rPr>
            </w:pPr>
            <w:r>
              <w:rPr>
                <w:rFonts w:hint="eastAsia" w:ascii="黑体" w:hAnsi="黑体" w:eastAsia="黑体" w:cs="黑体"/>
                <w:sz w:val="20"/>
                <w:szCs w:val="20"/>
                <w:lang w:val="en-US" w:eastAsia="zh-CN"/>
              </w:rPr>
              <w:t>0</w:t>
            </w:r>
          </w:p>
        </w:tc>
        <w:tc>
          <w:tcPr>
            <w:tcW w:w="585"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lang w:val="en-US" w:eastAsia="zh-CN"/>
              </w:rPr>
              <w:t>0</w:t>
            </w:r>
          </w:p>
        </w:tc>
        <w:tc>
          <w:tcPr>
            <w:tcW w:w="42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lang w:eastAsia="zh-CN"/>
              </w:rPr>
            </w:pPr>
            <w:r>
              <w:rPr>
                <w:rFonts w:hint="eastAsia" w:ascii="黑体" w:hAnsi="黑体" w:eastAsia="黑体" w:cs="黑体"/>
                <w:sz w:val="20"/>
                <w:szCs w:val="20"/>
                <w:lang w:val="en-US" w:eastAsia="zh-CN"/>
              </w:rPr>
              <w:t>0</w:t>
            </w:r>
          </w:p>
        </w:tc>
        <w:tc>
          <w:tcPr>
            <w:tcW w:w="555"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lang w:val="en-US" w:eastAsia="zh-CN"/>
              </w:rPr>
              <w:t>0</w:t>
            </w:r>
          </w:p>
        </w:tc>
        <w:tc>
          <w:tcPr>
            <w:tcW w:w="600" w:type="dxa"/>
            <w:tcBorders>
              <w:top w:val="nil"/>
              <w:left w:val="nil"/>
              <w:bottom w:val="single" w:color="auto" w:sz="6" w:space="0"/>
              <w:right w:val="single" w:color="auto" w:sz="6" w:space="0"/>
            </w:tcBorders>
            <w:noWrap w:val="0"/>
            <w:tcMar>
              <w:left w:w="105" w:type="dxa"/>
              <w:bottom w:w="0" w:type="dxa"/>
              <w:right w:w="105" w:type="dxa"/>
            </w:tcMar>
            <w:vAlign w:val="center"/>
          </w:tcPr>
          <w:p>
            <w:pPr>
              <w:jc w:val="center"/>
              <w:rPr>
                <w:rFonts w:hint="eastAsia" w:ascii="黑体" w:hAnsi="黑体" w:eastAsia="黑体" w:cs="黑体"/>
                <w:sz w:val="20"/>
                <w:szCs w:val="20"/>
              </w:rPr>
            </w:pPr>
            <w:r>
              <w:rPr>
                <w:rFonts w:hint="eastAsia" w:ascii="黑体" w:hAnsi="黑体" w:eastAsia="黑体" w:cs="黑体"/>
                <w:sz w:val="20"/>
                <w:szCs w:val="20"/>
                <w:lang w:val="en-US" w:eastAsia="zh-CN"/>
              </w:rPr>
              <w:t>0</w:t>
            </w:r>
          </w:p>
        </w:tc>
      </w:tr>
    </w:tbl>
    <w:p>
      <w:pPr>
        <w:widowControl/>
        <w:spacing w:line="560" w:lineRule="exact"/>
        <w:ind w:firstLine="640" w:firstLineChars="200"/>
        <w:jc w:val="left"/>
        <w:rPr>
          <w:rFonts w:hint="default" w:ascii="Times New Roman" w:hAnsi="Times New Roman" w:eastAsia="黑体" w:cs="Times New Roman"/>
          <w:color w:val="000000"/>
          <w:kern w:val="0"/>
          <w:sz w:val="32"/>
          <w:szCs w:val="32"/>
          <w:lang w:bidi="ar-SA"/>
        </w:rPr>
      </w:pPr>
      <w:r>
        <w:rPr>
          <w:rFonts w:hint="default" w:ascii="Times New Roman" w:hAnsi="Times New Roman" w:eastAsia="黑体" w:cs="Times New Roman"/>
          <w:color w:val="000000"/>
          <w:kern w:val="0"/>
          <w:sz w:val="32"/>
          <w:szCs w:val="32"/>
          <w:lang w:bidi="ar-SA"/>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exact"/>
        <w:ind w:right="0" w:firstLine="640" w:firstLineChars="200"/>
        <w:jc w:val="left"/>
        <w:rPr>
          <w:rFonts w:hint="eastAsia" w:ascii="仿宋_GB2312" w:eastAsia="仿宋_GB2312" w:cs="仿宋_GB2312"/>
          <w:color w:val="auto"/>
          <w:kern w:val="0"/>
          <w:sz w:val="32"/>
          <w:szCs w:val="32"/>
          <w:lang w:val="en-US" w:eastAsia="zh-CN" w:bidi="ar-SA"/>
        </w:rPr>
      </w:pPr>
      <w:r>
        <w:rPr>
          <w:rFonts w:hint="eastAsia" w:ascii="仿宋_GB2312" w:eastAsia="仿宋_GB2312" w:cs="仿宋_GB2312"/>
          <w:color w:val="auto"/>
          <w:kern w:val="0"/>
          <w:sz w:val="32"/>
          <w:szCs w:val="32"/>
          <w:lang w:val="en-US" w:eastAsia="zh-CN" w:bidi="ar-SA"/>
        </w:rPr>
        <w:t>2023年，我单位政府信息公开工作有序推进，圆满完成了工作任务，但也存在一些问题和不足。表现在：一是公开内容需要进一步深化。政府机关主动公开的政府信息与公众的需求还存在一些距离。二是公开形式的便民性需要进一步提高。比较重视通过网站公开政府信息，适合公众查阅的公开形式不够丰富。三是信息公开工作队伍建设需加强，工作人员业务水平需进一步提高。下一步，我单位将采取以下改进措施：一是加大培训力度。组织工作人员深入学习《中华人民共和国政府信息公开条例》相关文件精神，确保信息公开工作顺利开展。二是充实公开内容。按照“以公开为原则，不公开为例外”的总体要求，进一步做好公开和免予公开两类政府信息的界定，完善主动公开的政府信息目录，编制依申请公开的政府信息目录。三是规范、优化申请处理流程。规范信息公开流程，提高申请处理效率，方便公众获取政府信息，加强政府信息公开咨询服务工作。加强人员配备，加强政府信息公开的指导和监督。</w:t>
      </w:r>
    </w:p>
    <w:p>
      <w:pPr>
        <w:widowControl/>
        <w:spacing w:line="560" w:lineRule="exact"/>
        <w:ind w:firstLine="640" w:firstLineChars="200"/>
        <w:jc w:val="left"/>
        <w:rPr>
          <w:rFonts w:hint="default" w:ascii="Times New Roman" w:hAnsi="Times New Roman" w:eastAsia="黑体" w:cs="Times New Roman"/>
          <w:color w:val="000000"/>
          <w:kern w:val="0"/>
          <w:sz w:val="32"/>
          <w:szCs w:val="32"/>
          <w:lang w:bidi="ar-SA"/>
        </w:rPr>
      </w:pPr>
      <w:r>
        <w:rPr>
          <w:rFonts w:hint="default" w:ascii="Times New Roman" w:hAnsi="Times New Roman" w:eastAsia="黑体" w:cs="Times New Roman"/>
          <w:color w:val="000000"/>
          <w:kern w:val="0"/>
          <w:sz w:val="32"/>
          <w:szCs w:val="32"/>
          <w:lang w:bidi="ar-SA"/>
        </w:rPr>
        <w:t>六、其他需要报告的事项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（一）本年度政府信息公开申请未达到《政府信息公开信息处理费管理办法》（国办函〔2020〕109号）所规定的信息处理费收费标准，故未收取信息处理费。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（二）落实上级政务公开重点工作情况</w:t>
      </w:r>
      <w:r>
        <w:rPr>
          <w:rFonts w:hint="eastAsia" w:ascii="仿宋_GB2312" w:hAnsi="仿宋_GB2312" w:eastAsia="仿宋_GB2312" w:cs="仿宋_GB2312"/>
          <w:color w:val="000000"/>
          <w:sz w:val="32"/>
          <w:szCs w:val="32"/>
        </w:rPr>
        <w:t>。根据《2023年枣庄市政务公开工作要点》</w:t>
      </w:r>
      <w:r>
        <w:rPr>
          <w:rFonts w:hint="eastAsia" w:ascii="仿宋_GB2312" w:hAnsi="仿宋_GB2312" w:eastAsia="仿宋_GB2312" w:cs="仿宋_GB2312"/>
          <w:color w:val="000000"/>
          <w:sz w:val="32"/>
          <w:szCs w:val="32"/>
          <w:lang w:val="en-US" w:eastAsia="zh-CN"/>
        </w:rPr>
        <w:t>及《枣庄高新区2023年度政务公开工作考核办法》</w:t>
      </w:r>
      <w:r>
        <w:rPr>
          <w:rFonts w:hint="eastAsia" w:ascii="仿宋_GB2312" w:hAnsi="仿宋_GB2312" w:eastAsia="仿宋_GB2312" w:cs="仿宋_GB2312"/>
          <w:color w:val="000000"/>
          <w:sz w:val="32"/>
          <w:szCs w:val="32"/>
        </w:rPr>
        <w:t>要求，结合</w:t>
      </w:r>
      <w:r>
        <w:rPr>
          <w:rFonts w:hint="eastAsia" w:ascii="仿宋_GB2312" w:hAnsi="仿宋_GB2312" w:eastAsia="仿宋_GB2312" w:cs="仿宋_GB2312"/>
          <w:color w:val="000000"/>
          <w:sz w:val="32"/>
          <w:szCs w:val="32"/>
          <w:lang w:val="en-US" w:eastAsia="zh-CN"/>
        </w:rPr>
        <w:t>园区</w:t>
      </w:r>
      <w:r>
        <w:rPr>
          <w:rFonts w:hint="eastAsia" w:ascii="仿宋_GB2312" w:hAnsi="仿宋_GB2312" w:eastAsia="仿宋_GB2312" w:cs="仿宋_GB2312"/>
          <w:color w:val="000000"/>
          <w:sz w:val="32"/>
          <w:szCs w:val="32"/>
        </w:rPr>
        <w:t>实际，</w:t>
      </w:r>
      <w:r>
        <w:rPr>
          <w:rFonts w:hint="eastAsia" w:ascii="仿宋_GB2312" w:hAnsi="仿宋_GB2312" w:eastAsia="仿宋_GB2312" w:cs="仿宋_GB2312"/>
          <w:sz w:val="32"/>
          <w:szCs w:val="32"/>
        </w:rPr>
        <w:t>制作主动公开基本目录清单等工作，</w:t>
      </w:r>
      <w:r>
        <w:rPr>
          <w:rFonts w:hint="eastAsia" w:ascii="仿宋_GB2312" w:hAnsi="仿宋_GB2312" w:eastAsia="仿宋_GB2312" w:cs="仿宋_GB2312"/>
          <w:sz w:val="32"/>
          <w:szCs w:val="32"/>
          <w:lang w:val="en-US" w:eastAsia="zh-CN"/>
        </w:rPr>
        <w:t>并及时更新部门信息、产业发展、重点项目等各类信息，</w:t>
      </w:r>
      <w:r>
        <w:rPr>
          <w:rFonts w:hint="eastAsia" w:ascii="仿宋_GB2312" w:hAnsi="仿宋_GB2312" w:eastAsia="仿宋_GB2312" w:cs="仿宋_GB2312"/>
          <w:sz w:val="32"/>
          <w:szCs w:val="32"/>
        </w:rPr>
        <w:t>促进</w:t>
      </w:r>
      <w:r>
        <w:rPr>
          <w:rFonts w:hint="eastAsia" w:ascii="仿宋_GB2312" w:hAnsi="仿宋_GB2312" w:eastAsia="仿宋_GB2312" w:cs="仿宋_GB2312"/>
          <w:sz w:val="32"/>
          <w:szCs w:val="32"/>
          <w:lang w:val="en-US" w:eastAsia="zh-CN"/>
        </w:rPr>
        <w:t>我单位</w:t>
      </w:r>
      <w:r>
        <w:rPr>
          <w:rFonts w:hint="eastAsia" w:ascii="仿宋_GB2312" w:hAnsi="仿宋_GB2312" w:eastAsia="仿宋_GB2312" w:cs="仿宋_GB2312"/>
          <w:sz w:val="32"/>
          <w:szCs w:val="32"/>
        </w:rPr>
        <w:t>政务公开工作提质增效。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2023年</w:t>
      </w:r>
      <w:r>
        <w:rPr>
          <w:rFonts w:hint="eastAsia" w:ascii="仿宋_GB2312" w:hAnsi="仿宋_GB2312" w:eastAsia="仿宋_GB2312" w:cs="仿宋_GB2312"/>
          <w:sz w:val="32"/>
          <w:szCs w:val="32"/>
        </w:rPr>
        <w:t>全年接到市人大常委会交办的人大代表建议办理工作</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件，办理政协委员提案办理结果</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件。</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本行政机关年度政务公开工作创新情况</w:t>
      </w:r>
      <w:r>
        <w:rPr>
          <w:rFonts w:hint="eastAsia" w:ascii="仿宋_GB2312" w:hAnsi="仿宋_GB2312" w:eastAsia="仿宋_GB2312" w:cs="仿宋_GB2312"/>
          <w:sz w:val="32"/>
          <w:szCs w:val="32"/>
          <w:lang w:eastAsia="zh-CN"/>
        </w:rPr>
        <w:t>。认真贯彻落实政务公开各项制度，加强政府网站的资料和内容更新，强化监督，确保政务公开工作质量。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bookmarkStart w:id="10" w:name="_GoBack"/>
      <w:bookmarkEnd w:id="10"/>
      <w:r>
        <w:rPr>
          <w:rFonts w:hint="eastAsia" w:ascii="仿宋_GB2312" w:hAnsi="仿宋_GB2312" w:eastAsia="仿宋_GB2312" w:cs="仿宋_GB2312"/>
          <w:sz w:val="32"/>
          <w:szCs w:val="32"/>
        </w:rPr>
        <w:t>（五）本行政机关政府信息公开工作年度报告数据统计需要说明的事项。本报告中所列数据的统计时限为202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（六）本行政机关认为需要报告的其他事项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（七）其他有关文件专门要求通过政府信息公开工作年度报告予以报告的事项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Å¾®è½¯é›…é»‘">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5645FC"/>
    <w:multiLevelType w:val="singleLevel"/>
    <w:tmpl w:val="4C5645FC"/>
    <w:lvl w:ilvl="0" w:tentative="0">
      <w:start w:val="1"/>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0ODcyYzI5NzI1MGFlZjdiNGU3ODFhODZhOTIwZmEifQ=="/>
  </w:docVars>
  <w:rsids>
    <w:rsidRoot w:val="653E647E"/>
    <w:rsid w:val="2446226D"/>
    <w:rsid w:val="501F1608"/>
    <w:rsid w:val="653E6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spacing w:after="120"/>
      <w:ind w:left="200" w:leftChars="200"/>
    </w:pPr>
  </w:style>
  <w:style w:type="paragraph" w:styleId="3">
    <w:name w:val="Normal (Web)"/>
    <w:basedOn w:val="1"/>
    <w:autoRedefine/>
    <w:uiPriority w:val="0"/>
    <w:pPr>
      <w:spacing w:before="100" w:beforeAutospacing="1" w:after="100" w:afterAutospacing="1"/>
      <w:ind w:left="0" w:right="0"/>
      <w:jc w:val="left"/>
    </w:pPr>
    <w:rPr>
      <w:kern w:val="0"/>
      <w:sz w:val="24"/>
      <w:lang w:val="en-US" w:eastAsia="zh-CN" w:bidi="ar"/>
    </w:rPr>
  </w:style>
  <w:style w:type="paragraph" w:styleId="4">
    <w:name w:val="Body Text First Indent 2"/>
    <w:basedOn w:val="2"/>
    <w:next w:val="1"/>
    <w:qFormat/>
    <w:uiPriority w:val="0"/>
    <w:pPr>
      <w:ind w:firstLine="200" w:firstLineChars="200"/>
    </w:pPr>
  </w:style>
  <w:style w:type="character" w:styleId="7">
    <w:name w:val="Strong"/>
    <w:autoRedefine/>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2024-01-21T02:59:00Z</dcterms:created>
  <dc:creator>Persue  Future</dc:creator>
  <cp:lastModifiedBy>Persue  Future</cp:lastModifiedBy>
  <cp:lastPrinted>2024-01-21T04:58:00Z</cp:lastPrinted>
  <dcterms:modified xsi:type="dcterms:W3CDTF">2024-01-25T09:15:53Z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99671581CE4340BDBF181D1FCF127D68_13</vt:lpwstr>
  </property>
</Properties>
</file>