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枣庄高新区兴城街道2023年政府信息公开工作年度报告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根据《中华人民共和国政府信息公开条例》要求</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结合我街道实际，编制并向社会公开枣庄高新区兴城街道202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年政府信息公开工作年度报告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年报由总体情况、行政机关主动公开政府信息情况、行政机关收到和处理政府信息公开申请情况、因政府信息公开工作被申请行政复议、提起行政诉讼情况、政府信息公开工作存在的主要问题及改进情况</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其他需要报告的事项六个部分组成。所列数据的统计期限为</w:t>
      </w:r>
      <w:r>
        <w:rPr>
          <w:rFonts w:hint="eastAsia"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日至</w:t>
      </w:r>
      <w:r>
        <w:rPr>
          <w:rFonts w:hint="eastAsia"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报告电子版可在枣庄高新技术产业开发区官网（http://www.zzctp.gov.cn/）</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政府信息公开年度报告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栏目下载。如对本报告有疑问，请与</w:t>
      </w:r>
      <w:r>
        <w:rPr>
          <w:rFonts w:hint="eastAsia" w:ascii="Times New Roman" w:hAnsi="Times New Roman" w:eastAsia="仿宋_GB2312" w:cs="Times New Roman"/>
          <w:color w:val="auto"/>
          <w:sz w:val="32"/>
          <w:szCs w:val="32"/>
          <w:lang w:eastAsia="zh-CN"/>
        </w:rPr>
        <w:t>兴城街道党政办公室</w:t>
      </w:r>
      <w:r>
        <w:rPr>
          <w:rFonts w:hint="default" w:ascii="Times New Roman" w:hAnsi="Times New Roman" w:eastAsia="仿宋_GB2312" w:cs="Times New Roman"/>
          <w:color w:val="auto"/>
          <w:sz w:val="32"/>
          <w:szCs w:val="32"/>
        </w:rPr>
        <w:t>联系（联系电话:0632-</w:t>
      </w:r>
      <w:r>
        <w:rPr>
          <w:rFonts w:hint="eastAsia" w:ascii="Times New Roman" w:hAnsi="Times New Roman" w:eastAsia="仿宋_GB2312" w:cs="Times New Roman"/>
          <w:color w:val="auto"/>
          <w:sz w:val="32"/>
          <w:szCs w:val="32"/>
          <w:lang w:val="en-US" w:eastAsia="zh-CN"/>
        </w:rPr>
        <w:t>8671008</w:t>
      </w:r>
      <w:r>
        <w:rPr>
          <w:rFonts w:hint="default" w:ascii="Times New Roman" w:hAnsi="Times New Roman" w:eastAsia="仿宋_GB2312" w:cs="Times New Roman"/>
          <w:color w:val="auto"/>
          <w:sz w:val="32"/>
          <w:szCs w:val="32"/>
        </w:rPr>
        <w:t>，电子邮箱:</w:t>
      </w:r>
      <w:r>
        <w:rPr>
          <w:rFonts w:hint="eastAsia" w:ascii="Times New Roman" w:hAnsi="Times New Roman" w:eastAsia="仿宋_GB2312" w:cs="Times New Roman"/>
          <w:color w:val="auto"/>
          <w:sz w:val="32"/>
          <w:szCs w:val="32"/>
          <w:lang w:val="en-US" w:eastAsia="zh-CN"/>
        </w:rPr>
        <w:t>xingchengjieban@163.com</w:t>
      </w:r>
      <w:r>
        <w:rPr>
          <w:rFonts w:hint="default" w:ascii="Times New Roman" w:hAnsi="Times New Roman" w:eastAsia="仿宋_GB2312" w:cs="Times New Roman"/>
          <w:color w:val="auto"/>
          <w:sz w:val="32"/>
          <w:szCs w:val="32"/>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总体情况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2023年，枣庄高新区兴城街道坚持以习近平新时代中国特色社会主义思想为指导，全面贯彻落实党的二十大精神，不断健全完善政务公开工作制度，</w:t>
      </w:r>
      <w:r>
        <w:rPr>
          <w:rFonts w:hint="default" w:ascii="Times New Roman" w:hAnsi="Times New Roman" w:eastAsia="仿宋_GB2312" w:cs="Times New Roman"/>
          <w:color w:val="auto"/>
          <w:sz w:val="32"/>
          <w:szCs w:val="32"/>
        </w:rPr>
        <w:t>不断扩大公开范围、细化公开内容</w:t>
      </w:r>
      <w:r>
        <w:rPr>
          <w:rFonts w:hint="eastAsia" w:ascii="Times New Roman" w:hAnsi="Times New Roman" w:eastAsia="仿宋_GB2312" w:cs="Times New Roman"/>
          <w:color w:val="auto"/>
          <w:sz w:val="32"/>
          <w:szCs w:val="32"/>
          <w:lang w:eastAsia="zh-CN"/>
        </w:rPr>
        <w:t>、</w:t>
      </w:r>
      <w:r>
        <w:rPr>
          <w:rFonts w:ascii="仿宋_GB2312" w:hAnsi="宋体" w:eastAsia="仿宋_GB2312" w:cs="仿宋_GB2312"/>
          <w:i w:val="0"/>
          <w:iCs w:val="0"/>
          <w:caps w:val="0"/>
          <w:color w:val="000000"/>
          <w:spacing w:val="0"/>
          <w:sz w:val="31"/>
          <w:szCs w:val="31"/>
          <w:shd w:val="clear" w:fill="FFFFFF"/>
        </w:rPr>
        <w:t>提高公开精度</w:t>
      </w:r>
      <w:r>
        <w:rPr>
          <w:rFonts w:hint="eastAsia" w:ascii="Times New Roman" w:hAnsi="Times New Roman" w:eastAsia="仿宋_GB2312" w:cs="Times New Roman"/>
          <w:color w:val="auto"/>
          <w:sz w:val="32"/>
          <w:szCs w:val="32"/>
          <w:lang w:val="en-US" w:eastAsia="zh-CN"/>
        </w:rPr>
        <w:t>，助力街道各项工作高质量发展。现将我街道2023年度政府信息公开工作情况报告如下：</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（一）主动公开</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2023年兴城街道主动公开政府信息234条，通过政府门户网站公开政府信息124条，通过兴城街道微信公众号发布信息110期。</w:t>
      </w:r>
      <w:r>
        <w:rPr>
          <w:rFonts w:hint="eastAsia" w:ascii="Times New Roman" w:hAnsi="Times New Roman" w:eastAsia="仿宋_GB2312" w:cs="Times New Roman"/>
          <w:b/>
          <w:bCs/>
          <w:color w:val="auto"/>
          <w:sz w:val="32"/>
          <w:szCs w:val="32"/>
          <w:lang w:val="en-US" w:eastAsia="zh-CN"/>
        </w:rPr>
        <w:t>一是</w:t>
      </w:r>
      <w:r>
        <w:rPr>
          <w:rFonts w:hint="eastAsia" w:ascii="Times New Roman" w:hAnsi="Times New Roman" w:eastAsia="仿宋_GB2312" w:cs="Times New Roman"/>
          <w:color w:val="auto"/>
          <w:sz w:val="32"/>
          <w:szCs w:val="32"/>
          <w:lang w:val="en-US" w:eastAsia="zh-CN"/>
        </w:rPr>
        <w:t>加大主动公开力度按时合规及时发布各类政务信息至高新区政府网站。2023年街道通过政府门户网站公开主任办公会议12次，发布会议解读12次，</w:t>
      </w:r>
      <w:r>
        <w:rPr>
          <w:rFonts w:hint="default" w:ascii="Times New Roman" w:hAnsi="Times New Roman" w:eastAsia="仿宋_GB2312" w:cs="Times New Roman"/>
          <w:color w:val="auto"/>
          <w:sz w:val="32"/>
          <w:szCs w:val="32"/>
        </w:rPr>
        <w:t>发布通知公告</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条，发布街道信息</w:t>
      </w:r>
      <w:r>
        <w:rPr>
          <w:rFonts w:hint="eastAsia" w:ascii="Times New Roman" w:hAnsi="Times New Roman" w:eastAsia="仿宋_GB2312" w:cs="Times New Roman"/>
          <w:color w:val="auto"/>
          <w:sz w:val="32"/>
          <w:szCs w:val="32"/>
          <w:lang w:val="en-US" w:eastAsia="zh-CN"/>
        </w:rPr>
        <w:t>69</w:t>
      </w:r>
      <w:r>
        <w:rPr>
          <w:rFonts w:hint="default"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bCs/>
          <w:color w:val="auto"/>
          <w:sz w:val="32"/>
          <w:szCs w:val="32"/>
          <w:lang w:eastAsia="zh-CN"/>
        </w:rPr>
        <w:t>二是</w:t>
      </w:r>
      <w:r>
        <w:rPr>
          <w:rFonts w:hint="eastAsia" w:ascii="Times New Roman" w:hAnsi="Times New Roman" w:eastAsia="仿宋_GB2312" w:cs="Times New Roman"/>
          <w:color w:val="auto"/>
          <w:sz w:val="32"/>
          <w:szCs w:val="32"/>
          <w:lang w:eastAsia="zh-CN"/>
        </w:rPr>
        <w:t>利用政务新媒体发布街道动态，</w:t>
      </w:r>
      <w:r>
        <w:rPr>
          <w:rFonts w:hint="eastAsia" w:ascii="Times New Roman" w:hAnsi="Times New Roman" w:eastAsia="仿宋_GB2312" w:cs="Times New Roman"/>
          <w:color w:val="auto"/>
          <w:sz w:val="32"/>
          <w:szCs w:val="32"/>
          <w:lang w:val="en-US" w:eastAsia="zh-CN"/>
        </w:rPr>
        <w:t>将政务新媒体作为政务公开的有力助手，进一步提高公众获知政府信息的便利度。</w:t>
      </w:r>
      <w:r>
        <w:rPr>
          <w:rFonts w:hint="eastAsia" w:ascii="Times New Roman" w:hAnsi="Times New Roman" w:eastAsia="仿宋_GB2312" w:cs="Times New Roman"/>
          <w:b/>
          <w:bCs/>
          <w:color w:val="auto"/>
          <w:sz w:val="32"/>
          <w:szCs w:val="32"/>
          <w:lang w:val="en-US" w:eastAsia="zh-CN"/>
        </w:rPr>
        <w:t>三是</w:t>
      </w:r>
      <w:r>
        <w:rPr>
          <w:rFonts w:hint="eastAsia" w:ascii="Times New Roman" w:hAnsi="Times New Roman" w:eastAsia="仿宋_GB2312" w:cs="Times New Roman"/>
          <w:color w:val="auto"/>
          <w:sz w:val="32"/>
          <w:szCs w:val="32"/>
          <w:lang w:val="en-US" w:eastAsia="zh-CN"/>
        </w:rPr>
        <w:t>加强政民互动，今年以来通过政府网站收到互动交流信件5件，按时回复5件，及时解决群众热点难点问题，做到政府网站互动日常化、常态化、良性化。</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jc w:val="both"/>
        <w:textAlignment w:val="auto"/>
        <w:rPr>
          <w:rFonts w:hint="eastAsia"/>
          <w:lang w:val="en-US" w:eastAsia="zh-CN"/>
        </w:rPr>
      </w:pPr>
      <w:r>
        <w:drawing>
          <wp:anchor distT="0" distB="0" distL="114300" distR="114300" simplePos="0" relativeHeight="251660288" behindDoc="0" locked="0" layoutInCell="1" allowOverlap="1">
            <wp:simplePos x="0" y="0"/>
            <wp:positionH relativeFrom="column">
              <wp:posOffset>180975</wp:posOffset>
            </wp:positionH>
            <wp:positionV relativeFrom="paragraph">
              <wp:posOffset>2730500</wp:posOffset>
            </wp:positionV>
            <wp:extent cx="4848225" cy="2800350"/>
            <wp:effectExtent l="0" t="0" r="952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848225" cy="280035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266700</wp:posOffset>
            </wp:positionH>
            <wp:positionV relativeFrom="paragraph">
              <wp:posOffset>121920</wp:posOffset>
            </wp:positionV>
            <wp:extent cx="4638675" cy="2628900"/>
            <wp:effectExtent l="0" t="0" r="952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638675" cy="2628900"/>
                    </a:xfrm>
                    <a:prstGeom prst="rect">
                      <a:avLst/>
                    </a:prstGeom>
                    <a:noFill/>
                    <a:ln>
                      <a:noFill/>
                    </a:ln>
                  </pic:spPr>
                </pic:pic>
              </a:graphicData>
            </a:graphic>
          </wp:anchor>
        </w:drawing>
      </w:r>
      <w:r>
        <w:rPr>
          <w:rFonts w:hint="eastAsia"/>
          <w:lang w:val="en-US" w:eastAsia="zh-CN"/>
        </w:rPr>
        <w:t xml:space="preserve">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jc w:val="both"/>
        <w:textAlignment w:val="auto"/>
        <w:rPr>
          <w:rFonts w:hint="eastAsia" w:ascii="楷体_GB2312" w:hAnsi="楷体_GB2312" w:eastAsia="楷体_GB2312" w:cs="楷体_GB2312"/>
          <w:b/>
          <w:bCs/>
          <w:color w:val="auto"/>
          <w:sz w:val="32"/>
          <w:szCs w:val="32"/>
          <w:lang w:val="en-US" w:eastAsia="zh-CN"/>
        </w:rPr>
      </w:pPr>
      <w:r>
        <w:drawing>
          <wp:anchor distT="0" distB="0" distL="114300" distR="114300" simplePos="0" relativeHeight="251662336" behindDoc="0" locked="0" layoutInCell="1" allowOverlap="1">
            <wp:simplePos x="0" y="0"/>
            <wp:positionH relativeFrom="column">
              <wp:posOffset>0</wp:posOffset>
            </wp:positionH>
            <wp:positionV relativeFrom="paragraph">
              <wp:posOffset>3313430</wp:posOffset>
            </wp:positionV>
            <wp:extent cx="5272405" cy="2752090"/>
            <wp:effectExtent l="0" t="0" r="4445" b="1016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2405" cy="275209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9525</wp:posOffset>
            </wp:positionH>
            <wp:positionV relativeFrom="paragraph">
              <wp:posOffset>38100</wp:posOffset>
            </wp:positionV>
            <wp:extent cx="5273675" cy="3232150"/>
            <wp:effectExtent l="0" t="0" r="3175" b="635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73675" cy="3232150"/>
                    </a:xfrm>
                    <a:prstGeom prst="rect">
                      <a:avLst/>
                    </a:prstGeom>
                    <a:noFill/>
                    <a:ln>
                      <a:noFill/>
                    </a:ln>
                  </pic:spPr>
                </pic:pic>
              </a:graphicData>
            </a:graphic>
          </wp:anchor>
        </w:drawing>
      </w:r>
      <w:r>
        <w:rPr>
          <w:rFonts w:hint="eastAsia"/>
          <w:lang w:val="en-US" w:eastAsia="zh-CN"/>
        </w:rPr>
        <w:t xml:space="preserve">     </w:t>
      </w:r>
      <w:r>
        <w:rPr>
          <w:rFonts w:hint="eastAsia" w:ascii="楷体_GB2312" w:hAnsi="楷体_GB2312" w:eastAsia="楷体_GB2312" w:cs="楷体_GB2312"/>
          <w:b/>
          <w:bCs/>
          <w:color w:val="auto"/>
          <w:sz w:val="32"/>
          <w:szCs w:val="32"/>
          <w:lang w:val="en-US" w:eastAsia="zh-CN"/>
        </w:rPr>
        <w:t>（二）依申请公开</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街道严格按照各级工作要求，依法妥善做好依申请公开工作，确保政府信息公开申请渠道畅通。兴城街道共收到依申请公开件2件（其中官网收到0件，信件2件），按时回复2件。兴城街道公开行政复议0件，政府信息公开行政诉讼总数0件。</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（三）政府信息管理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严格按照法定时限发布并实时更新法定主动公开内容。明确责任，街道党政综合办公室为信息公开工作主管部门，并配备专职工作人员1名，负责推进、协调街道办事处政府信息公开工作，不断增强工作透明度，切实保障群众的知情权、参与权和监督权。</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（四）政府信息公开平台建设</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一是</w:t>
      </w:r>
      <w:r>
        <w:rPr>
          <w:rFonts w:hint="eastAsia" w:ascii="Times New Roman" w:hAnsi="Times New Roman" w:eastAsia="仿宋_GB2312" w:cs="Times New Roman"/>
          <w:color w:val="auto"/>
          <w:sz w:val="32"/>
          <w:szCs w:val="32"/>
          <w:lang w:val="en-US" w:eastAsia="zh-CN"/>
        </w:rPr>
        <w:t>按照上级部署开设政务公开线下服务专区。依托街道便民服务中心设立“政务公开体验区”和“自助服务区”，配备自助查阅电脑、打印机等设备方便办事群众查阅政府信息；</w:t>
      </w:r>
      <w:r>
        <w:rPr>
          <w:rFonts w:hint="eastAsia"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color w:val="auto"/>
          <w:sz w:val="32"/>
          <w:szCs w:val="32"/>
          <w:lang w:val="en-US" w:eastAsia="zh-CN"/>
        </w:rPr>
        <w:t>利用政务新媒体“创新创业 兴业兴城”公众号，及时、准确地发布街道的工作动态；</w:t>
      </w:r>
      <w:r>
        <w:rPr>
          <w:rFonts w:hint="eastAsia" w:ascii="Times New Roman" w:hAnsi="Times New Roman" w:eastAsia="仿宋_GB2312" w:cs="Times New Roman"/>
          <w:b/>
          <w:bCs/>
          <w:color w:val="auto"/>
          <w:sz w:val="32"/>
          <w:szCs w:val="32"/>
          <w:lang w:val="en-US" w:eastAsia="zh-CN"/>
        </w:rPr>
        <w:t>三是</w:t>
      </w:r>
      <w:r>
        <w:rPr>
          <w:rFonts w:hint="eastAsia" w:ascii="Times New Roman" w:hAnsi="Times New Roman" w:eastAsia="仿宋_GB2312" w:cs="Times New Roman"/>
          <w:color w:val="auto"/>
          <w:sz w:val="32"/>
          <w:szCs w:val="32"/>
          <w:lang w:val="en-US" w:eastAsia="zh-CN"/>
        </w:rPr>
        <w:t>依托高新区政府门户网站，把涉及群众切身利益的信息在网站公开，</w:t>
      </w:r>
      <w:r>
        <w:rPr>
          <w:rFonts w:ascii="仿宋_GB2312" w:hAnsi="宋体" w:eastAsia="仿宋_GB2312" w:cs="仿宋_GB2312"/>
          <w:i w:val="0"/>
          <w:iCs w:val="0"/>
          <w:caps w:val="0"/>
          <w:color w:val="000000"/>
          <w:spacing w:val="0"/>
          <w:sz w:val="31"/>
          <w:szCs w:val="31"/>
        </w:rPr>
        <w:t>方便群众浏览、知晓</w:t>
      </w:r>
      <w:r>
        <w:rPr>
          <w:rFonts w:hint="eastAsia" w:ascii="仿宋_GB2312" w:hAnsi="宋体" w:eastAsia="仿宋_GB2312" w:cs="仿宋_GB2312"/>
          <w:i w:val="0"/>
          <w:iCs w:val="0"/>
          <w:caps w:val="0"/>
          <w:color w:val="000000"/>
          <w:spacing w:val="0"/>
          <w:sz w:val="31"/>
          <w:szCs w:val="31"/>
          <w:lang w:eastAsia="zh-CN"/>
        </w:rPr>
        <w:t>，</w:t>
      </w:r>
      <w:r>
        <w:rPr>
          <w:rFonts w:hint="eastAsia" w:ascii="Times New Roman" w:hAnsi="Times New Roman" w:eastAsia="仿宋_GB2312" w:cs="Times New Roman"/>
          <w:color w:val="auto"/>
          <w:sz w:val="32"/>
          <w:szCs w:val="32"/>
          <w:lang w:val="en-US" w:eastAsia="zh-CN"/>
        </w:rPr>
        <w:t>确保政府信息公开工作有效开展。</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（五）监督保障</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一是</w:t>
      </w:r>
      <w:r>
        <w:rPr>
          <w:rFonts w:hint="eastAsia" w:ascii="Times New Roman" w:hAnsi="Times New Roman" w:eastAsia="仿宋_GB2312" w:cs="Times New Roman"/>
          <w:color w:val="auto"/>
          <w:sz w:val="32"/>
          <w:szCs w:val="32"/>
          <w:lang w:val="en-US" w:eastAsia="zh-CN"/>
        </w:rPr>
        <w:t>加强日常监督机制，每月定期排查主动公开、政策解读、互动交流、网站和政务新媒体运行等工作情况。</w:t>
      </w:r>
      <w:r>
        <w:rPr>
          <w:rFonts w:hint="eastAsia"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color w:val="auto"/>
          <w:sz w:val="32"/>
          <w:szCs w:val="32"/>
          <w:lang w:val="en-US" w:eastAsia="zh-CN"/>
        </w:rPr>
        <w:t>积极参加各级业务培训，积极参加全区及街道政务信息公开相关培训，提高工作人员业务能力和工作素养，推动街道政务公开规范化水平提升。</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rPr>
        <w:t>二、行政机关主动公开政府信息情况</w:t>
      </w:r>
    </w:p>
    <w:tbl>
      <w:tblPr>
        <w:tblStyle w:val="5"/>
        <w:tblW w:w="8824" w:type="dxa"/>
        <w:tblInd w:w="0" w:type="dxa"/>
        <w:shd w:val="clear" w:color="auto" w:fill="auto"/>
        <w:tblLayout w:type="fixed"/>
        <w:tblCellMar>
          <w:top w:w="0" w:type="dxa"/>
          <w:left w:w="108" w:type="dxa"/>
          <w:bottom w:w="0" w:type="dxa"/>
          <w:right w:w="108" w:type="dxa"/>
        </w:tblCellMar>
      </w:tblPr>
      <w:tblGrid>
        <w:gridCol w:w="2206"/>
        <w:gridCol w:w="2206"/>
        <w:gridCol w:w="2206"/>
        <w:gridCol w:w="2206"/>
      </w:tblGrid>
      <w:tr>
        <w:tblPrEx>
          <w:shd w:val="clear" w:color="auto" w:fill="auto"/>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95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bl>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行政机关收到和处理政府信息公开申请情况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olor w:val="auto"/>
                <w:kern w:val="0"/>
                <w:szCs w:val="21"/>
              </w:rPr>
            </w:pPr>
            <w:r>
              <w:rPr>
                <w:rFonts w:hint="eastAsia" w:ascii="楷体_GB2312" w:hAnsi="黑体" w:eastAsia="楷体_GB2312"/>
                <w:color w:val="auto"/>
                <w:kern w:val="0"/>
                <w:szCs w:val="21"/>
              </w:rPr>
              <w:t>（本列数据的勾稽关系为：第一项加第二项之和，</w:t>
            </w:r>
          </w:p>
          <w:p>
            <w:pPr>
              <w:widowControl/>
              <w:jc w:val="center"/>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82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color w:val="auto"/>
                <w:szCs w:val="21"/>
              </w:rPr>
            </w:pPr>
            <w:r>
              <w:rPr>
                <w:rFonts w:hint="eastAsia" w:ascii="黑体" w:hAnsi="黑体" w:eastAsia="黑体"/>
                <w:color w:val="auto"/>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w:t>
            </w:r>
            <w:bookmarkStart w:id="0" w:name="_Hlk66973412"/>
            <w:r>
              <w:rPr>
                <w:rFonts w:hint="eastAsia" w:ascii="黑体" w:hAnsi="黑体" w:eastAsia="黑体"/>
                <w:color w:val="auto"/>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（二）部分公开（</w:t>
            </w:r>
            <w:bookmarkStart w:id="1" w:name="_Hlk66973981"/>
            <w:r>
              <w:rPr>
                <w:rFonts w:hint="eastAsia" w:ascii="黑体" w:hAnsi="黑体" w:eastAsia="黑体"/>
                <w:color w:val="auto"/>
                <w:kern w:val="0"/>
                <w:szCs w:val="21"/>
              </w:rPr>
              <w:t>区分处理的，只计这一情形，不计其他情形</w:t>
            </w:r>
            <w:bookmarkEnd w:id="1"/>
            <w:r>
              <w:rPr>
                <w:rFonts w:hint="eastAsia" w:ascii="黑体" w:hAnsi="黑体" w:eastAsia="黑体"/>
                <w:color w:val="auto"/>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2" w:name="_Hlk66974104"/>
            <w:r>
              <w:rPr>
                <w:rFonts w:hint="eastAsia" w:ascii="仿宋_GB2312" w:hAnsi="黑体" w:eastAsia="仿宋_GB2312"/>
                <w:color w:val="auto"/>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4.</w:t>
            </w:r>
            <w:bookmarkStart w:id="3" w:name="_Hlk66974290"/>
            <w:r>
              <w:rPr>
                <w:rFonts w:hint="eastAsia" w:ascii="仿宋_GB2312" w:hAnsi="黑体" w:eastAsia="仿宋_GB2312"/>
                <w:color w:val="auto"/>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6.</w:t>
            </w:r>
            <w:bookmarkStart w:id="4" w:name="_Hlk66974555"/>
            <w:r>
              <w:rPr>
                <w:rFonts w:hint="eastAsia" w:ascii="仿宋_GB2312" w:hAnsi="黑体" w:eastAsia="仿宋_GB2312"/>
                <w:color w:val="auto"/>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8.</w:t>
            </w:r>
            <w:bookmarkStart w:id="5" w:name="_Hlk66975211"/>
            <w:r>
              <w:rPr>
                <w:rFonts w:hint="eastAsia" w:ascii="仿宋_GB2312" w:hAnsi="黑体" w:eastAsia="仿宋_GB2312"/>
                <w:color w:val="auto"/>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6" w:name="_Hlk66975392"/>
            <w:r>
              <w:rPr>
                <w:rFonts w:hint="eastAsia" w:ascii="仿宋_GB2312" w:hAnsi="黑体" w:eastAsia="仿宋_GB2312"/>
                <w:color w:val="auto"/>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w:t>
            </w:r>
            <w:bookmarkStart w:id="7" w:name="_Hlk66975466"/>
            <w:r>
              <w:rPr>
                <w:rFonts w:hint="eastAsia" w:ascii="仿宋_GB2312" w:hAnsi="黑体" w:eastAsia="仿宋_GB2312"/>
                <w:color w:val="auto"/>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w:t>
            </w:r>
            <w:bookmarkStart w:id="8" w:name="_Hlk66975537"/>
            <w:r>
              <w:rPr>
                <w:rFonts w:hint="eastAsia" w:ascii="仿宋_GB2312" w:hAnsi="黑体" w:eastAsia="仿宋_GB2312"/>
                <w:color w:val="auto"/>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pPr>
              <w:widowControl/>
              <w:spacing w:line="300" w:lineRule="exact"/>
              <w:ind w:firstLine="210" w:firstLineChars="100"/>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（六）其他处理</w:t>
            </w:r>
          </w:p>
        </w:tc>
        <w:tc>
          <w:tcPr>
            <w:tcW w:w="2976" w:type="dxa"/>
            <w:shd w:val="clear" w:color="auto" w:fill="auto"/>
            <w:vAlign w:val="center"/>
          </w:tcPr>
          <w:p>
            <w:pPr>
              <w:widowControl/>
              <w:spacing w:line="300" w:lineRule="exact"/>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bl>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jc w:val="both"/>
        <w:textAlignment w:val="auto"/>
        <w:rPr>
          <w:rFonts w:hint="eastAsia" w:ascii="黑体" w:hAnsi="黑体" w:eastAsia="黑体" w:cs="黑体"/>
          <w:b w:val="0"/>
          <w:bCs/>
          <w:color w:val="auto"/>
          <w:sz w:val="32"/>
          <w:szCs w:val="32"/>
          <w:lang w:val="en-US" w:eastAsia="zh-CN"/>
        </w:rPr>
      </w:pPr>
      <w:r>
        <w:rPr>
          <w:rStyle w:val="7"/>
          <w:rFonts w:hint="eastAsia" w:ascii="楷体" w:hAnsi="楷体" w:eastAsia="楷体" w:cs="楷体"/>
          <w:spacing w:val="8"/>
          <w:sz w:val="32"/>
          <w:szCs w:val="32"/>
        </w:rPr>
        <w:t> </w:t>
      </w:r>
      <w:r>
        <w:rPr>
          <w:rStyle w:val="7"/>
          <w:rFonts w:hint="eastAsia" w:ascii="楷体" w:hAnsi="楷体" w:eastAsia="楷体" w:cs="楷体"/>
          <w:spacing w:val="8"/>
          <w:sz w:val="32"/>
          <w:szCs w:val="32"/>
          <w:lang w:val="en-US" w:eastAsia="zh-CN"/>
        </w:rPr>
        <w:t xml:space="preserve">   </w:t>
      </w:r>
      <w:r>
        <w:rPr>
          <w:rStyle w:val="7"/>
          <w:rFonts w:hint="eastAsia" w:ascii="黑体" w:hAnsi="黑体" w:eastAsia="黑体" w:cs="黑体"/>
          <w:b w:val="0"/>
          <w:bCs/>
          <w:spacing w:val="8"/>
          <w:sz w:val="32"/>
          <w:szCs w:val="32"/>
        </w:rPr>
        <w:t>四</w:t>
      </w:r>
      <w:r>
        <w:rPr>
          <w:rStyle w:val="7"/>
          <w:rFonts w:hint="eastAsia" w:ascii="黑体" w:hAnsi="黑体" w:eastAsia="黑体" w:cs="黑体"/>
          <w:b w:val="0"/>
          <w:bCs/>
          <w:spacing w:val="8"/>
          <w:sz w:val="32"/>
          <w:szCs w:val="32"/>
          <w:lang w:eastAsia="zh-CN"/>
        </w:rPr>
        <w:t>、</w:t>
      </w:r>
      <w:r>
        <w:rPr>
          <w:rStyle w:val="7"/>
          <w:rFonts w:hint="eastAsia" w:ascii="黑体" w:hAnsi="黑体" w:eastAsia="黑体" w:cs="黑体"/>
          <w:b w:val="0"/>
          <w:bCs/>
          <w:spacing w:val="8"/>
          <w:sz w:val="32"/>
          <w:szCs w:val="32"/>
        </w:rPr>
        <w:t>因政府信息公开工作被申请行政复议、提起行政诉讼情况</w:t>
      </w:r>
    </w:p>
    <w:tbl>
      <w:tblPr>
        <w:tblStyle w:val="5"/>
        <w:tblW w:w="99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64"/>
        <w:gridCol w:w="664"/>
        <w:gridCol w:w="664"/>
        <w:gridCol w:w="664"/>
        <w:gridCol w:w="731"/>
        <w:gridCol w:w="605"/>
        <w:gridCol w:w="665"/>
        <w:gridCol w:w="665"/>
        <w:gridCol w:w="665"/>
        <w:gridCol w:w="674"/>
        <w:gridCol w:w="665"/>
        <w:gridCol w:w="665"/>
        <w:gridCol w:w="665"/>
        <w:gridCol w:w="666"/>
        <w:gridCol w:w="6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3387"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行政复议</w:t>
            </w:r>
          </w:p>
        </w:tc>
        <w:tc>
          <w:tcPr>
            <w:tcW w:w="6612"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66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49" w:leftChars="-71" w:right="-170" w:rightChars="-81"/>
              <w:jc w:val="center"/>
              <w:rPr>
                <w:rFonts w:ascii="黑体" w:hAnsi="黑体" w:eastAsia="黑体"/>
                <w:color w:val="auto"/>
              </w:rPr>
            </w:pPr>
            <w:r>
              <w:rPr>
                <w:rFonts w:ascii="黑体" w:hAnsi="黑体" w:eastAsia="黑体"/>
                <w:color w:val="auto"/>
                <w:kern w:val="0"/>
                <w:sz w:val="20"/>
                <w:szCs w:val="20"/>
              </w:rPr>
              <w:t>维持</w:t>
            </w:r>
          </w:p>
        </w:tc>
        <w:tc>
          <w:tcPr>
            <w:tcW w:w="66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43" w:leftChars="-21" w:right="-132" w:rightChars="-63" w:hanging="1"/>
              <w:jc w:val="center"/>
              <w:rPr>
                <w:rFonts w:ascii="黑体" w:hAnsi="黑体" w:eastAsia="黑体"/>
                <w:color w:val="auto"/>
              </w:rPr>
            </w:pPr>
            <w:r>
              <w:rPr>
                <w:rFonts w:ascii="黑体" w:hAnsi="黑体" w:eastAsia="黑体"/>
                <w:color w:val="auto"/>
                <w:kern w:val="0"/>
                <w:sz w:val="20"/>
                <w:szCs w:val="20"/>
              </w:rPr>
              <w:t>纠正</w:t>
            </w:r>
          </w:p>
        </w:tc>
        <w:tc>
          <w:tcPr>
            <w:tcW w:w="66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82" w:leftChars="-39" w:right="-97" w:rightChars="-46"/>
              <w:jc w:val="center"/>
              <w:rPr>
                <w:rFonts w:ascii="黑体" w:hAnsi="黑体" w:eastAsia="黑体"/>
                <w:color w:val="auto"/>
              </w:rPr>
            </w:pPr>
            <w:r>
              <w:rPr>
                <w:rFonts w:ascii="黑体" w:hAnsi="黑体" w:eastAsia="黑体"/>
                <w:color w:val="auto"/>
                <w:kern w:val="0"/>
                <w:sz w:val="20"/>
                <w:szCs w:val="20"/>
              </w:rPr>
              <w:t>结果</w:t>
            </w:r>
          </w:p>
        </w:tc>
        <w:tc>
          <w:tcPr>
            <w:tcW w:w="66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18" w:leftChars="-56" w:right="-118" w:rightChars="-56"/>
              <w:jc w:val="center"/>
              <w:rPr>
                <w:rFonts w:ascii="黑体" w:hAnsi="黑体" w:eastAsia="黑体"/>
                <w:color w:val="auto"/>
              </w:rPr>
            </w:pPr>
            <w:r>
              <w:rPr>
                <w:rFonts w:ascii="黑体" w:hAnsi="黑体" w:eastAsia="黑体"/>
                <w:color w:val="auto"/>
                <w:kern w:val="0"/>
                <w:sz w:val="20"/>
                <w:szCs w:val="20"/>
              </w:rPr>
              <w:t>审结</w:t>
            </w:r>
          </w:p>
        </w:tc>
        <w:tc>
          <w:tcPr>
            <w:tcW w:w="731"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color w:val="auto"/>
              </w:rPr>
            </w:pPr>
            <w:r>
              <w:rPr>
                <w:rFonts w:ascii="黑体" w:hAnsi="黑体" w:eastAsia="黑体"/>
                <w:color w:val="auto"/>
                <w:kern w:val="0"/>
                <w:sz w:val="20"/>
                <w:szCs w:val="20"/>
              </w:rPr>
              <w:t>总计</w:t>
            </w:r>
          </w:p>
        </w:tc>
        <w:tc>
          <w:tcPr>
            <w:tcW w:w="3274"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未经复议直接起诉</w:t>
            </w:r>
          </w:p>
        </w:tc>
        <w:tc>
          <w:tcPr>
            <w:tcW w:w="333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bookmarkStart w:id="9" w:name="_Hlk67039688"/>
            <w:r>
              <w:rPr>
                <w:rFonts w:ascii="黑体" w:hAnsi="黑体" w:eastAsia="黑体"/>
                <w:color w:val="auto"/>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3" w:hRule="atLeast"/>
          <w:jc w:val="center"/>
        </w:trPr>
        <w:tc>
          <w:tcPr>
            <w:tcW w:w="66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color w:val="auto"/>
                <w:sz w:val="24"/>
              </w:rPr>
            </w:pPr>
          </w:p>
        </w:tc>
        <w:tc>
          <w:tcPr>
            <w:tcW w:w="66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color w:val="auto"/>
                <w:sz w:val="24"/>
              </w:rPr>
            </w:pPr>
          </w:p>
        </w:tc>
        <w:tc>
          <w:tcPr>
            <w:tcW w:w="66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color w:val="auto"/>
                <w:sz w:val="24"/>
              </w:rPr>
            </w:pPr>
          </w:p>
        </w:tc>
        <w:tc>
          <w:tcPr>
            <w:tcW w:w="66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color w:val="auto"/>
                <w:sz w:val="24"/>
              </w:rPr>
            </w:pPr>
          </w:p>
        </w:tc>
        <w:tc>
          <w:tcPr>
            <w:tcW w:w="731"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color w:val="auto"/>
                <w:sz w:val="24"/>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05" w:leftChars="-50" w:right="-126" w:rightChars="-60"/>
              <w:jc w:val="center"/>
              <w:rPr>
                <w:rFonts w:ascii="黑体" w:hAnsi="黑体" w:eastAsia="黑体"/>
                <w:color w:val="auto"/>
              </w:rPr>
            </w:pPr>
            <w:r>
              <w:rPr>
                <w:rFonts w:ascii="黑体" w:hAnsi="黑体" w:eastAsia="黑体"/>
                <w:color w:val="auto"/>
                <w:kern w:val="0"/>
                <w:sz w:val="20"/>
                <w:szCs w:val="20"/>
              </w:rPr>
              <w:t>维持</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86" w:leftChars="-41" w:right="-88" w:rightChars="-42"/>
              <w:jc w:val="center"/>
              <w:rPr>
                <w:rFonts w:ascii="黑体" w:hAnsi="黑体" w:eastAsia="黑体"/>
                <w:color w:val="auto"/>
              </w:rPr>
            </w:pPr>
            <w:r>
              <w:rPr>
                <w:rFonts w:ascii="黑体" w:hAnsi="黑体" w:eastAsia="黑体"/>
                <w:color w:val="auto"/>
                <w:kern w:val="0"/>
                <w:sz w:val="20"/>
                <w:szCs w:val="20"/>
              </w:rPr>
              <w:t>纠正</w:t>
            </w:r>
          </w:p>
        </w:tc>
        <w:tc>
          <w:tcPr>
            <w:tcW w:w="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26" w:leftChars="-60" w:right="-136" w:rightChars="-65"/>
              <w:jc w:val="center"/>
              <w:rPr>
                <w:rFonts w:ascii="黑体" w:hAnsi="黑体" w:eastAsia="黑体"/>
                <w:color w:val="auto"/>
              </w:rPr>
            </w:pPr>
            <w:r>
              <w:rPr>
                <w:rFonts w:ascii="黑体" w:hAnsi="黑体" w:eastAsia="黑体"/>
                <w:color w:val="auto"/>
                <w:kern w:val="0"/>
                <w:sz w:val="20"/>
                <w:szCs w:val="20"/>
              </w:rPr>
              <w:t>结果</w:t>
            </w:r>
          </w:p>
        </w:tc>
        <w:tc>
          <w:tcPr>
            <w:tcW w:w="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64" w:leftChars="-78" w:right="-153" w:rightChars="-73"/>
              <w:jc w:val="center"/>
              <w:rPr>
                <w:rFonts w:ascii="黑体" w:hAnsi="黑体" w:eastAsia="黑体"/>
                <w:color w:val="auto"/>
              </w:rPr>
            </w:pPr>
            <w:r>
              <w:rPr>
                <w:rFonts w:ascii="黑体" w:hAnsi="黑体" w:eastAsia="黑体"/>
                <w:color w:val="auto"/>
                <w:kern w:val="0"/>
                <w:sz w:val="20"/>
                <w:szCs w:val="20"/>
              </w:rPr>
              <w:t>审结</w:t>
            </w:r>
          </w:p>
        </w:tc>
        <w:tc>
          <w:tcPr>
            <w:tcW w:w="67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c>
          <w:tcPr>
            <w:tcW w:w="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99" w:leftChars="-47" w:right="-78" w:rightChars="-37"/>
              <w:jc w:val="center"/>
              <w:rPr>
                <w:rFonts w:ascii="黑体" w:hAnsi="黑体" w:eastAsia="黑体"/>
                <w:color w:val="auto"/>
              </w:rPr>
            </w:pPr>
            <w:r>
              <w:rPr>
                <w:rFonts w:ascii="黑体" w:hAnsi="黑体" w:eastAsia="黑体"/>
                <w:color w:val="auto"/>
                <w:kern w:val="0"/>
                <w:sz w:val="20"/>
                <w:szCs w:val="20"/>
              </w:rPr>
              <w:t>维持</w:t>
            </w:r>
          </w:p>
        </w:tc>
        <w:tc>
          <w:tcPr>
            <w:tcW w:w="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36" w:leftChars="-65" w:right="-124" w:rightChars="-59"/>
              <w:jc w:val="center"/>
              <w:rPr>
                <w:rFonts w:ascii="黑体" w:hAnsi="黑体" w:eastAsia="黑体"/>
                <w:color w:val="auto"/>
              </w:rPr>
            </w:pPr>
            <w:r>
              <w:rPr>
                <w:rFonts w:ascii="黑体" w:hAnsi="黑体" w:eastAsia="黑体"/>
                <w:color w:val="auto"/>
                <w:kern w:val="0"/>
                <w:sz w:val="20"/>
                <w:szCs w:val="20"/>
              </w:rPr>
              <w:t>纠正</w:t>
            </w:r>
          </w:p>
        </w:tc>
        <w:tc>
          <w:tcPr>
            <w:tcW w:w="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73" w:leftChars="-83" w:right="-134" w:rightChars="-64" w:hanging="1"/>
              <w:jc w:val="center"/>
              <w:rPr>
                <w:rFonts w:ascii="黑体" w:hAnsi="黑体" w:eastAsia="黑体"/>
                <w:color w:val="auto"/>
              </w:rPr>
            </w:pPr>
            <w:r>
              <w:rPr>
                <w:rFonts w:ascii="黑体" w:hAnsi="黑体" w:eastAsia="黑体"/>
                <w:color w:val="auto"/>
                <w:kern w:val="0"/>
                <w:sz w:val="20"/>
                <w:szCs w:val="20"/>
              </w:rPr>
              <w:t>结果</w:t>
            </w:r>
          </w:p>
        </w:tc>
        <w:tc>
          <w:tcPr>
            <w:tcW w:w="6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67" w:leftChars="-33" w:right="-105" w:rightChars="-50" w:hanging="2" w:hangingChars="1"/>
              <w:jc w:val="center"/>
              <w:rPr>
                <w:rFonts w:ascii="黑体" w:hAnsi="黑体" w:eastAsia="黑体"/>
                <w:color w:val="auto"/>
              </w:rPr>
            </w:pPr>
            <w:r>
              <w:rPr>
                <w:rFonts w:ascii="黑体" w:hAnsi="黑体" w:eastAsia="黑体"/>
                <w:color w:val="auto"/>
                <w:kern w:val="0"/>
                <w:sz w:val="20"/>
                <w:szCs w:val="20"/>
              </w:rPr>
              <w:t>审结</w:t>
            </w:r>
          </w:p>
        </w:tc>
        <w:tc>
          <w:tcPr>
            <w:tcW w:w="6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66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r>
    </w:tbl>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leftChars="0"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五、政府信息公开工作存在的主要问题及改进情况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Chars="0" w:firstLine="643" w:firstLineChars="200"/>
        <w:jc w:val="both"/>
        <w:textAlignment w:val="auto"/>
        <w:rPr>
          <w:rFonts w:hint="eastAsia" w:ascii="楷体_GB2312" w:hAnsi="楷体_GB2312" w:eastAsia="楷体_GB2312" w:cs="楷体_GB2312"/>
          <w:b/>
          <w:bCs/>
          <w:color w:val="0000FF"/>
          <w:sz w:val="32"/>
          <w:szCs w:val="32"/>
        </w:rPr>
      </w:pPr>
      <w:r>
        <w:rPr>
          <w:rFonts w:hint="eastAsia" w:ascii="楷体_GB2312" w:hAnsi="楷体_GB2312" w:eastAsia="楷体_GB2312" w:cs="楷体_GB2312"/>
          <w:b/>
          <w:bCs/>
          <w:color w:val="auto"/>
          <w:sz w:val="32"/>
          <w:szCs w:val="32"/>
        </w:rPr>
        <w:t>（一）存在的主要问题</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leftChars="0" w:right="0" w:rightChars="0" w:firstLine="643" w:firstLineChars="200"/>
        <w:jc w:val="both"/>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政策文件解读方式不够丰富、质量和推送精准性均有待提高；</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政府网站与政务新媒体联动较少，没有做到相互关联；</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政务公开形式不够创新，政务新媒体宣传途径不够多样，政务信息内容可读性不强，感染力不够。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Chars="0" w:firstLine="643"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rPr>
        <w:t>（二）改进措施</w:t>
      </w:r>
    </w:p>
    <w:p>
      <w:pPr>
        <w:pStyle w:val="4"/>
        <w:keepNext w:val="0"/>
        <w:keepLines w:val="0"/>
        <w:pageBreakBefore w:val="0"/>
        <w:widowControl/>
        <w:numPr>
          <w:ilvl w:val="0"/>
          <w:numId w:val="0"/>
        </w:numPr>
        <w:suppressLineNumbers w:val="0"/>
        <w:tabs>
          <w:tab w:val="left" w:pos="1465"/>
        </w:tabs>
        <w:kinsoku/>
        <w:wordWrap/>
        <w:overflowPunct/>
        <w:topLinePunct w:val="0"/>
        <w:autoSpaceDE/>
        <w:autoSpaceDN/>
        <w:bidi w:val="0"/>
        <w:adjustRightInd/>
        <w:snapToGrid/>
        <w:spacing w:before="0" w:beforeAutospacing="0" w:afterAutospacing="0" w:line="560" w:lineRule="exact"/>
        <w:ind w:right="0" w:rightChars="0" w:firstLine="643"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一是</w:t>
      </w:r>
      <w:r>
        <w:rPr>
          <w:rFonts w:hint="eastAsia" w:ascii="Times New Roman" w:hAnsi="Times New Roman" w:eastAsia="仿宋_GB2312" w:cs="Times New Roman"/>
          <w:color w:val="auto"/>
          <w:sz w:val="32"/>
          <w:szCs w:val="32"/>
          <w:lang w:val="en-US" w:eastAsia="zh-CN"/>
        </w:rPr>
        <w:t>持续创新政策解读形式，立足群众视角开展多层次解读，不断提高政策解读质量，充分运用政务公开专区等开展政策文件现场解读，有效提升政策传播率和到达率；</w:t>
      </w:r>
      <w:r>
        <w:rPr>
          <w:rFonts w:hint="eastAsia"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color w:val="auto"/>
          <w:sz w:val="32"/>
          <w:szCs w:val="32"/>
          <w:lang w:val="en-US" w:eastAsia="zh-CN"/>
        </w:rPr>
        <w:t>进一步推动政府网站与政务新媒体协同公开信息，坚持站在群众视角，不断探索提升政务信息公开覆盖面；</w:t>
      </w:r>
      <w:r>
        <w:rPr>
          <w:rFonts w:hint="eastAsia" w:ascii="Times New Roman" w:hAnsi="Times New Roman" w:eastAsia="仿宋_GB2312" w:cs="Times New Roman"/>
          <w:b/>
          <w:bCs/>
          <w:color w:val="auto"/>
          <w:sz w:val="32"/>
          <w:szCs w:val="32"/>
          <w:lang w:val="en-US" w:eastAsia="zh-CN"/>
        </w:rPr>
        <w:t>三是</w:t>
      </w:r>
      <w:r>
        <w:rPr>
          <w:rFonts w:hint="eastAsia" w:ascii="Times New Roman" w:hAnsi="Times New Roman" w:eastAsia="仿宋_GB2312" w:cs="Times New Roman"/>
          <w:color w:val="auto"/>
          <w:sz w:val="32"/>
          <w:szCs w:val="32"/>
          <w:lang w:val="en-US" w:eastAsia="zh-CN"/>
        </w:rPr>
        <w:t>将进一步创新政务信息公开形式，积极拓展使用监督电话、微信公众号等公开形式，增强政府信息公开的广泛性，提高政务公开的普及性和便民性。</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六、其他需要报告的事项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Times New Roman" w:hAnsi="Times New Roman" w:eastAsia="仿宋_GB2312" w:cs="Times New Roman"/>
          <w:color w:val="0000FF"/>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本行政机关人大代表建议和政协提案办理结果公开情况。全年</w:t>
      </w:r>
      <w:r>
        <w:rPr>
          <w:rFonts w:hint="eastAsia" w:ascii="Times New Roman" w:hAnsi="Times New Roman" w:eastAsia="仿宋_GB2312" w:cs="Times New Roman"/>
          <w:color w:val="auto"/>
          <w:sz w:val="32"/>
          <w:szCs w:val="32"/>
          <w:lang w:eastAsia="zh-CN"/>
        </w:rPr>
        <w:t>未</w:t>
      </w:r>
      <w:r>
        <w:rPr>
          <w:rFonts w:hint="default" w:ascii="Times New Roman" w:hAnsi="Times New Roman" w:eastAsia="仿宋_GB2312" w:cs="Times New Roman"/>
          <w:color w:val="auto"/>
          <w:sz w:val="32"/>
          <w:szCs w:val="32"/>
        </w:rPr>
        <w:t>承办区级人大代表建议</w:t>
      </w:r>
      <w:r>
        <w:rPr>
          <w:rFonts w:hint="eastAsia" w:ascii="Times New Roman" w:hAnsi="Times New Roman" w:eastAsia="仿宋_GB2312" w:cs="Times New Roman"/>
          <w:color w:val="auto"/>
          <w:sz w:val="32"/>
          <w:szCs w:val="32"/>
          <w:lang w:eastAsia="zh-CN"/>
        </w:rPr>
        <w:t>，全年承办</w:t>
      </w:r>
      <w:r>
        <w:rPr>
          <w:rFonts w:hint="default" w:ascii="Times New Roman" w:hAnsi="Times New Roman" w:eastAsia="仿宋_GB2312" w:cs="Times New Roman"/>
          <w:color w:val="auto"/>
          <w:sz w:val="32"/>
          <w:szCs w:val="32"/>
        </w:rPr>
        <w:t>区政协委员提案</w:t>
      </w:r>
      <w:r>
        <w:rPr>
          <w:rFonts w:hint="eastAsia" w:ascii="Times New Roman" w:hAnsi="Times New Roman" w:eastAsia="仿宋_GB2312" w:cs="Times New Roman"/>
          <w:color w:val="auto"/>
          <w:sz w:val="32"/>
          <w:szCs w:val="32"/>
          <w:lang w:val="en-US" w:eastAsia="zh-CN"/>
        </w:rPr>
        <w:t>1件。</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2.本年度政府信息公开申请未达到《政府信息公开信息处理费管理办法》（国办函〔2020〕109号）所规定的信息处理费收费标准，故未收取信息处理费。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3.落实年度政务公开重点工作情况。扎实做好政务公开基础工作，持续推进基层政务公开标准化、规范化，全面梳理细化相关领域政务公开事项，明确具体事项的公开标准，制作主动公开基本目录清单等，促进街道政务公开工作提质增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4.本行政机关年度政务公开工作创新情况。</w:t>
      </w:r>
      <w:r>
        <w:rPr>
          <w:rFonts w:hint="eastAsia" w:ascii="Times New Roman" w:hAnsi="Times New Roman" w:eastAsia="仿宋_GB2312" w:cs="Times New Roman"/>
          <w:b/>
          <w:bCs/>
          <w:color w:val="auto"/>
          <w:sz w:val="32"/>
          <w:szCs w:val="32"/>
          <w:lang w:val="en-US" w:eastAsia="zh-CN"/>
        </w:rPr>
        <w:t>一是</w:t>
      </w:r>
      <w:r>
        <w:rPr>
          <w:rFonts w:hint="eastAsia" w:ascii="Times New Roman" w:hAnsi="Times New Roman" w:eastAsia="仿宋_GB2312" w:cs="Times New Roman"/>
          <w:b w:val="0"/>
          <w:bCs w:val="0"/>
          <w:color w:val="auto"/>
          <w:sz w:val="32"/>
          <w:szCs w:val="32"/>
          <w:lang w:val="en-US" w:eastAsia="zh-CN"/>
        </w:rPr>
        <w:t>切实提升基层工作人员综合服务素质和能力，增强企业群众办事体验感和便利度；</w:t>
      </w:r>
      <w:r>
        <w:rPr>
          <w:rFonts w:hint="eastAsia"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b w:val="0"/>
          <w:bCs w:val="0"/>
          <w:color w:val="auto"/>
          <w:sz w:val="32"/>
          <w:szCs w:val="32"/>
          <w:lang w:val="en-US" w:eastAsia="zh-CN"/>
        </w:rPr>
        <w:t>升级</w:t>
      </w:r>
      <w:r>
        <w:rPr>
          <w:rFonts w:hint="eastAsia" w:ascii="Times New Roman" w:hAnsi="Times New Roman" w:eastAsia="仿宋_GB2312" w:cs="Times New Roman"/>
          <w:b w:val="0"/>
          <w:bCs w:val="0"/>
          <w:color w:val="auto"/>
          <w:sz w:val="32"/>
          <w:szCs w:val="32"/>
          <w:lang w:val="en-US" w:eastAsia="zh-CN"/>
        </w:rPr>
        <w:t>兴城街道“政务公开体验区”，进</w:t>
      </w:r>
      <w:bookmarkStart w:id="10" w:name="_GoBack"/>
      <w:bookmarkEnd w:id="10"/>
      <w:r>
        <w:rPr>
          <w:rFonts w:hint="eastAsia" w:ascii="Times New Roman" w:hAnsi="Times New Roman" w:eastAsia="仿宋_GB2312" w:cs="Times New Roman"/>
          <w:b w:val="0"/>
          <w:bCs w:val="0"/>
          <w:color w:val="auto"/>
          <w:sz w:val="32"/>
          <w:szCs w:val="32"/>
          <w:lang w:val="en-US" w:eastAsia="zh-CN"/>
        </w:rPr>
        <w:t>一步夯实政务公开工作基础，力争实现政务公开便民化、智能化、人性化，切实增强群众参与感。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本行政机关政府信息公开工作年度报告数据统计需要说明的事项。本报告中所列数据的统计时限为</w:t>
      </w:r>
      <w:r>
        <w:rPr>
          <w:rFonts w:hint="eastAsia"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日至</w:t>
      </w:r>
      <w:r>
        <w:rPr>
          <w:rFonts w:hint="eastAsia"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.本行政机关认为需要报告的其他事项。无。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.其他有关文件专门要求通过政府信息公开工作年度报告予以报告的事项。无。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如对本年度政府信息公开工作年度报告有疑问，请与枣庄高新区兴城街道联系（联系电话:0632-867</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008，电子邮箱:xingchengjieban@163.com）。</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jc w:val="both"/>
        <w:textAlignment w:val="auto"/>
        <w:rPr>
          <w:rFonts w:hint="eastAsia" w:ascii="Times New Roman" w:hAnsi="Times New Roman" w:eastAsia="仿宋_GB2312" w:cs="Times New Roman"/>
          <w:color w:val="auto"/>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A3586A"/>
    <w:multiLevelType w:val="singleLevel"/>
    <w:tmpl w:val="E9A3586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zJlNDY2MTkyZmE1NDA1OGE0NWY3NmYwZWEzYzkifQ=="/>
  </w:docVars>
  <w:rsids>
    <w:rsidRoot w:val="00000000"/>
    <w:rsid w:val="005C4D2E"/>
    <w:rsid w:val="00F9432B"/>
    <w:rsid w:val="018E53BB"/>
    <w:rsid w:val="019F1377"/>
    <w:rsid w:val="02775E4F"/>
    <w:rsid w:val="03BE185C"/>
    <w:rsid w:val="042913CB"/>
    <w:rsid w:val="04C5045F"/>
    <w:rsid w:val="04CB5FDF"/>
    <w:rsid w:val="051F457C"/>
    <w:rsid w:val="05BE1FE7"/>
    <w:rsid w:val="05E03D0C"/>
    <w:rsid w:val="05F72E03"/>
    <w:rsid w:val="06085010"/>
    <w:rsid w:val="063D4CBA"/>
    <w:rsid w:val="065344DE"/>
    <w:rsid w:val="06913258"/>
    <w:rsid w:val="06C726BC"/>
    <w:rsid w:val="06EE2458"/>
    <w:rsid w:val="071874D5"/>
    <w:rsid w:val="078F7797"/>
    <w:rsid w:val="08B60D54"/>
    <w:rsid w:val="08C416C3"/>
    <w:rsid w:val="090715AF"/>
    <w:rsid w:val="093C394F"/>
    <w:rsid w:val="09E55D95"/>
    <w:rsid w:val="0A8C6210"/>
    <w:rsid w:val="0AEA1189"/>
    <w:rsid w:val="0BAD4690"/>
    <w:rsid w:val="0C0B585A"/>
    <w:rsid w:val="0D86163D"/>
    <w:rsid w:val="0DB717F6"/>
    <w:rsid w:val="0E4A08BC"/>
    <w:rsid w:val="0E601E8E"/>
    <w:rsid w:val="0EA53D44"/>
    <w:rsid w:val="0EAC6E81"/>
    <w:rsid w:val="0EC853E9"/>
    <w:rsid w:val="0F2C1D70"/>
    <w:rsid w:val="0FB6788B"/>
    <w:rsid w:val="0FDA7A1E"/>
    <w:rsid w:val="100F3B6B"/>
    <w:rsid w:val="10637A13"/>
    <w:rsid w:val="115A0E16"/>
    <w:rsid w:val="11904838"/>
    <w:rsid w:val="11C72224"/>
    <w:rsid w:val="133E2072"/>
    <w:rsid w:val="134E49AB"/>
    <w:rsid w:val="13CA1B57"/>
    <w:rsid w:val="144731A8"/>
    <w:rsid w:val="14E32ED1"/>
    <w:rsid w:val="15043711"/>
    <w:rsid w:val="153B2D0D"/>
    <w:rsid w:val="15A308B2"/>
    <w:rsid w:val="16021A7C"/>
    <w:rsid w:val="16F77107"/>
    <w:rsid w:val="171E28E6"/>
    <w:rsid w:val="17822E75"/>
    <w:rsid w:val="179B7A92"/>
    <w:rsid w:val="18463EA2"/>
    <w:rsid w:val="18496DE3"/>
    <w:rsid w:val="18700F1F"/>
    <w:rsid w:val="18C63235"/>
    <w:rsid w:val="18DF42F7"/>
    <w:rsid w:val="193E726F"/>
    <w:rsid w:val="19B72B7E"/>
    <w:rsid w:val="19F85670"/>
    <w:rsid w:val="1A4C59BC"/>
    <w:rsid w:val="1B4D72F6"/>
    <w:rsid w:val="1BD21EF1"/>
    <w:rsid w:val="1BF43C15"/>
    <w:rsid w:val="1C47468D"/>
    <w:rsid w:val="1C7865F4"/>
    <w:rsid w:val="1CDF0421"/>
    <w:rsid w:val="1D8611E5"/>
    <w:rsid w:val="1E214A6A"/>
    <w:rsid w:val="1E37428D"/>
    <w:rsid w:val="1E5906A7"/>
    <w:rsid w:val="1EAE09F3"/>
    <w:rsid w:val="1EE75CB3"/>
    <w:rsid w:val="1F1A1BE5"/>
    <w:rsid w:val="202F346E"/>
    <w:rsid w:val="209B6D55"/>
    <w:rsid w:val="20CE2C87"/>
    <w:rsid w:val="20D14525"/>
    <w:rsid w:val="20F052F3"/>
    <w:rsid w:val="21052421"/>
    <w:rsid w:val="21091F11"/>
    <w:rsid w:val="21260D15"/>
    <w:rsid w:val="21556F04"/>
    <w:rsid w:val="21676C37"/>
    <w:rsid w:val="221C3EC6"/>
    <w:rsid w:val="22FD5AA5"/>
    <w:rsid w:val="2342170A"/>
    <w:rsid w:val="23582CDC"/>
    <w:rsid w:val="23737B15"/>
    <w:rsid w:val="23E565FA"/>
    <w:rsid w:val="24013373"/>
    <w:rsid w:val="24417C14"/>
    <w:rsid w:val="247B1377"/>
    <w:rsid w:val="24DB0068"/>
    <w:rsid w:val="250E3F9A"/>
    <w:rsid w:val="252E63EA"/>
    <w:rsid w:val="2561056D"/>
    <w:rsid w:val="25B82157"/>
    <w:rsid w:val="25C74149"/>
    <w:rsid w:val="2610789E"/>
    <w:rsid w:val="263B20A0"/>
    <w:rsid w:val="26775B6F"/>
    <w:rsid w:val="26A30712"/>
    <w:rsid w:val="26F70A5D"/>
    <w:rsid w:val="274C2B57"/>
    <w:rsid w:val="27CB6172"/>
    <w:rsid w:val="28074CD0"/>
    <w:rsid w:val="28DE1ED5"/>
    <w:rsid w:val="291853E7"/>
    <w:rsid w:val="294A30C6"/>
    <w:rsid w:val="294C5091"/>
    <w:rsid w:val="29D05CC2"/>
    <w:rsid w:val="29D3130E"/>
    <w:rsid w:val="2A181417"/>
    <w:rsid w:val="2A6603D4"/>
    <w:rsid w:val="2AFA28CA"/>
    <w:rsid w:val="2B3C2EE3"/>
    <w:rsid w:val="2B473D61"/>
    <w:rsid w:val="2B69017C"/>
    <w:rsid w:val="2BA50A88"/>
    <w:rsid w:val="2C994A91"/>
    <w:rsid w:val="2CC43190"/>
    <w:rsid w:val="2D67693D"/>
    <w:rsid w:val="2DD85145"/>
    <w:rsid w:val="2E7806D6"/>
    <w:rsid w:val="2F1523C9"/>
    <w:rsid w:val="2F1F0B51"/>
    <w:rsid w:val="2F754C15"/>
    <w:rsid w:val="2FBE480E"/>
    <w:rsid w:val="2FF124EE"/>
    <w:rsid w:val="30640F12"/>
    <w:rsid w:val="30ED53AB"/>
    <w:rsid w:val="312F7772"/>
    <w:rsid w:val="313D27D5"/>
    <w:rsid w:val="326E6078"/>
    <w:rsid w:val="32A10A97"/>
    <w:rsid w:val="34A22009"/>
    <w:rsid w:val="34F767F8"/>
    <w:rsid w:val="34F85D6A"/>
    <w:rsid w:val="3502519D"/>
    <w:rsid w:val="353C420B"/>
    <w:rsid w:val="355F7EFA"/>
    <w:rsid w:val="35CD57AB"/>
    <w:rsid w:val="366854D4"/>
    <w:rsid w:val="3699743B"/>
    <w:rsid w:val="37227431"/>
    <w:rsid w:val="372413FB"/>
    <w:rsid w:val="37531CE0"/>
    <w:rsid w:val="37B02C8E"/>
    <w:rsid w:val="38C2711D"/>
    <w:rsid w:val="39706B79"/>
    <w:rsid w:val="397321C6"/>
    <w:rsid w:val="39D4535A"/>
    <w:rsid w:val="39EE5CF0"/>
    <w:rsid w:val="3A267238"/>
    <w:rsid w:val="3A777A93"/>
    <w:rsid w:val="3B143534"/>
    <w:rsid w:val="3BD778AE"/>
    <w:rsid w:val="3BD80A06"/>
    <w:rsid w:val="3CB054DF"/>
    <w:rsid w:val="3D89020A"/>
    <w:rsid w:val="3DD82F3F"/>
    <w:rsid w:val="3DF15DAF"/>
    <w:rsid w:val="3F4A1C1A"/>
    <w:rsid w:val="3F80388E"/>
    <w:rsid w:val="3FAC01DF"/>
    <w:rsid w:val="40297A82"/>
    <w:rsid w:val="405A7C3B"/>
    <w:rsid w:val="409E3FCC"/>
    <w:rsid w:val="40C31C84"/>
    <w:rsid w:val="417E204F"/>
    <w:rsid w:val="41E00614"/>
    <w:rsid w:val="41EC520B"/>
    <w:rsid w:val="42894808"/>
    <w:rsid w:val="431C567C"/>
    <w:rsid w:val="43324E9F"/>
    <w:rsid w:val="44022AC4"/>
    <w:rsid w:val="4427077C"/>
    <w:rsid w:val="44775260"/>
    <w:rsid w:val="44C61D43"/>
    <w:rsid w:val="44CD30D2"/>
    <w:rsid w:val="4550160D"/>
    <w:rsid w:val="4554734F"/>
    <w:rsid w:val="459E4A6E"/>
    <w:rsid w:val="45CA7611"/>
    <w:rsid w:val="46B04A59"/>
    <w:rsid w:val="46E12E64"/>
    <w:rsid w:val="46E6047B"/>
    <w:rsid w:val="473A2575"/>
    <w:rsid w:val="47AB5220"/>
    <w:rsid w:val="49090450"/>
    <w:rsid w:val="49267254"/>
    <w:rsid w:val="494D47E1"/>
    <w:rsid w:val="4A655B5A"/>
    <w:rsid w:val="4A69564B"/>
    <w:rsid w:val="4B441C14"/>
    <w:rsid w:val="4BF076A6"/>
    <w:rsid w:val="4CAA1F4A"/>
    <w:rsid w:val="4D693BB4"/>
    <w:rsid w:val="4E577EB0"/>
    <w:rsid w:val="4E8642F1"/>
    <w:rsid w:val="4E8A3DE2"/>
    <w:rsid w:val="4E915170"/>
    <w:rsid w:val="4F9B5B7A"/>
    <w:rsid w:val="4F9F1B0F"/>
    <w:rsid w:val="4FE47521"/>
    <w:rsid w:val="4FF84D7B"/>
    <w:rsid w:val="50175B49"/>
    <w:rsid w:val="505E043D"/>
    <w:rsid w:val="50B769E4"/>
    <w:rsid w:val="50D21A70"/>
    <w:rsid w:val="50F33EC0"/>
    <w:rsid w:val="51022355"/>
    <w:rsid w:val="51CC64BF"/>
    <w:rsid w:val="51FD2B1C"/>
    <w:rsid w:val="532540D9"/>
    <w:rsid w:val="532F6D06"/>
    <w:rsid w:val="53360094"/>
    <w:rsid w:val="53BA6F17"/>
    <w:rsid w:val="5435659E"/>
    <w:rsid w:val="545804DE"/>
    <w:rsid w:val="54D062C6"/>
    <w:rsid w:val="54D9517B"/>
    <w:rsid w:val="54DB5397"/>
    <w:rsid w:val="5503669C"/>
    <w:rsid w:val="55175CA3"/>
    <w:rsid w:val="5523289A"/>
    <w:rsid w:val="55B61960"/>
    <w:rsid w:val="55D3606E"/>
    <w:rsid w:val="55EB785C"/>
    <w:rsid w:val="5604091D"/>
    <w:rsid w:val="56CF2CD9"/>
    <w:rsid w:val="56DA342C"/>
    <w:rsid w:val="57DD4F82"/>
    <w:rsid w:val="584A6390"/>
    <w:rsid w:val="58A12453"/>
    <w:rsid w:val="58DF2F7C"/>
    <w:rsid w:val="59123351"/>
    <w:rsid w:val="5A290952"/>
    <w:rsid w:val="5A8913F1"/>
    <w:rsid w:val="5B0311A3"/>
    <w:rsid w:val="5BD91F04"/>
    <w:rsid w:val="5D373386"/>
    <w:rsid w:val="5D375134"/>
    <w:rsid w:val="5D485594"/>
    <w:rsid w:val="5D8B5480"/>
    <w:rsid w:val="5DE60909"/>
    <w:rsid w:val="5EF332DD"/>
    <w:rsid w:val="5F100333"/>
    <w:rsid w:val="5F337B7D"/>
    <w:rsid w:val="5F3833E6"/>
    <w:rsid w:val="5FCF3D4A"/>
    <w:rsid w:val="604007A4"/>
    <w:rsid w:val="616C7377"/>
    <w:rsid w:val="61E82EA1"/>
    <w:rsid w:val="622F0AD0"/>
    <w:rsid w:val="62A3501A"/>
    <w:rsid w:val="62AF7E63"/>
    <w:rsid w:val="6549634D"/>
    <w:rsid w:val="657F58CB"/>
    <w:rsid w:val="66083B12"/>
    <w:rsid w:val="66540B05"/>
    <w:rsid w:val="668F1B3D"/>
    <w:rsid w:val="66ED0F5A"/>
    <w:rsid w:val="673F7A07"/>
    <w:rsid w:val="674943E2"/>
    <w:rsid w:val="67801DCE"/>
    <w:rsid w:val="68555008"/>
    <w:rsid w:val="68B57855"/>
    <w:rsid w:val="690031C6"/>
    <w:rsid w:val="692C7B17"/>
    <w:rsid w:val="693B5FAC"/>
    <w:rsid w:val="69407A67"/>
    <w:rsid w:val="6A114F5F"/>
    <w:rsid w:val="6AA87672"/>
    <w:rsid w:val="6AFB1E97"/>
    <w:rsid w:val="6B2D401B"/>
    <w:rsid w:val="6BB12556"/>
    <w:rsid w:val="6BD10E4A"/>
    <w:rsid w:val="6BD3071E"/>
    <w:rsid w:val="6C07486C"/>
    <w:rsid w:val="6C111246"/>
    <w:rsid w:val="6E95615F"/>
    <w:rsid w:val="6FE949B4"/>
    <w:rsid w:val="7020414E"/>
    <w:rsid w:val="703F2826"/>
    <w:rsid w:val="70875F7B"/>
    <w:rsid w:val="70A1528F"/>
    <w:rsid w:val="70D867D7"/>
    <w:rsid w:val="70E37655"/>
    <w:rsid w:val="71BE3C1E"/>
    <w:rsid w:val="737E3665"/>
    <w:rsid w:val="73AA6208"/>
    <w:rsid w:val="742F670E"/>
    <w:rsid w:val="743B3304"/>
    <w:rsid w:val="744C72C0"/>
    <w:rsid w:val="74A92964"/>
    <w:rsid w:val="74F82FA3"/>
    <w:rsid w:val="75614FED"/>
    <w:rsid w:val="757E5B9F"/>
    <w:rsid w:val="75C86E1A"/>
    <w:rsid w:val="76830F93"/>
    <w:rsid w:val="76F93003"/>
    <w:rsid w:val="76FA74A7"/>
    <w:rsid w:val="772269FE"/>
    <w:rsid w:val="77244524"/>
    <w:rsid w:val="773504DF"/>
    <w:rsid w:val="779A47E6"/>
    <w:rsid w:val="78E35D19"/>
    <w:rsid w:val="7961380D"/>
    <w:rsid w:val="799F682B"/>
    <w:rsid w:val="7A212F9C"/>
    <w:rsid w:val="7A523156"/>
    <w:rsid w:val="7A813A3B"/>
    <w:rsid w:val="7AFE6E3A"/>
    <w:rsid w:val="7B0C59FB"/>
    <w:rsid w:val="7B346CFF"/>
    <w:rsid w:val="7B783090"/>
    <w:rsid w:val="7BBF0CBF"/>
    <w:rsid w:val="7C5533D1"/>
    <w:rsid w:val="7C8F0691"/>
    <w:rsid w:val="7CB65C1E"/>
    <w:rsid w:val="7CE502B1"/>
    <w:rsid w:val="7CF90201"/>
    <w:rsid w:val="7D0C1CE2"/>
    <w:rsid w:val="7D276B1C"/>
    <w:rsid w:val="7DA55C93"/>
    <w:rsid w:val="7E130E4E"/>
    <w:rsid w:val="7E3C03A5"/>
    <w:rsid w:val="7E8B4E88"/>
    <w:rsid w:val="7ED76320"/>
    <w:rsid w:val="7F5C2810"/>
    <w:rsid w:val="7F932247"/>
    <w:rsid w:val="7FAE7080"/>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2310</Words>
  <Characters>2422</Characters>
  <Lines>0</Lines>
  <Paragraphs>0</Paragraphs>
  <TotalTime>41</TotalTime>
  <ScaleCrop>false</ScaleCrop>
  <LinksUpToDate>false</LinksUpToDate>
  <CharactersWithSpaces>2460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2024-01-16T06:59:00Z</dcterms:created>
  <dc:creator>Administrator</dc:creator>
  <cp:lastModifiedBy>伊儿</cp:lastModifiedBy>
  <dcterms:modified xsi:type="dcterms:W3CDTF">2024-01-25T09:13:41Z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6F5E708E7BBC4991AB98E02870A3A20A_12</vt:lpwstr>
  </property>
</Properties>
</file>