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简体"/>
          <w:kern w:val="0"/>
          <w:sz w:val="44"/>
          <w:szCs w:val="44"/>
        </w:rPr>
      </w:pPr>
      <w:r>
        <w:rPr>
          <w:rFonts w:hint="eastAsia" w:eastAsia="方正小标宋简体"/>
          <w:kern w:val="0"/>
          <w:sz w:val="44"/>
          <w:szCs w:val="44"/>
        </w:rPr>
        <w:t>枣庄高新区财政金融局202</w:t>
      </w:r>
      <w:r>
        <w:rPr>
          <w:rFonts w:hint="eastAsia" w:eastAsia="方正小标宋简体"/>
          <w:kern w:val="0"/>
          <w:sz w:val="44"/>
          <w:szCs w:val="44"/>
          <w:lang w:val="en-US" w:eastAsia="zh-CN"/>
        </w:rPr>
        <w:t>2</w:t>
      </w:r>
      <w:r>
        <w:rPr>
          <w:rFonts w:hint="eastAsia" w:eastAsia="方正小标宋简体"/>
          <w:kern w:val="0"/>
          <w:sz w:val="44"/>
          <w:szCs w:val="44"/>
        </w:rPr>
        <w:t>年</w:t>
      </w:r>
      <w:r>
        <w:rPr>
          <w:rFonts w:eastAsia="方正小标宋简体"/>
          <w:kern w:val="0"/>
          <w:sz w:val="44"/>
          <w:szCs w:val="44"/>
        </w:rPr>
        <w:t>政府信息</w:t>
      </w:r>
    </w:p>
    <w:p>
      <w:pPr>
        <w:widowControl/>
        <w:spacing w:line="580" w:lineRule="exact"/>
        <w:jc w:val="center"/>
        <w:rPr>
          <w:rFonts w:eastAsia="方正小标宋简体"/>
          <w:kern w:val="0"/>
          <w:sz w:val="44"/>
          <w:szCs w:val="44"/>
        </w:rPr>
      </w:pPr>
      <w:r>
        <w:rPr>
          <w:rFonts w:eastAsia="方正小标宋简体"/>
          <w:kern w:val="0"/>
          <w:sz w:val="44"/>
          <w:szCs w:val="44"/>
        </w:rPr>
        <w:t>公开工作年度报告</w:t>
      </w:r>
    </w:p>
    <w:p>
      <w:pPr>
        <w:pStyle w:val="2"/>
        <w:spacing w:after="0" w:line="600" w:lineRule="exact"/>
        <w:ind w:left="0" w:leftChars="0" w:firstLine="640"/>
        <w:rPr>
          <w:rFonts w:ascii="仿宋_GB2312" w:hAnsi="宋体" w:eastAsia="仿宋_GB2312" w:cs="仿宋_GB2312"/>
          <w:color w:val="000000"/>
          <w:sz w:val="32"/>
          <w:szCs w:val="32"/>
          <w:shd w:val="clear" w:color="auto" w:fill="FFFFFF"/>
        </w:rPr>
      </w:pPr>
    </w:p>
    <w:p>
      <w:pPr>
        <w:pStyle w:val="2"/>
        <w:spacing w:after="0" w:line="600" w:lineRule="exact"/>
        <w:ind w:left="0" w:leftChars="0" w:firstLine="640"/>
        <w:rPr>
          <w:rFonts w:ascii="仿宋_GB2312" w:hAnsi="宋体" w:eastAsia="仿宋_GB2312" w:cs="仿宋_GB2312"/>
          <w:color w:val="000000"/>
          <w:sz w:val="32"/>
          <w:szCs w:val="32"/>
          <w:shd w:val="clear" w:color="auto" w:fill="FFFFFF"/>
        </w:rPr>
      </w:pPr>
      <w:r>
        <w:rPr>
          <w:rFonts w:ascii="仿宋_GB2312" w:hAnsi="宋体" w:eastAsia="仿宋_GB2312" w:cs="仿宋_GB2312"/>
          <w:color w:val="000000"/>
          <w:sz w:val="32"/>
          <w:szCs w:val="32"/>
          <w:shd w:val="clear" w:color="auto" w:fill="FFFFFF"/>
        </w:rPr>
        <w:t>202</w:t>
      </w:r>
      <w:r>
        <w:rPr>
          <w:rFonts w:hint="eastAsia" w:ascii="仿宋_GB2312" w:hAnsi="宋体" w:eastAsia="仿宋_GB2312" w:cs="仿宋_GB2312"/>
          <w:color w:val="000000"/>
          <w:sz w:val="32"/>
          <w:szCs w:val="32"/>
          <w:shd w:val="clear" w:color="auto" w:fill="FFFFFF"/>
          <w:lang w:val="en-US" w:eastAsia="zh-CN"/>
        </w:rPr>
        <w:t>2</w:t>
      </w:r>
      <w:r>
        <w:rPr>
          <w:rFonts w:ascii="仿宋_GB2312" w:hAnsi="宋体" w:eastAsia="仿宋_GB2312" w:cs="仿宋_GB2312"/>
          <w:color w:val="000000"/>
          <w:sz w:val="32"/>
          <w:szCs w:val="32"/>
          <w:shd w:val="clear" w:color="auto" w:fill="FFFFFF"/>
        </w:rPr>
        <w:t>年，高新区</w:t>
      </w:r>
      <w:r>
        <w:rPr>
          <w:rFonts w:hint="eastAsia" w:ascii="仿宋_GB2312" w:hAnsi="宋体" w:eastAsia="仿宋_GB2312" w:cs="仿宋_GB2312"/>
          <w:color w:val="000000"/>
          <w:sz w:val="32"/>
          <w:szCs w:val="32"/>
          <w:shd w:val="clear" w:color="auto" w:fill="FFFFFF"/>
        </w:rPr>
        <w:t>财政金融</w:t>
      </w:r>
      <w:r>
        <w:rPr>
          <w:rFonts w:ascii="仿宋_GB2312" w:hAnsi="宋体" w:eastAsia="仿宋_GB2312" w:cs="仿宋_GB2312"/>
          <w:color w:val="000000"/>
          <w:sz w:val="32"/>
          <w:szCs w:val="32"/>
          <w:shd w:val="clear" w:color="auto" w:fill="FFFFFF"/>
        </w:rPr>
        <w:t>局坚持以习近平新时代中国特色社会主义思想为指导，全面贯彻党的</w:t>
      </w:r>
      <w:r>
        <w:rPr>
          <w:rFonts w:hint="eastAsia" w:ascii="仿宋_GB2312" w:hAnsi="宋体" w:eastAsia="仿宋_GB2312" w:cs="仿宋_GB2312"/>
          <w:color w:val="000000"/>
          <w:sz w:val="32"/>
          <w:szCs w:val="32"/>
          <w:shd w:val="clear" w:color="auto" w:fill="FFFFFF"/>
          <w:lang w:eastAsia="zh-CN"/>
        </w:rPr>
        <w:t>二十大</w:t>
      </w:r>
      <w:r>
        <w:rPr>
          <w:rFonts w:ascii="仿宋_GB2312" w:hAnsi="宋体" w:eastAsia="仿宋_GB2312" w:cs="仿宋_GB2312"/>
          <w:color w:val="000000"/>
          <w:sz w:val="32"/>
          <w:szCs w:val="32"/>
          <w:shd w:val="clear" w:color="auto" w:fill="FFFFFF"/>
        </w:rPr>
        <w:t>精神，认真学习并贯彻落实《中华人民共和国政府信息公开条例》等法律法规，紧紧围绕经济社会发展和群众关注关切问题，坚持以公开促落实、促规范、促服务，推进政务公开工作取得积极成效。本报告所列数据的统计时限自202</w:t>
      </w:r>
      <w:r>
        <w:rPr>
          <w:rFonts w:hint="eastAsia" w:ascii="仿宋_GB2312" w:hAnsi="宋体" w:eastAsia="仿宋_GB2312" w:cs="仿宋_GB2312"/>
          <w:color w:val="000000"/>
          <w:sz w:val="32"/>
          <w:szCs w:val="32"/>
          <w:shd w:val="clear" w:color="auto" w:fill="FFFFFF"/>
          <w:lang w:val="en-US" w:eastAsia="zh-CN"/>
        </w:rPr>
        <w:t>2</w:t>
      </w:r>
      <w:r>
        <w:rPr>
          <w:rFonts w:ascii="仿宋_GB2312" w:hAnsi="宋体" w:eastAsia="仿宋_GB2312" w:cs="仿宋_GB2312"/>
          <w:color w:val="000000"/>
          <w:sz w:val="32"/>
          <w:szCs w:val="32"/>
          <w:shd w:val="clear" w:color="auto" w:fill="FFFFFF"/>
        </w:rPr>
        <w:t>年1月1日至202</w:t>
      </w:r>
      <w:r>
        <w:rPr>
          <w:rFonts w:hint="eastAsia" w:ascii="仿宋_GB2312" w:hAnsi="宋体" w:eastAsia="仿宋_GB2312" w:cs="仿宋_GB2312"/>
          <w:color w:val="000000"/>
          <w:sz w:val="32"/>
          <w:szCs w:val="32"/>
          <w:shd w:val="clear" w:color="auto" w:fill="FFFFFF"/>
          <w:lang w:val="en-US" w:eastAsia="zh-CN"/>
        </w:rPr>
        <w:t>2</w:t>
      </w:r>
      <w:r>
        <w:rPr>
          <w:rFonts w:ascii="仿宋_GB2312" w:hAnsi="宋体" w:eastAsia="仿宋_GB2312" w:cs="仿宋_GB2312"/>
          <w:color w:val="000000"/>
          <w:sz w:val="32"/>
          <w:szCs w:val="32"/>
          <w:shd w:val="clear" w:color="auto" w:fill="FFFFFF"/>
        </w:rPr>
        <w:t>年12月31日。本报告</w:t>
      </w:r>
      <w:r>
        <w:rPr>
          <w:rFonts w:hint="eastAsia" w:ascii="仿宋_GB2312" w:hAnsi="宋体" w:eastAsia="仿宋_GB2312" w:cs="仿宋_GB2312"/>
          <w:color w:val="000000"/>
          <w:sz w:val="32"/>
          <w:szCs w:val="32"/>
          <w:shd w:val="clear" w:color="auto" w:fill="FFFFFF"/>
        </w:rPr>
        <w:t>在枣庄高新区官网（http://www.zzctp.gov.cn/）“政府信息公开年度报告”专栏公布。如对本年度政府信息公开工作年度报告有疑问，请与枣庄高新区财政金融局综合管理科联系（联系电话:0632-8690966，电子邮箱:gxqczjrj@163.com）。</w:t>
      </w:r>
    </w:p>
    <w:p>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一、总体情况</w:t>
      </w:r>
    </w:p>
    <w:p>
      <w:pPr>
        <w:pStyle w:val="2"/>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年，枣庄高新区财政金融局认真贯彻落实《中共中央办公厅国务院办公厅关于进一步推行政务公开的意见》</w:t>
      </w:r>
      <w:r>
        <w:rPr>
          <w:rFonts w:ascii="仿宋_GB2312" w:hAnsi="仿宋_GB2312" w:eastAsia="仿宋_GB2312" w:cs="仿宋_GB2312"/>
          <w:sz w:val="32"/>
          <w:szCs w:val="32"/>
        </w:rPr>
        <w:t>《中华人民共和国政府信息公开条例》《山东省政府信息公开办法》</w:t>
      </w:r>
      <w:r>
        <w:rPr>
          <w:rFonts w:hint="eastAsia" w:ascii="仿宋_GB2312" w:hAnsi="仿宋_GB2312" w:eastAsia="仿宋_GB2312" w:cs="仿宋_GB2312"/>
          <w:sz w:val="32"/>
          <w:szCs w:val="32"/>
        </w:rPr>
        <w:t>要求，在区党工委、管委会的坚强领导和区政务公开办的指导下，遵循依法准确、及时、有效、便民的原则，</w:t>
      </w:r>
      <w:r>
        <w:rPr>
          <w:rFonts w:ascii="仿宋_GB2312" w:hAnsi="宋体" w:eastAsia="仿宋_GB2312" w:cs="仿宋_GB2312"/>
          <w:color w:val="000000"/>
          <w:sz w:val="32"/>
          <w:szCs w:val="32"/>
          <w:shd w:val="clear" w:color="auto" w:fill="FFFFFF"/>
        </w:rPr>
        <w:t>紧紧围绕财政中心工作，以提升政务公开质量为主线，持续做好信息发布、解读回应、政民互动，着力推动行政权力全过程公开、公共服务全流程公开、社会关切全方位回应，以公开强监督、促落实、优服务，助力</w:t>
      </w:r>
      <w:r>
        <w:rPr>
          <w:rFonts w:hint="eastAsia" w:ascii="仿宋_GB2312" w:hAnsi="宋体" w:eastAsia="仿宋_GB2312" w:cs="仿宋_GB2312"/>
          <w:color w:val="000000"/>
          <w:sz w:val="32"/>
          <w:szCs w:val="32"/>
          <w:shd w:val="clear" w:color="auto" w:fill="FFFFFF"/>
        </w:rPr>
        <w:t>本区</w:t>
      </w:r>
      <w:r>
        <w:rPr>
          <w:rFonts w:ascii="仿宋_GB2312" w:hAnsi="宋体" w:eastAsia="仿宋_GB2312" w:cs="仿宋_GB2312"/>
          <w:color w:val="000000"/>
          <w:sz w:val="32"/>
          <w:szCs w:val="32"/>
          <w:shd w:val="clear" w:color="auto" w:fill="FFFFFF"/>
        </w:rPr>
        <w:t>经济社会高质量发展。</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（一）主动公开情况</w:t>
      </w:r>
    </w:p>
    <w:p>
      <w:pPr>
        <w:spacing w:line="60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年，我局通过公开网站稿件</w:t>
      </w:r>
      <w:r>
        <w:rPr>
          <w:rFonts w:hint="eastAsia" w:ascii="仿宋_GB2312" w:hAnsi="宋体" w:eastAsia="仿宋_GB2312" w:cs="仿宋_GB2312"/>
          <w:i w:val="0"/>
          <w:iCs w:val="0"/>
          <w:caps w:val="0"/>
          <w:color w:val="000000"/>
          <w:spacing w:val="0"/>
          <w:sz w:val="32"/>
          <w:szCs w:val="32"/>
          <w:shd w:val="clear" w:fill="FFFFFF"/>
          <w:lang w:val="en-US" w:eastAsia="zh-CN"/>
        </w:rPr>
        <w:t>223</w:t>
      </w:r>
      <w:r>
        <w:rPr>
          <w:rFonts w:hint="eastAsia" w:ascii="仿宋_GB2312" w:hAnsi="宋体" w:eastAsia="仿宋_GB2312" w:cs="仿宋_GB2312"/>
          <w:i w:val="0"/>
          <w:iCs w:val="0"/>
          <w:caps w:val="0"/>
          <w:color w:val="000000"/>
          <w:spacing w:val="0"/>
          <w:sz w:val="32"/>
          <w:szCs w:val="32"/>
          <w:shd w:val="clear" w:fill="FFFFFF"/>
        </w:rPr>
        <w:t>篇，</w:t>
      </w:r>
      <w:r>
        <w:rPr>
          <w:rFonts w:ascii="仿宋_GB2312" w:hAnsi="宋体" w:eastAsia="仿宋_GB2312" w:cs="仿宋_GB2312"/>
          <w:i w:val="0"/>
          <w:iCs w:val="0"/>
          <w:caps w:val="0"/>
          <w:color w:val="000000"/>
          <w:spacing w:val="0"/>
          <w:sz w:val="32"/>
          <w:szCs w:val="32"/>
          <w:shd w:val="clear" w:fill="FFFFFF"/>
        </w:rPr>
        <w:t>会议公开方面，202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ascii="仿宋_GB2312" w:hAnsi="宋体" w:eastAsia="仿宋_GB2312" w:cs="仿宋_GB2312"/>
          <w:i w:val="0"/>
          <w:iCs w:val="0"/>
          <w:caps w:val="0"/>
          <w:color w:val="000000"/>
          <w:spacing w:val="0"/>
          <w:sz w:val="32"/>
          <w:szCs w:val="32"/>
          <w:shd w:val="clear" w:fill="FFFFFF"/>
        </w:rPr>
        <w:t>年共召开</w:t>
      </w:r>
      <w:r>
        <w:rPr>
          <w:rFonts w:hint="eastAsia" w:ascii="仿宋_GB2312" w:hAnsi="宋体" w:eastAsia="仿宋_GB2312" w:cs="仿宋_GB2312"/>
          <w:i w:val="0"/>
          <w:iCs w:val="0"/>
          <w:caps w:val="0"/>
          <w:color w:val="000000"/>
          <w:spacing w:val="0"/>
          <w:sz w:val="32"/>
          <w:szCs w:val="32"/>
          <w:shd w:val="clear" w:fill="FFFFFF"/>
          <w:lang w:val="en-US" w:eastAsia="zh-CN"/>
        </w:rPr>
        <w:t>12</w:t>
      </w:r>
      <w:r>
        <w:rPr>
          <w:rFonts w:ascii="仿宋_GB2312" w:hAnsi="宋体" w:eastAsia="仿宋_GB2312" w:cs="仿宋_GB2312"/>
          <w:i w:val="0"/>
          <w:iCs w:val="0"/>
          <w:caps w:val="0"/>
          <w:color w:val="000000"/>
          <w:spacing w:val="0"/>
          <w:sz w:val="32"/>
          <w:szCs w:val="32"/>
          <w:shd w:val="clear" w:fill="FFFFFF"/>
        </w:rPr>
        <w:t>次办公会议，其中通过高新区官方网站公开</w:t>
      </w:r>
      <w:r>
        <w:rPr>
          <w:rFonts w:hint="eastAsia" w:ascii="仿宋_GB2312" w:hAnsi="宋体" w:eastAsia="仿宋_GB2312" w:cs="仿宋_GB2312"/>
          <w:i w:val="0"/>
          <w:iCs w:val="0"/>
          <w:caps w:val="0"/>
          <w:color w:val="000000"/>
          <w:spacing w:val="0"/>
          <w:sz w:val="32"/>
          <w:szCs w:val="32"/>
          <w:shd w:val="clear" w:fill="FFFFFF"/>
          <w:lang w:val="en-US" w:eastAsia="zh-CN"/>
        </w:rPr>
        <w:t>12</w:t>
      </w:r>
      <w:r>
        <w:rPr>
          <w:rFonts w:ascii="仿宋_GB2312" w:hAnsi="宋体" w:eastAsia="仿宋_GB2312" w:cs="仿宋_GB2312"/>
          <w:i w:val="0"/>
          <w:iCs w:val="0"/>
          <w:caps w:val="0"/>
          <w:color w:val="000000"/>
          <w:spacing w:val="0"/>
          <w:sz w:val="32"/>
          <w:szCs w:val="32"/>
          <w:shd w:val="clear" w:fill="FFFFFF"/>
        </w:rPr>
        <w:t>次。无依申请公开情况。无政府信息公开申请提起行政复议、行政诉讼、被举报投诉的情况。</w:t>
      </w:r>
    </w:p>
    <w:p>
      <w:pPr>
        <w:pStyle w:val="2"/>
        <w:spacing w:after="0" w:line="600" w:lineRule="exact"/>
        <w:ind w:left="0" w:leftChars="0" w:firstLine="0" w:firstLineChars="0"/>
        <w:jc w:val="center"/>
      </w:pPr>
      <w:r>
        <w:rPr>
          <w:rFonts w:hint="eastAsia" w:ascii="仿宋_GB2312" w:hAnsi="仿宋_GB2312" w:eastAsia="仿宋_GB2312" w:cs="仿宋_GB2312"/>
          <w:sz w:val="32"/>
          <w:szCs w:val="32"/>
        </w:rPr>
        <w:t>政府信息主动公开稿件数量对比图</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lang w:eastAsia="zh-CN"/>
        </w:rPr>
        <w:drawing>
          <wp:anchor distT="0" distB="0" distL="114300" distR="114300" simplePos="0" relativeHeight="251659264" behindDoc="1" locked="0" layoutInCell="1" allowOverlap="1">
            <wp:simplePos x="0" y="0"/>
            <wp:positionH relativeFrom="column">
              <wp:posOffset>358775</wp:posOffset>
            </wp:positionH>
            <wp:positionV relativeFrom="paragraph">
              <wp:posOffset>66675</wp:posOffset>
            </wp:positionV>
            <wp:extent cx="4581525" cy="3219450"/>
            <wp:effectExtent l="0" t="0" r="9525" b="0"/>
            <wp:wrapTight wrapText="bothSides">
              <wp:wrapPolygon>
                <wp:start x="0" y="0"/>
                <wp:lineTo x="0" y="21472"/>
                <wp:lineTo x="21555" y="21472"/>
                <wp:lineTo x="21555" y="0"/>
                <wp:lineTo x="0" y="0"/>
              </wp:wrapPolygon>
            </wp:wrapTight>
            <wp:docPr id="1" name="图片 1" descr="bbf1f318c2256c7e605be36ed1a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bf1f318c2256c7e605be36ed1a1904"/>
                    <pic:cNvPicPr>
                      <a:picLocks noChangeAspect="1"/>
                    </pic:cNvPicPr>
                  </pic:nvPicPr>
                  <pic:blipFill>
                    <a:blip r:embed="rId4"/>
                    <a:stretch>
                      <a:fillRect/>
                    </a:stretch>
                  </pic:blipFill>
                  <pic:spPr>
                    <a:xfrm>
                      <a:off x="0" y="0"/>
                      <a:ext cx="4581525" cy="3219450"/>
                    </a:xfrm>
                    <a:prstGeom prst="rect">
                      <a:avLst/>
                    </a:prstGeom>
                  </pic:spPr>
                </pic:pic>
              </a:graphicData>
            </a:graphic>
          </wp:anchor>
        </w:drawing>
      </w:r>
    </w:p>
    <w:p>
      <w:pPr>
        <w:spacing w:line="600" w:lineRule="exact"/>
        <w:ind w:firstLine="643" w:firstLineChars="200"/>
        <w:rPr>
          <w:rFonts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lang w:eastAsia="zh-CN"/>
        </w:rPr>
      </w:pPr>
    </w:p>
    <w:p>
      <w:pPr>
        <w:spacing w:line="600" w:lineRule="exact"/>
        <w:ind w:firstLine="643" w:firstLineChars="200"/>
        <w:rPr>
          <w:rFonts w:ascii="楷体" w:hAnsi="楷体" w:eastAsia="楷体" w:cs="楷体"/>
          <w:b/>
          <w:bCs/>
          <w:sz w:val="32"/>
          <w:szCs w:val="32"/>
        </w:rPr>
      </w:pPr>
    </w:p>
    <w:p>
      <w:pPr>
        <w:pStyle w:val="2"/>
        <w:ind w:firstLine="643"/>
        <w:rPr>
          <w:rFonts w:ascii="楷体" w:hAnsi="楷体" w:eastAsia="楷体" w:cs="楷体"/>
          <w:b/>
          <w:bCs/>
          <w:sz w:val="32"/>
          <w:szCs w:val="32"/>
        </w:rPr>
      </w:pPr>
      <w:bookmarkStart w:id="10" w:name="_GoBack"/>
      <w:bookmarkEnd w:id="10"/>
    </w:p>
    <w:p/>
    <w:p>
      <w:pPr>
        <w:spacing w:line="600" w:lineRule="exact"/>
        <w:ind w:firstLine="643" w:firstLineChars="200"/>
        <w:rPr>
          <w:rFonts w:ascii="楷体" w:hAnsi="楷体" w:eastAsia="楷体" w:cs="楷体"/>
          <w:b/>
          <w:bCs/>
          <w:sz w:val="32"/>
          <w:szCs w:val="32"/>
        </w:rPr>
      </w:pPr>
    </w:p>
    <w:p>
      <w:pPr>
        <w:spacing w:line="600" w:lineRule="exact"/>
        <w:ind w:firstLine="643" w:firstLineChars="200"/>
        <w:rPr>
          <w:rFonts w:ascii="楷体" w:hAnsi="楷体" w:eastAsia="楷体" w:cs="楷体"/>
          <w:b/>
          <w:bCs/>
          <w:sz w:val="32"/>
          <w:szCs w:val="32"/>
        </w:rPr>
      </w:pPr>
    </w:p>
    <w:p>
      <w:pPr>
        <w:spacing w:line="600" w:lineRule="exact"/>
        <w:rPr>
          <w:rFonts w:ascii="楷体" w:hAnsi="楷体" w:eastAsia="楷体" w:cs="楷体"/>
          <w:b/>
          <w:bCs/>
          <w:sz w:val="32"/>
          <w:szCs w:val="32"/>
        </w:rPr>
      </w:pP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（二）依申请公开政府信息工作情况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年，我局共收到依申请公开件0件，全面做好依申请公开政府信息工作。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（三）政府信息管理情况</w:t>
      </w:r>
    </w:p>
    <w:p>
      <w:pPr>
        <w:pStyle w:val="4"/>
        <w:widowControl/>
        <w:shd w:val="clear" w:color="auto" w:fill="FFFFFF"/>
        <w:spacing w:line="576" w:lineRule="atLeast"/>
        <w:ind w:firstLine="634"/>
        <w:rPr>
          <w:rFonts w:ascii="微软雅黑" w:hAnsi="微软雅黑" w:eastAsia="微软雅黑" w:cs="微软雅黑"/>
          <w:color w:val="000000"/>
          <w:szCs w:val="24"/>
        </w:rPr>
      </w:pPr>
      <w:r>
        <w:rPr>
          <w:rFonts w:ascii="仿宋_GB2312" w:hAnsi="微软雅黑" w:eastAsia="仿宋_GB2312" w:cs="仿宋_GB2312"/>
          <w:color w:val="000000"/>
          <w:sz w:val="32"/>
          <w:szCs w:val="32"/>
          <w:shd w:val="clear" w:color="auto" w:fill="FFFFFF"/>
        </w:rPr>
        <w:t>一是完善信息公开管理流程。对政府信息公开工作实行全流程管理，明确经办人员、科室负责人、分管领导分别审核的把关机制，重要信息须局主要负责人把关审签，最大限度保证公开内容经得起审查。</w:t>
      </w:r>
    </w:p>
    <w:p>
      <w:pPr>
        <w:pStyle w:val="4"/>
        <w:widowControl/>
        <w:shd w:val="clear" w:color="auto" w:fill="FFFFFF"/>
        <w:spacing w:line="576" w:lineRule="atLeast"/>
        <w:ind w:firstLine="634"/>
        <w:rPr>
          <w:rFonts w:ascii="微软雅黑" w:hAnsi="微软雅黑" w:eastAsia="微软雅黑" w:cs="微软雅黑"/>
          <w:color w:val="000000"/>
          <w:szCs w:val="24"/>
        </w:rPr>
      </w:pPr>
      <w:r>
        <w:rPr>
          <w:rFonts w:hint="eastAsia" w:ascii="仿宋_GB2312" w:hAnsi="微软雅黑" w:eastAsia="仿宋_GB2312" w:cs="仿宋_GB2312"/>
          <w:color w:val="000000"/>
          <w:sz w:val="32"/>
          <w:szCs w:val="32"/>
          <w:shd w:val="clear" w:color="auto" w:fill="FFFFFF"/>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（四）平台建设情况</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一是严格按照政府信息公开目录，依托</w:t>
      </w:r>
      <w:r>
        <w:rPr>
          <w:rFonts w:ascii="仿宋_GB2312" w:hAnsi="宋体" w:eastAsia="仿宋_GB2312" w:cs="仿宋_GB2312"/>
          <w:color w:val="000000"/>
          <w:sz w:val="31"/>
          <w:szCs w:val="31"/>
          <w:shd w:val="clear" w:color="auto" w:fill="FFFFFF"/>
        </w:rPr>
        <w:t>高新区管委会门户网站</w:t>
      </w:r>
      <w:r>
        <w:rPr>
          <w:rFonts w:hint="eastAsia" w:ascii="仿宋_GB2312" w:hAnsi="仿宋_GB2312" w:eastAsia="仿宋_GB2312" w:cs="仿宋_GB2312"/>
          <w:color w:val="000000"/>
          <w:sz w:val="32"/>
          <w:szCs w:val="32"/>
          <w:shd w:val="clear" w:color="auto" w:fill="FFFFFF"/>
        </w:rPr>
        <w:t>，</w:t>
      </w:r>
      <w:r>
        <w:rPr>
          <w:rFonts w:ascii="仿宋_GB2312" w:hAnsi="宋体" w:eastAsia="仿宋_GB2312" w:cs="仿宋_GB2312"/>
          <w:color w:val="000000"/>
          <w:sz w:val="31"/>
          <w:szCs w:val="31"/>
          <w:shd w:val="clear" w:color="auto" w:fill="FFFFFF"/>
        </w:rPr>
        <w:t>在财政金融局各子栏目分门别类、准确、规范地发布主动公开各类财政相关信息</w:t>
      </w:r>
      <w:r>
        <w:rPr>
          <w:rFonts w:hint="eastAsia" w:ascii="仿宋_GB2312" w:hAnsi="宋体" w:eastAsia="仿宋_GB2312" w:cs="仿宋_GB2312"/>
          <w:color w:val="000000"/>
          <w:sz w:val="31"/>
          <w:szCs w:val="31"/>
          <w:shd w:val="clear" w:color="auto" w:fill="FFFFFF"/>
        </w:rPr>
        <w:t>，</w:t>
      </w:r>
      <w:r>
        <w:rPr>
          <w:rFonts w:hint="eastAsia" w:ascii="仿宋_GB2312" w:hAnsi="仿宋_GB2312" w:eastAsia="仿宋_GB2312" w:cs="仿宋_GB2312"/>
          <w:color w:val="000000"/>
          <w:sz w:val="32"/>
          <w:szCs w:val="32"/>
          <w:shd w:val="clear" w:color="auto" w:fill="FFFFFF"/>
        </w:rPr>
        <w:t>确保信息公开时效。二是依托“山东省政府采购信息公开平台”和“枣庄市公共资源交易网”，督促各预算单位主动公开政府采购需求公开、采购公告、结果公告、合同公开、验收公开等有关信息，提高政府采购透明度。</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（五）监督保障情况</w:t>
      </w:r>
    </w:p>
    <w:p>
      <w:pPr>
        <w:pStyle w:val="4"/>
        <w:widowControl/>
        <w:shd w:val="clear" w:color="auto" w:fill="FFFFFF"/>
        <w:spacing w:line="576" w:lineRule="atLeast"/>
        <w:ind w:firstLine="619"/>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1、完善工作机构。为配合做好政务信息公开工作的考核、社会评议和责任追究工作，积极督促各科室按照信息公开目录，及时准确提供本单位应公开的信息。</w:t>
      </w:r>
    </w:p>
    <w:p>
      <w:pPr>
        <w:pStyle w:val="4"/>
        <w:widowControl/>
        <w:shd w:val="clear" w:color="auto" w:fill="FFFFFF"/>
        <w:spacing w:line="576" w:lineRule="atLeast"/>
        <w:ind w:firstLine="619"/>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2、强化工作督查。为提高依法公开水平，我局在推进政府信息公开工作的过程中，严格依法管理，强化督促检查,积极贯彻实施信息督查检查制度,广泛接受服务对象的监督，使政府信息公开工作制度化和规范化。</w:t>
      </w:r>
    </w:p>
    <w:p>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393</w:t>
            </w:r>
          </w:p>
        </w:tc>
      </w:tr>
    </w:tbl>
    <w:p>
      <w:pPr>
        <w:pStyle w:val="2"/>
        <w:spacing w:after="0" w:line="600" w:lineRule="exact"/>
        <w:ind w:left="0" w:leftChars="0" w:firstLine="0" w:firstLineChars="0"/>
        <w:rPr>
          <w:rFonts w:hint="eastAsia" w:ascii="黑体" w:hAnsi="黑体" w:eastAsia="黑体" w:cs="黑体"/>
          <w:sz w:val="32"/>
          <w:szCs w:val="32"/>
        </w:rPr>
      </w:pPr>
    </w:p>
    <w:p>
      <w:pPr>
        <w:pStyle w:val="2"/>
        <w:spacing w:after="0" w:line="60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820"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jc w:val="lef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bl>
    <w:p>
      <w:pPr>
        <w:pStyle w:val="2"/>
        <w:spacing w:after="0" w:line="600" w:lineRule="exact"/>
        <w:ind w:left="0" w:leftChars="0" w:firstLine="640"/>
        <w:rPr>
          <w:rFonts w:hint="eastAsia" w:ascii="黑体" w:hAnsi="黑体" w:eastAsia="黑体" w:cs="黑体"/>
          <w:sz w:val="32"/>
          <w:szCs w:val="32"/>
        </w:rPr>
      </w:pPr>
    </w:p>
    <w:p>
      <w:pPr>
        <w:pStyle w:val="2"/>
        <w:spacing w:after="0" w:line="600" w:lineRule="exact"/>
        <w:ind w:left="0" w:leftChars="0" w:firstLine="640"/>
        <w:rPr>
          <w:rFonts w:hint="eastAsia" w:ascii="黑体" w:hAnsi="黑体" w:eastAsia="黑体" w:cs="黑体"/>
          <w:sz w:val="32"/>
          <w:szCs w:val="32"/>
        </w:rPr>
      </w:pPr>
    </w:p>
    <w:p>
      <w:pPr>
        <w:pStyle w:val="2"/>
        <w:spacing w:after="0" w:line="600" w:lineRule="exact"/>
        <w:ind w:left="0" w:leftChars="0" w:firstLine="640"/>
        <w:rPr>
          <w:rFonts w:hint="eastAsia" w:ascii="黑体" w:hAnsi="黑体" w:eastAsia="黑体" w:cs="黑体"/>
          <w:sz w:val="32"/>
          <w:szCs w:val="32"/>
        </w:rPr>
      </w:pPr>
    </w:p>
    <w:p>
      <w:pPr>
        <w:pStyle w:val="2"/>
        <w:spacing w:after="0" w:line="600" w:lineRule="exact"/>
        <w:ind w:left="0" w:leftChars="0" w:firstLine="640"/>
        <w:rPr>
          <w:rFonts w:hint="eastAsia" w:ascii="黑体" w:hAnsi="黑体" w:eastAsia="黑体" w:cs="黑体"/>
          <w:sz w:val="32"/>
          <w:szCs w:val="32"/>
        </w:rPr>
      </w:pPr>
    </w:p>
    <w:p>
      <w:pPr>
        <w:pStyle w:val="2"/>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ind w:firstLine="210" w:firstLineChars="100"/>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r>
    </w:tbl>
    <w:p>
      <w:pPr>
        <w:pStyle w:val="2"/>
        <w:spacing w:after="0" w:line="600" w:lineRule="exact"/>
        <w:ind w:left="0" w:leftChars="0" w:firstLine="640"/>
        <w:rPr>
          <w:rFonts w:ascii="黑体" w:hAnsi="黑体" w:eastAsia="黑体" w:cs="黑体"/>
          <w:sz w:val="32"/>
          <w:szCs w:val="32"/>
        </w:rPr>
      </w:pPr>
      <w:r>
        <w:rPr>
          <w:rFonts w:ascii="黑体" w:hAnsi="黑体" w:eastAsia="黑体" w:cs="黑体"/>
          <w:sz w:val="32"/>
          <w:szCs w:val="32"/>
        </w:rPr>
        <w:t>五、存在的主要问题及改进情况</w:t>
      </w:r>
    </w:p>
    <w:p>
      <w:pPr>
        <w:pStyle w:val="2"/>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年，我局政府信息公开工作虽取得了一定成绩，但也还存在一些问题：如，部分栏目内容不够丰富；信息更新还不够及时高效；</w:t>
      </w:r>
      <w:r>
        <w:rPr>
          <w:rFonts w:ascii="仿宋_GB2312" w:hAnsi="宋体" w:eastAsia="仿宋_GB2312" w:cs="仿宋_GB2312"/>
          <w:color w:val="000000"/>
          <w:sz w:val="32"/>
          <w:szCs w:val="32"/>
          <w:shd w:val="clear" w:color="auto" w:fill="FFFFFF"/>
        </w:rPr>
        <w:t>对政务公开工作研究不足、主动性差。</w:t>
      </w:r>
      <w:r>
        <w:rPr>
          <w:rFonts w:hint="eastAsia" w:ascii="仿宋_GB2312" w:hAnsi="仿宋_GB2312" w:eastAsia="仿宋_GB2312" w:cs="仿宋_GB2312"/>
          <w:sz w:val="32"/>
          <w:szCs w:val="32"/>
        </w:rPr>
        <w:t>结合以上不足，我局将采取以下措施完善信息公开工作：</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color w:val="000000"/>
          <w:sz w:val="32"/>
          <w:szCs w:val="32"/>
          <w:shd w:val="clear" w:color="auto" w:fill="FFFFFF"/>
        </w:rPr>
        <w:t>一</w:t>
      </w:r>
      <w:r>
        <w:rPr>
          <w:rFonts w:ascii="仿宋_GB2312" w:hAnsi="宋体" w:eastAsia="仿宋_GB2312" w:cs="仿宋_GB2312"/>
          <w:color w:val="000000"/>
          <w:sz w:val="32"/>
          <w:szCs w:val="32"/>
          <w:shd w:val="clear" w:color="auto" w:fill="FFFFFF"/>
        </w:rPr>
        <w:t>是持续强化队伍建设。努力克服人手不足困难，切实提高专业化水平</w:t>
      </w:r>
      <w:r>
        <w:rPr>
          <w:rFonts w:hint="eastAsia" w:ascii="仿宋_GB2312" w:hAnsi="宋体" w:eastAsia="仿宋_GB2312" w:cs="仿宋_GB2312"/>
          <w:color w:val="000000"/>
          <w:sz w:val="32"/>
          <w:szCs w:val="32"/>
          <w:shd w:val="clear" w:color="auto" w:fill="FFFFFF"/>
        </w:rPr>
        <w:t>。</w:t>
      </w:r>
      <w:r>
        <w:rPr>
          <w:rFonts w:hint="eastAsia" w:ascii="仿宋_GB2312" w:hAnsi="仿宋_GB2312" w:eastAsia="仿宋_GB2312" w:cs="仿宋_GB2312"/>
          <w:sz w:val="32"/>
          <w:szCs w:val="32"/>
        </w:rPr>
        <w:t>二是加强信息公开主阵地建设，加大信息报送力度，增强信息发布时效性，建立互动、方便、及时的信息发布机制，主动回应社会。</w:t>
      </w:r>
    </w:p>
    <w:p>
      <w:pPr>
        <w:pStyle w:val="2"/>
        <w:spacing w:after="0" w:line="600" w:lineRule="exact"/>
        <w:ind w:left="0" w:leftChars="0" w:firstLine="640"/>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2.本行政机关人大代表建议和政协提案办理结果公开情况。全年承办区级人大代表建议2件和区政协委员提案4件。目前均按要求办理完毕，办复率100%。</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3.本行政机关年度政务公开工作创新情况。逐步推动政务公开电子化。充分利用政府网站、政务新媒体加大宣传力度，扩大政府公报知晓度和影响力。提供word或PDF等多格式下载，方便群众查阅。</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4.本行政机关政府信息公开工作年度报告数据统计需要说明的事项。本报告中所列数据的统计时限为2022年1月1日至2022年12月31日。</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5.本行政机关认为需要报告的其他事项。无。</w:t>
      </w:r>
    </w:p>
    <w:p>
      <w:pPr>
        <w:pStyle w:val="2"/>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6.其他有关文件专门要求通过政府信息公开工作年度报告予以报告的事项。无。</w:t>
      </w:r>
    </w:p>
    <w:p>
      <w:pPr>
        <w:pStyle w:val="2"/>
        <w:spacing w:after="0" w:line="600" w:lineRule="exact"/>
        <w:ind w:left="0" w:leftChars="0" w:firstLine="640"/>
        <w:rPr>
          <w:rFonts w:hint="eastAsia" w:ascii="仿宋_GB2312" w:hAnsi="仿宋_GB2312" w:eastAsia="仿宋_GB2312" w:cs="仿宋_GB2312"/>
          <w:sz w:val="32"/>
          <w:szCs w:val="32"/>
        </w:rPr>
      </w:pPr>
    </w:p>
    <w:p>
      <w:pPr>
        <w:pStyle w:val="2"/>
        <w:spacing w:after="0" w:line="60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枣庄高新区财政金融局</w:t>
      </w:r>
    </w:p>
    <w:p>
      <w:pPr>
        <w:spacing w:line="600" w:lineRule="exact"/>
        <w:jc w:val="cente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4NGNkNmRjNjEyMmQ3MWRmYTYyNmUwN2FkZTAifQ=="/>
  </w:docVars>
  <w:rsids>
    <w:rsidRoot w:val="7BD76FF5"/>
    <w:rsid w:val="002246F8"/>
    <w:rsid w:val="0060313F"/>
    <w:rsid w:val="008773D4"/>
    <w:rsid w:val="0C8310F1"/>
    <w:rsid w:val="0CB97065"/>
    <w:rsid w:val="12604D05"/>
    <w:rsid w:val="12FB0922"/>
    <w:rsid w:val="17C97A33"/>
    <w:rsid w:val="1D1F4EB4"/>
    <w:rsid w:val="276B3214"/>
    <w:rsid w:val="31CE3307"/>
    <w:rsid w:val="32430EAB"/>
    <w:rsid w:val="37053DC6"/>
    <w:rsid w:val="45A34105"/>
    <w:rsid w:val="4EFC389E"/>
    <w:rsid w:val="548E1F89"/>
    <w:rsid w:val="584C1A17"/>
    <w:rsid w:val="5C0A0EC1"/>
    <w:rsid w:val="5C1714AC"/>
    <w:rsid w:val="5DC911AA"/>
    <w:rsid w:val="5EE77BE8"/>
    <w:rsid w:val="5F0463B3"/>
    <w:rsid w:val="5FD611B6"/>
    <w:rsid w:val="60957AFE"/>
    <w:rsid w:val="67C94954"/>
    <w:rsid w:val="67FB4C27"/>
    <w:rsid w:val="71C329B0"/>
    <w:rsid w:val="7B0D70C3"/>
    <w:rsid w:val="7BD76FF5"/>
    <w:rsid w:val="7FFA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jc w:val="left"/>
    </w:pPr>
    <w:rPr>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2666</Words>
  <Characters>2802</Characters>
  <Lines>21</Lines>
  <Paragraphs>6</Paragraphs>
  <TotalTime>77</TotalTime>
  <ScaleCrop>false</ScaleCrop>
  <LinksUpToDate>false</LinksUpToDate>
  <CharactersWithSpaces>2831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2022-01-17T08:07:00Z</dcterms:created>
  <dc:creator>御</dc:creator>
  <cp:lastModifiedBy>Nicole 牛</cp:lastModifiedBy>
  <cp:lastPrinted>2022-01-19T02:31:00Z</cp:lastPrinted>
  <dcterms:modified xsi:type="dcterms:W3CDTF">2023-03-13T07:09:21Z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FCDE93A5EBB74C3DBB71FF1039AA4EAA</vt:lpwstr>
  </property>
</Properties>
</file>