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枣庄高新区党政综合办公室202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信息公开工作年度报告</w:t>
      </w:r>
    </w:p>
    <w:p>
      <w:pPr>
        <w:pStyle w:val="2"/>
        <w:keepNext w:val="0"/>
        <w:keepLines w:val="0"/>
        <w:widowControl/>
        <w:suppressLineNumbers w:val="0"/>
        <w:spacing w:line="315" w:lineRule="atLeas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kern w:val="0"/>
          <w:sz w:val="32"/>
          <w:szCs w:val="32"/>
          <w:lang w:val="en-US" w:eastAsia="zh-CN" w:bidi="ar"/>
        </w:rPr>
        <w:t>本报告根据《中华人民共和国政府信息公开条例》《中华人民共和国政府信息公开工作年度报告格式》的通知（国办公开办函〔2021〕30号）和省、市有关工作要求，由枣庄高新区党政综合办公室编制。</w:t>
      </w:r>
      <w:r>
        <w:rPr>
          <w:rFonts w:hint="eastAsia" w:ascii="仿宋_GB2312" w:hAnsi="仿宋_GB2312" w:eastAsia="仿宋_GB2312" w:cs="仿宋_GB2312"/>
          <w:sz w:val="32"/>
          <w:szCs w:val="32"/>
        </w:rPr>
        <w:t>本报告所列数据的统计时限自202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31日。本报告全文将在枣庄高新区官方网站（http://www.zzctp.gov.cn/）“政府信息公开年度报告”专栏公布。如对本年度政府信息公开工作年度报告有疑问，请与枣庄高新区党政综合办公室信息科联系（联系电话:0632-8626577，电子邮箱:gxqzwgkb@163.com）。</w:t>
      </w:r>
    </w:p>
    <w:p>
      <w:pPr>
        <w:pStyle w:val="2"/>
        <w:keepNext w:val="0"/>
        <w:keepLines w:val="0"/>
        <w:widowControl/>
        <w:suppressLineNumbers w:val="0"/>
        <w:spacing w:line="315" w:lineRule="atLeast"/>
        <w:ind w:firstLine="640" w:firstLineChars="200"/>
        <w:jc w:val="both"/>
        <w:rPr>
          <w:rFonts w:hint="eastAsia" w:ascii="微软雅黑" w:hAnsi="微软雅黑" w:eastAsia="微软雅黑" w:cs="微软雅黑"/>
          <w:sz w:val="32"/>
          <w:szCs w:val="32"/>
        </w:rPr>
      </w:pPr>
      <w:r>
        <w:rPr>
          <w:rFonts w:hint="eastAsia" w:ascii="微软雅黑" w:hAnsi="微软雅黑" w:eastAsia="微软雅黑" w:cs="微软雅黑"/>
          <w:sz w:val="32"/>
          <w:szCs w:val="32"/>
          <w:lang w:eastAsia="zh-CN"/>
        </w:rPr>
        <w:t>一</w:t>
      </w:r>
      <w:r>
        <w:rPr>
          <w:rFonts w:hint="eastAsia" w:ascii="微软雅黑" w:hAnsi="微软雅黑" w:eastAsia="微软雅黑" w:cs="微软雅黑"/>
          <w:sz w:val="32"/>
          <w:szCs w:val="32"/>
        </w:rPr>
        <w:t>、总体情况</w:t>
      </w:r>
    </w:p>
    <w:p>
      <w:pPr>
        <w:pStyle w:val="2"/>
        <w:keepNext w:val="0"/>
        <w:keepLines w:val="0"/>
        <w:widowControl/>
        <w:suppressLineNumbers w:val="0"/>
        <w:spacing w:line="315" w:lineRule="atLeast"/>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（一）主动公开工作情况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会议公开方面，2022年共召开8次管委会主任办公会议、9次区级领导干部办公会议、82次专题会议。其中，发布新闻通稿形式公开了8次管委会主任办公会议、9次区级领导干部办公会议，采取广播电视、网络和新媒体等形式向社会公开了8次管委会主任办公会议、9次区级领导干部办公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t>政策文件方面，主动公开管委会文件、管委会办公室文件和规范性文件14件，依申请公开0件，不予公开10件，网上公开了14件，配发解读材料14件。其中分管负责人解读政策4件、多角度解读2件。</w:t>
      </w:r>
    </w:p>
    <w:p>
      <w:pPr>
        <w:pStyle w:val="2"/>
        <w:keepNext w:val="0"/>
        <w:keepLines w:val="0"/>
        <w:widowControl/>
        <w:suppressLineNumbers w:val="0"/>
        <w:spacing w:line="315" w:lineRule="atLeast"/>
        <w:jc w:val="both"/>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562" w:lineRule="atLeast"/>
        <w:ind w:left="0" w:right="0"/>
        <w:jc w:val="center"/>
        <w:rPr>
          <w:sz w:val="19"/>
          <w:szCs w:val="19"/>
        </w:rPr>
      </w:pPr>
      <w:r>
        <w:rPr>
          <w:rFonts w:hint="eastAsia" w:ascii="仿宋_GB2312" w:hAnsi="微软雅黑" w:eastAsia="仿宋_GB2312" w:cs="仿宋_GB2312"/>
          <w:i w:val="0"/>
          <w:caps w:val="0"/>
          <w:color w:val="000000" w:themeColor="text1"/>
          <w:spacing w:val="0"/>
          <w:kern w:val="0"/>
          <w:sz w:val="32"/>
          <w:szCs w:val="32"/>
          <w:shd w:val="clear" w:color="auto" w:fill="FFFFFF"/>
          <w:lang w:val="en-US" w:eastAsia="zh-CN" w:bidi="ar"/>
          <w14:textFill>
            <w14:solidFill>
              <w14:schemeClr w14:val="tx1"/>
            </w14:solidFill>
          </w14:textFill>
        </w:rPr>
        <w:drawing>
          <wp:inline distT="0" distB="0" distL="114300" distR="114300">
            <wp:extent cx="4474210" cy="3254375"/>
            <wp:effectExtent l="0" t="0" r="2540" b="3175"/>
            <wp:docPr id="7" name="图片 7" descr="搜狗截图23年01月28日1617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搜狗截图23年01月28日1617_2"/>
                    <pic:cNvPicPr>
                      <a:picLocks noChangeAspect="1"/>
                    </pic:cNvPicPr>
                  </pic:nvPicPr>
                  <pic:blipFill>
                    <a:blip r:embed="rId4"/>
                    <a:srcRect l="636" t="1384" r="-1113" b="1908"/>
                    <a:stretch>
                      <a:fillRect/>
                    </a:stretch>
                  </pic:blipFill>
                  <pic:spPr>
                    <a:xfrm>
                      <a:off x="0" y="0"/>
                      <a:ext cx="4474210" cy="3254375"/>
                    </a:xfrm>
                    <a:prstGeom prst="rect">
                      <a:avLst/>
                    </a:prstGeom>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562" w:lineRule="atLeast"/>
        <w:ind w:left="0" w:right="0"/>
        <w:jc w:val="center"/>
        <w:rPr>
          <w:sz w:val="19"/>
          <w:szCs w:val="19"/>
        </w:rPr>
      </w:pPr>
      <w:r>
        <w:rPr>
          <w:rFonts w:hint="eastAsia" w:eastAsiaTheme="minorEastAsia"/>
          <w:i w:val="0"/>
          <w:iCs w:val="0"/>
          <w:spacing w:val="0"/>
          <w:sz w:val="19"/>
          <w:szCs w:val="19"/>
          <w:lang w:eastAsia="zh-CN"/>
        </w:rPr>
        <w:drawing>
          <wp:inline distT="0" distB="0" distL="114300" distR="114300">
            <wp:extent cx="4519295" cy="2867660"/>
            <wp:effectExtent l="0" t="0" r="14605" b="8890"/>
            <wp:docPr id="4" name="图片 4" descr="搜狗截图23年01月28日1639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搜狗截图23年01月28日1639_3"/>
                    <pic:cNvPicPr>
                      <a:picLocks noChangeAspect="1"/>
                    </pic:cNvPicPr>
                  </pic:nvPicPr>
                  <pic:blipFill>
                    <a:blip r:embed="rId5"/>
                    <a:stretch>
                      <a:fillRect/>
                    </a:stretch>
                  </pic:blipFill>
                  <pic:spPr>
                    <a:xfrm>
                      <a:off x="0" y="0"/>
                      <a:ext cx="4519295" cy="2867660"/>
                    </a:xfrm>
                    <a:prstGeom prst="rect">
                      <a:avLst/>
                    </a:prstGeom>
                  </pic:spPr>
                </pic:pic>
              </a:graphicData>
            </a:graphic>
          </wp:inline>
        </w:drawing>
      </w:r>
    </w:p>
    <w:p>
      <w:pPr>
        <w:pStyle w:val="2"/>
        <w:keepNext w:val="0"/>
        <w:keepLines w:val="0"/>
        <w:widowControl/>
        <w:suppressLineNumbers w:val="0"/>
        <w:spacing w:line="315" w:lineRule="atLeast"/>
        <w:ind w:firstLine="620" w:firstLineChars="200"/>
        <w:jc w:val="both"/>
      </w:pPr>
      <w:r>
        <w:rPr>
          <w:rFonts w:hint="eastAsia" w:ascii="仿宋_GB2312" w:eastAsia="仿宋_GB2312" w:cs="仿宋_GB2312"/>
          <w:sz w:val="31"/>
          <w:szCs w:val="31"/>
        </w:rPr>
        <w:t>其他信息方面，及时更新</w:t>
      </w:r>
      <w:r>
        <w:rPr>
          <w:rFonts w:hint="eastAsia" w:ascii="仿宋_GB2312" w:eastAsia="仿宋_GB2312" w:cs="仿宋_GB2312"/>
          <w:sz w:val="31"/>
          <w:szCs w:val="31"/>
          <w:lang w:eastAsia="zh-CN"/>
        </w:rPr>
        <w:t>政策文件、</w:t>
      </w:r>
      <w:r>
        <w:rPr>
          <w:rFonts w:hint="eastAsia" w:ascii="仿宋_GB2312" w:eastAsia="仿宋_GB2312" w:cs="仿宋_GB2312"/>
          <w:sz w:val="31"/>
          <w:szCs w:val="31"/>
        </w:rPr>
        <w:t>领导之窗、机构职能等，编制发布政府信息主动公开基本目录；主动公开政府信息2</w:t>
      </w:r>
      <w:r>
        <w:rPr>
          <w:rFonts w:hint="eastAsia" w:ascii="仿宋_GB2312" w:eastAsia="仿宋_GB2312" w:cs="仿宋_GB2312"/>
          <w:sz w:val="31"/>
          <w:szCs w:val="31"/>
          <w:lang w:val="en-US" w:eastAsia="zh-CN"/>
        </w:rPr>
        <w:t>61</w:t>
      </w:r>
      <w:r>
        <w:rPr>
          <w:rFonts w:hint="eastAsia" w:ascii="仿宋_GB2312" w:eastAsia="仿宋_GB2312" w:cs="仿宋_GB2312"/>
          <w:sz w:val="31"/>
          <w:szCs w:val="31"/>
        </w:rPr>
        <w:t>条；按</w:t>
      </w:r>
      <w:r>
        <w:rPr>
          <w:rFonts w:hint="eastAsia" w:ascii="仿宋_GB2312" w:eastAsia="仿宋_GB2312" w:cs="仿宋_GB2312"/>
          <w:sz w:val="31"/>
          <w:szCs w:val="31"/>
          <w:lang w:eastAsia="zh-CN"/>
        </w:rPr>
        <w:t>季度印</w:t>
      </w:r>
      <w:r>
        <w:rPr>
          <w:rFonts w:hint="eastAsia" w:ascii="仿宋_GB2312" w:eastAsia="仿宋_GB2312" w:cs="仿宋_GB2312"/>
          <w:sz w:val="31"/>
          <w:szCs w:val="31"/>
        </w:rPr>
        <w:t>发政务公开考核通报</w:t>
      </w:r>
      <w:r>
        <w:rPr>
          <w:rFonts w:hint="eastAsia" w:ascii="仿宋_GB2312" w:eastAsia="仿宋_GB2312" w:cs="仿宋_GB2312"/>
          <w:sz w:val="31"/>
          <w:szCs w:val="31"/>
          <w:lang w:val="en-US" w:eastAsia="zh-CN"/>
        </w:rPr>
        <w:t>4</w:t>
      </w:r>
      <w:r>
        <w:rPr>
          <w:rFonts w:hint="eastAsia" w:ascii="仿宋_GB2312" w:eastAsia="仿宋_GB2312" w:cs="仿宋_GB2312"/>
          <w:sz w:val="31"/>
          <w:szCs w:val="31"/>
        </w:rPr>
        <w:t>次，有效督促各部门单位政府信息公开工作的开展。</w:t>
      </w:r>
    </w:p>
    <w:p>
      <w:pPr>
        <w:pStyle w:val="2"/>
        <w:keepNext w:val="0"/>
        <w:keepLines w:val="0"/>
        <w:widowControl/>
        <w:suppressLineNumbers w:val="0"/>
        <w:spacing w:line="315" w:lineRule="atLeast"/>
        <w:ind w:firstLine="640" w:firstLineChars="200"/>
        <w:jc w:val="both"/>
        <w:rPr>
          <w:sz w:val="32"/>
          <w:szCs w:val="32"/>
        </w:rPr>
      </w:pPr>
      <w:r>
        <w:rPr>
          <w:rFonts w:hint="eastAsia" w:ascii="楷体_GB2312" w:eastAsia="楷体_GB2312" w:cs="楷体_GB2312"/>
          <w:sz w:val="32"/>
          <w:szCs w:val="32"/>
        </w:rPr>
        <w:t>（二）依申请公开办理情况</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1.收到和处理政府信息公开申请情况</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2022年枣庄高新区处理依申请公开11件，处理市政府协查函9件。</w:t>
      </w:r>
    </w:p>
    <w:p>
      <w:pPr>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收费和减免情况：根据财政部、国家发展改革委联合印发的《关于清理规范一批行政事业性收费有关政策的通知》规定，本年度依申请公开政府信息未收取任何费用，包括：检索费、复制费（含案卷材料复制费）、邮寄费。</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2.政府信息公开行政复议、行政诉讼情况</w:t>
      </w:r>
    </w:p>
    <w:p>
      <w:pPr>
        <w:ind w:firstLine="640" w:firstLineChars="200"/>
        <w:rPr>
          <w:rFonts w:hint="eastAsia"/>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2022年，因政府信息公开被申请行政复议2件，因公民、法人和其他组织认为行政机关政府信息公开工作具体行政行为侵犯其合法权益，提起行政诉讼0件。</w:t>
      </w:r>
    </w:p>
    <w:p>
      <w:pPr>
        <w:pStyle w:val="2"/>
        <w:keepNext w:val="0"/>
        <w:keepLines w:val="0"/>
        <w:widowControl/>
        <w:suppressLineNumbers w:val="0"/>
        <w:spacing w:line="315" w:lineRule="atLeast"/>
        <w:ind w:firstLine="640" w:firstLineChars="200"/>
        <w:jc w:val="both"/>
        <w:rPr>
          <w:sz w:val="32"/>
          <w:szCs w:val="32"/>
        </w:rPr>
      </w:pPr>
      <w:r>
        <w:rPr>
          <w:rFonts w:hint="eastAsia" w:ascii="楷体_GB2312" w:eastAsia="楷体_GB2312" w:cs="楷体_GB2312"/>
          <w:sz w:val="32"/>
          <w:szCs w:val="32"/>
        </w:rPr>
        <w:t>（三）政府信息管理</w:t>
      </w:r>
    </w:p>
    <w:p>
      <w:pPr>
        <w:pStyle w:val="2"/>
        <w:keepNext w:val="0"/>
        <w:keepLines w:val="0"/>
        <w:widowControl/>
        <w:suppressLineNumbers w:val="0"/>
        <w:spacing w:line="315" w:lineRule="atLeast"/>
        <w:ind w:firstLine="620" w:firstLineChars="200"/>
        <w:jc w:val="both"/>
      </w:pPr>
      <w:r>
        <w:rPr>
          <w:rFonts w:hint="eastAsia" w:ascii="仿宋_GB2312" w:eastAsia="仿宋_GB2312" w:cs="仿宋_GB2312"/>
          <w:sz w:val="31"/>
          <w:szCs w:val="31"/>
        </w:rPr>
        <w:t>按照法定时限及时发布并实时更新法定主动公开内容。明确责任，各部门分管政府信息公开工作的领导人员是第一责任人，各行政机关政府信息公开工作机构是法定责任主体，负责推进协调政府信息公开平台建设和管理工作。</w:t>
      </w:r>
    </w:p>
    <w:p>
      <w:pPr>
        <w:pStyle w:val="2"/>
        <w:keepNext w:val="0"/>
        <w:keepLines w:val="0"/>
        <w:widowControl/>
        <w:suppressLineNumbers w:val="0"/>
        <w:spacing w:line="315" w:lineRule="atLeast"/>
        <w:ind w:firstLine="640" w:firstLineChars="200"/>
        <w:jc w:val="both"/>
        <w:rPr>
          <w:sz w:val="32"/>
          <w:szCs w:val="32"/>
        </w:rPr>
      </w:pPr>
      <w:r>
        <w:rPr>
          <w:rFonts w:hint="eastAsia" w:ascii="楷体_GB2312" w:eastAsia="楷体_GB2312" w:cs="楷体_GB2312"/>
          <w:sz w:val="32"/>
          <w:szCs w:val="32"/>
        </w:rPr>
        <w:t>（四）政府信息公开平台建设</w:t>
      </w:r>
    </w:p>
    <w:p>
      <w:pPr>
        <w:pStyle w:val="2"/>
        <w:keepNext w:val="0"/>
        <w:keepLines w:val="0"/>
        <w:widowControl/>
        <w:suppressLineNumbers w:val="0"/>
        <w:spacing w:line="315" w:lineRule="atLeast"/>
        <w:ind w:firstLine="620" w:firstLineChars="200"/>
        <w:jc w:val="both"/>
      </w:pPr>
      <w:r>
        <w:rPr>
          <w:rFonts w:hint="eastAsia" w:ascii="仿宋_GB2312" w:eastAsia="仿宋_GB2312" w:cs="仿宋_GB2312"/>
          <w:sz w:val="31"/>
          <w:szCs w:val="31"/>
        </w:rPr>
        <w:t>一是设立政府信息公开专栏，在政府门户网站信息公开专栏设置</w:t>
      </w:r>
      <w:r>
        <w:rPr>
          <w:rFonts w:hint="eastAsia" w:ascii="仿宋_GB2312" w:eastAsia="仿宋_GB2312" w:cs="仿宋_GB2312"/>
          <w:sz w:val="31"/>
          <w:szCs w:val="31"/>
          <w:lang w:eastAsia="zh-CN"/>
        </w:rPr>
        <w:t>长者专区</w:t>
      </w:r>
      <w:r>
        <w:rPr>
          <w:rFonts w:hint="eastAsia" w:ascii="仿宋_GB2312" w:eastAsia="仿宋_GB2312" w:cs="仿宋_GB2312"/>
          <w:sz w:val="31"/>
          <w:szCs w:val="31"/>
        </w:rPr>
        <w:t>、基层政务公开标准化规范化、财政预决算等1</w:t>
      </w:r>
      <w:r>
        <w:rPr>
          <w:rFonts w:hint="eastAsia" w:ascii="仿宋_GB2312" w:eastAsia="仿宋_GB2312" w:cs="仿宋_GB2312"/>
          <w:sz w:val="31"/>
          <w:szCs w:val="31"/>
          <w:lang w:val="en-US" w:eastAsia="zh-CN"/>
        </w:rPr>
        <w:t>2</w:t>
      </w:r>
      <w:r>
        <w:rPr>
          <w:rFonts w:hint="eastAsia" w:ascii="仿宋_GB2312" w:eastAsia="仿宋_GB2312" w:cs="仿宋_GB2312"/>
          <w:sz w:val="31"/>
          <w:szCs w:val="31"/>
        </w:rPr>
        <w:t>个专栏，方便群众浏览、知晓；二是完善基层标准化规范化建设，全区已建设标准化规范化区级专区1处、街道专区3处、村居专区6处；三是</w:t>
      </w:r>
      <w:r>
        <w:rPr>
          <w:rFonts w:hint="eastAsia" w:ascii="仿宋_GB2312" w:eastAsia="仿宋_GB2312" w:cs="仿宋_GB2312"/>
          <w:sz w:val="31"/>
          <w:szCs w:val="31"/>
          <w:lang w:eastAsia="zh-CN"/>
        </w:rPr>
        <w:t>及时</w:t>
      </w:r>
      <w:r>
        <w:rPr>
          <w:rFonts w:hint="eastAsia" w:ascii="仿宋_GB2312" w:eastAsia="仿宋_GB2312" w:cs="仿宋_GB2312"/>
          <w:sz w:val="31"/>
          <w:szCs w:val="31"/>
        </w:rPr>
        <w:t>维护</w:t>
      </w:r>
      <w:r>
        <w:rPr>
          <w:rFonts w:hint="eastAsia" w:ascii="仿宋_GB2312" w:eastAsia="仿宋_GB2312" w:cs="仿宋_GB2312"/>
          <w:sz w:val="31"/>
          <w:szCs w:val="31"/>
          <w:lang w:eastAsia="zh-CN"/>
        </w:rPr>
        <w:t>更新</w:t>
      </w:r>
      <w:r>
        <w:rPr>
          <w:rFonts w:hint="eastAsia" w:ascii="仿宋_GB2312" w:eastAsia="仿宋_GB2312" w:cs="仿宋_GB2312"/>
          <w:sz w:val="31"/>
          <w:szCs w:val="31"/>
        </w:rPr>
        <w:t>微信公众号、微博等政务新媒体。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562" w:lineRule="atLeast"/>
        <w:ind w:left="0" w:right="0"/>
        <w:jc w:val="center"/>
        <w:rPr>
          <w:sz w:val="19"/>
          <w:szCs w:val="19"/>
          <w:shd w:val="clear" w:fill="FFFFFF"/>
        </w:rPr>
      </w:pPr>
      <w:r>
        <w:rPr>
          <w:sz w:val="19"/>
          <w:szCs w:val="19"/>
          <w:shd w:val="clear" w:fill="FFFFFF"/>
        </w:rPr>
        <w:drawing>
          <wp:inline distT="0" distB="0" distL="114300" distR="114300">
            <wp:extent cx="5103495" cy="3923030"/>
            <wp:effectExtent l="0" t="0" r="1905" b="1270"/>
            <wp:docPr id="3" name="图片 3" descr="U020220117615490366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020220117615490366792.png"/>
                    <pic:cNvPicPr>
                      <a:picLocks noChangeAspect="1"/>
                    </pic:cNvPicPr>
                  </pic:nvPicPr>
                  <pic:blipFill>
                    <a:blip r:embed="rId6"/>
                    <a:stretch>
                      <a:fillRect/>
                    </a:stretch>
                  </pic:blipFill>
                  <pic:spPr>
                    <a:xfrm>
                      <a:off x="0" y="0"/>
                      <a:ext cx="5103495" cy="392303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0" w:line="562" w:lineRule="atLeast"/>
        <w:ind w:left="0" w:right="0"/>
        <w:jc w:val="center"/>
        <w:rPr>
          <w:rFonts w:hint="eastAsia"/>
          <w:sz w:val="19"/>
          <w:szCs w:val="19"/>
          <w:shd w:val="clear" w:fill="FFFFFF"/>
        </w:rPr>
      </w:pPr>
    </w:p>
    <w:p>
      <w:pPr>
        <w:pStyle w:val="2"/>
        <w:keepNext w:val="0"/>
        <w:keepLines w:val="0"/>
        <w:widowControl/>
        <w:numPr>
          <w:ilvl w:val="0"/>
          <w:numId w:val="0"/>
        </w:numPr>
        <w:suppressLineNumbers w:val="0"/>
        <w:spacing w:line="315" w:lineRule="atLeast"/>
        <w:ind w:right="0" w:rightChars="0" w:firstLine="640" w:firstLineChars="200"/>
        <w:jc w:val="both"/>
        <w:rPr>
          <w:rFonts w:hint="eastAsia" w:ascii="楷体_GB2312" w:eastAsia="楷体_GB2312" w:cs="楷体_GB2312"/>
          <w:sz w:val="32"/>
          <w:szCs w:val="32"/>
        </w:rPr>
      </w:pPr>
      <w:r>
        <w:rPr>
          <w:rFonts w:hint="eastAsia" w:ascii="楷体_GB2312" w:eastAsia="楷体_GB2312" w:cs="楷体_GB2312"/>
          <w:sz w:val="32"/>
          <w:szCs w:val="32"/>
          <w:lang w:eastAsia="zh-CN"/>
        </w:rPr>
        <w:t>（五）</w:t>
      </w:r>
      <w:r>
        <w:rPr>
          <w:rFonts w:hint="eastAsia" w:ascii="楷体_GB2312" w:eastAsia="楷体_GB2312" w:cs="楷体_GB2312"/>
          <w:sz w:val="32"/>
          <w:szCs w:val="32"/>
        </w:rPr>
        <w:t>监督保障</w:t>
      </w:r>
    </w:p>
    <w:p>
      <w:pPr>
        <w:ind w:firstLine="640" w:firstLineChars="200"/>
        <w:rPr>
          <w:rFonts w:hint="eastAsia" w:ascii="楷体_GB2312" w:eastAsia="楷体_GB2312" w:cs="楷体_GB2312"/>
          <w:sz w:val="31"/>
          <w:szCs w:val="31"/>
        </w:rPr>
      </w:pPr>
      <w:r>
        <w:rPr>
          <w:rFonts w:hint="eastAsia" w:ascii="仿宋_GB2312" w:hAnsi="仿宋_GB2312" w:eastAsia="仿宋_GB2312" w:cs="仿宋_GB2312"/>
          <w:sz w:val="32"/>
          <w:szCs w:val="32"/>
          <w:lang w:eastAsia="zh-CN"/>
        </w:rPr>
        <w:t>一是</w:t>
      </w:r>
      <w:r>
        <w:rPr>
          <w:rFonts w:hint="eastAsia" w:ascii="仿宋_GB2312" w:eastAsia="仿宋_GB2312" w:cs="仿宋_GB2312"/>
          <w:sz w:val="31"/>
          <w:szCs w:val="31"/>
        </w:rPr>
        <w:t>强化监督管理机制</w:t>
      </w:r>
      <w:r>
        <w:rPr>
          <w:rFonts w:hint="eastAsia" w:ascii="仿宋_GB2312" w:hAnsi="仿宋_GB2312" w:eastAsia="仿宋_GB2312" w:cs="仿宋_GB2312"/>
          <w:sz w:val="32"/>
          <w:szCs w:val="32"/>
        </w:rPr>
        <w:t>。将政务公开工作纳入绩效考核</w:t>
      </w:r>
      <w:r>
        <w:rPr>
          <w:rFonts w:hint="eastAsia" w:ascii="仿宋_GB2312" w:hAnsi="仿宋_GB2312" w:eastAsia="仿宋_GB2312" w:cs="仿宋_GB2312"/>
          <w:sz w:val="32"/>
          <w:szCs w:val="32"/>
          <w:lang w:eastAsia="zh-CN"/>
        </w:rPr>
        <w:t>，实行</w:t>
      </w:r>
      <w:r>
        <w:rPr>
          <w:rFonts w:hint="eastAsia" w:ascii="仿宋_GB2312" w:hAnsi="仿宋_GB2312" w:eastAsia="仿宋_GB2312" w:cs="仿宋_GB2312"/>
          <w:sz w:val="32"/>
          <w:szCs w:val="32"/>
        </w:rPr>
        <w:t>每月定期监测</w:t>
      </w:r>
      <w:r>
        <w:rPr>
          <w:rFonts w:hint="eastAsia" w:ascii="仿宋_GB2312" w:hAnsi="仿宋_GB2312" w:eastAsia="仿宋_GB2312" w:cs="仿宋_GB2312"/>
          <w:sz w:val="32"/>
          <w:szCs w:val="32"/>
          <w:lang w:eastAsia="zh-CN"/>
        </w:rPr>
        <w:t>、每季度按时</w:t>
      </w:r>
      <w:r>
        <w:rPr>
          <w:rFonts w:hint="eastAsia" w:ascii="仿宋_GB2312" w:hAnsi="仿宋_GB2312" w:eastAsia="仿宋_GB2312" w:cs="仿宋_GB2312"/>
          <w:sz w:val="32"/>
          <w:szCs w:val="32"/>
        </w:rPr>
        <w:t>通报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加大政务公开工作自查自纠力度，把政务公开工作落到实处，确保政务公开工作高质量、高标准、严要求开展。</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zh-CN"/>
        </w:rPr>
        <w:t>是加强培训力度。举办政务公开工作培训班，进一步提升工作人员业务能力和水平</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zh-CN"/>
        </w:rPr>
        <w:t>促进</w:t>
      </w:r>
      <w:r>
        <w:rPr>
          <w:rFonts w:hint="eastAsia" w:ascii="仿宋_GB2312" w:hAnsi="仿宋_GB2312" w:eastAsia="仿宋_GB2312" w:cs="仿宋_GB2312"/>
          <w:sz w:val="32"/>
          <w:szCs w:val="32"/>
          <w:lang w:val="zh-CN" w:eastAsia="zh-CN"/>
        </w:rPr>
        <w:t>政务</w:t>
      </w:r>
      <w:r>
        <w:rPr>
          <w:rFonts w:hint="eastAsia" w:ascii="仿宋_GB2312" w:hAnsi="仿宋_GB2312" w:eastAsia="仿宋_GB2312" w:cs="仿宋_GB2312"/>
          <w:sz w:val="32"/>
          <w:szCs w:val="32"/>
          <w:lang w:val="zh-CN"/>
        </w:rPr>
        <w:t>公开工作规范有序开展。</w:t>
      </w:r>
    </w:p>
    <w:p>
      <w:pPr>
        <w:pStyle w:val="2"/>
        <w:keepNext w:val="0"/>
        <w:keepLines w:val="0"/>
        <w:widowControl/>
        <w:suppressLineNumbers w:val="0"/>
        <w:spacing w:line="315" w:lineRule="atLeast"/>
        <w:ind w:firstLine="640" w:firstLineChars="200"/>
        <w:rPr>
          <w:sz w:val="32"/>
          <w:szCs w:val="32"/>
        </w:rPr>
      </w:pPr>
      <w:r>
        <w:rPr>
          <w:rFonts w:hint="eastAsia" w:ascii="黑体" w:hAnsi="宋体" w:eastAsia="黑体" w:cs="黑体"/>
          <w:sz w:val="32"/>
          <w:szCs w:val="32"/>
        </w:rPr>
        <w:t>二、主动公开政府信息情况</w:t>
      </w:r>
    </w:p>
    <w:tbl>
      <w:tblPr>
        <w:tblStyle w:val="3"/>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2955"/>
        <w:gridCol w:w="1290"/>
        <w:gridCol w:w="1335"/>
        <w:gridCol w:w="25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信息内容</w:t>
            </w:r>
          </w:p>
        </w:tc>
        <w:tc>
          <w:tcPr>
            <w:tcW w:w="11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黑体" w:hAnsi="宋体" w:eastAsia="黑体" w:cs="黑体"/>
                <w:sz w:val="18"/>
                <w:szCs w:val="18"/>
              </w:rPr>
              <w:t>本年制发件数</w:t>
            </w:r>
          </w:p>
        </w:tc>
        <w:tc>
          <w:tcPr>
            <w:tcW w:w="13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黑体" w:hAnsi="宋体" w:eastAsia="黑体" w:cs="黑体"/>
                <w:sz w:val="18"/>
                <w:szCs w:val="18"/>
              </w:rPr>
              <w:t>本年废止件数</w:t>
            </w:r>
          </w:p>
        </w:tc>
        <w:tc>
          <w:tcPr>
            <w:tcW w:w="19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规章</w:t>
            </w:r>
          </w:p>
        </w:tc>
        <w:tc>
          <w:tcPr>
            <w:tcW w:w="12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0</w:t>
            </w:r>
          </w:p>
        </w:tc>
        <w:tc>
          <w:tcPr>
            <w:tcW w:w="13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0</w:t>
            </w:r>
          </w:p>
        </w:tc>
        <w:tc>
          <w:tcPr>
            <w:tcW w:w="19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行政规范性文件</w:t>
            </w:r>
          </w:p>
        </w:tc>
        <w:tc>
          <w:tcPr>
            <w:tcW w:w="12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default" w:eastAsiaTheme="minorEastAsia"/>
                <w:lang w:val="en-US" w:eastAsia="zh-CN"/>
              </w:rPr>
            </w:pPr>
            <w:r>
              <w:rPr>
                <w:rFonts w:hint="eastAsia" w:ascii="黑体" w:hAnsi="宋体" w:eastAsia="黑体" w:cs="黑体"/>
                <w:sz w:val="18"/>
                <w:szCs w:val="18"/>
                <w:lang w:val="en-US" w:eastAsia="zh-CN"/>
              </w:rPr>
              <w:t>0</w:t>
            </w:r>
          </w:p>
        </w:tc>
        <w:tc>
          <w:tcPr>
            <w:tcW w:w="13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0</w:t>
            </w:r>
          </w:p>
        </w:tc>
        <w:tc>
          <w:tcPr>
            <w:tcW w:w="19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rPr>
                <w:rFonts w:hint="eastAsia" w:eastAsiaTheme="minorEastAsia"/>
                <w:lang w:val="en-US" w:eastAsia="zh-CN"/>
              </w:rPr>
            </w:pPr>
            <w:r>
              <w:rPr>
                <w:rFonts w:hint="eastAsia" w:ascii="黑体" w:hAnsi="宋体" w:eastAsia="黑体" w:cs="黑体"/>
                <w:sz w:val="18"/>
                <w:szCs w:val="18"/>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信息内容</w:t>
            </w:r>
          </w:p>
        </w:tc>
        <w:tc>
          <w:tcPr>
            <w:tcW w:w="12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黑体" w:hAnsi="宋体" w:eastAsia="黑体" w:cs="黑体"/>
                <w:sz w:val="18"/>
                <w:szCs w:val="18"/>
              </w:rPr>
              <w:t>上一年项目数量</w:t>
            </w:r>
          </w:p>
        </w:tc>
        <w:tc>
          <w:tcPr>
            <w:tcW w:w="13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黑体" w:hAnsi="宋体" w:eastAsia="黑体" w:cs="黑体"/>
                <w:sz w:val="18"/>
                <w:szCs w:val="18"/>
              </w:rPr>
              <w:t>本年增/减</w:t>
            </w:r>
          </w:p>
        </w:tc>
        <w:tc>
          <w:tcPr>
            <w:tcW w:w="19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行政许可</w:t>
            </w:r>
          </w:p>
        </w:tc>
        <w:tc>
          <w:tcPr>
            <w:tcW w:w="12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0</w:t>
            </w:r>
          </w:p>
        </w:tc>
        <w:tc>
          <w:tcPr>
            <w:tcW w:w="13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0</w:t>
            </w:r>
          </w:p>
        </w:tc>
        <w:tc>
          <w:tcPr>
            <w:tcW w:w="19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信息内容</w:t>
            </w:r>
          </w:p>
        </w:tc>
        <w:tc>
          <w:tcPr>
            <w:tcW w:w="12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黑体" w:hAnsi="宋体" w:eastAsia="黑体" w:cs="黑体"/>
                <w:sz w:val="18"/>
                <w:szCs w:val="18"/>
              </w:rPr>
              <w:t>上一年项目数量</w:t>
            </w:r>
          </w:p>
        </w:tc>
        <w:tc>
          <w:tcPr>
            <w:tcW w:w="13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黑体" w:hAnsi="宋体" w:eastAsia="黑体" w:cs="黑体"/>
                <w:sz w:val="18"/>
                <w:szCs w:val="18"/>
              </w:rPr>
              <w:t>本年增/减</w:t>
            </w:r>
          </w:p>
        </w:tc>
        <w:tc>
          <w:tcPr>
            <w:tcW w:w="19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行政处罚</w:t>
            </w:r>
          </w:p>
        </w:tc>
        <w:tc>
          <w:tcPr>
            <w:tcW w:w="12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0</w:t>
            </w:r>
          </w:p>
        </w:tc>
        <w:tc>
          <w:tcPr>
            <w:tcW w:w="13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0</w:t>
            </w:r>
          </w:p>
        </w:tc>
        <w:tc>
          <w:tcPr>
            <w:tcW w:w="19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行政强制</w:t>
            </w:r>
          </w:p>
        </w:tc>
        <w:tc>
          <w:tcPr>
            <w:tcW w:w="12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0</w:t>
            </w:r>
          </w:p>
        </w:tc>
        <w:tc>
          <w:tcPr>
            <w:tcW w:w="133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0</w:t>
            </w:r>
          </w:p>
        </w:tc>
        <w:tc>
          <w:tcPr>
            <w:tcW w:w="199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信息内容</w:t>
            </w:r>
          </w:p>
        </w:tc>
        <w:tc>
          <w:tcPr>
            <w:tcW w:w="12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0"/>
              <w:jc w:val="both"/>
            </w:pPr>
            <w:r>
              <w:rPr>
                <w:rFonts w:hint="eastAsia" w:ascii="黑体" w:hAnsi="宋体" w:eastAsia="黑体" w:cs="黑体"/>
                <w:sz w:val="18"/>
                <w:szCs w:val="18"/>
              </w:rPr>
              <w:t>上一年项目数量</w:t>
            </w:r>
          </w:p>
        </w:tc>
        <w:tc>
          <w:tcPr>
            <w:tcW w:w="342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本年增/减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行政事业性收费</w:t>
            </w:r>
          </w:p>
        </w:tc>
        <w:tc>
          <w:tcPr>
            <w:tcW w:w="1290" w:type="dxa"/>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0</w:t>
            </w:r>
          </w:p>
        </w:tc>
        <w:tc>
          <w:tcPr>
            <w:tcW w:w="3420" w:type="dxa"/>
            <w:gridSpan w:val="2"/>
            <w:tcBorders>
              <w:top w:val="outset" w:color="auto" w:sz="6" w:space="0"/>
              <w:left w:val="outset" w:color="auto" w:sz="6" w:space="0"/>
              <w:bottom w:val="outset" w:color="auto" w:sz="6" w:space="0"/>
              <w:right w:val="outset" w:color="auto" w:sz="6" w:space="0"/>
            </w:tcBorders>
            <w:shd w:val="clear" w:color="auto" w:fill="auto"/>
            <w:tcMar>
              <w:left w:w="75" w:type="dxa"/>
              <w:right w:w="7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20"/>
              <w:jc w:val="both"/>
            </w:pPr>
            <w:r>
              <w:rPr>
                <w:rFonts w:hint="eastAsia" w:ascii="黑体" w:hAnsi="宋体" w:eastAsia="黑体" w:cs="黑体"/>
                <w:sz w:val="18"/>
                <w:szCs w:val="18"/>
              </w:rPr>
              <w:t>0</w:t>
            </w:r>
          </w:p>
        </w:tc>
      </w:tr>
    </w:tbl>
    <w:p>
      <w:pPr>
        <w:pStyle w:val="2"/>
        <w:keepNext w:val="0"/>
        <w:keepLines w:val="0"/>
        <w:widowControl/>
        <w:suppressLineNumbers w:val="0"/>
        <w:spacing w:line="315" w:lineRule="atLeast"/>
        <w:ind w:firstLine="640" w:firstLineChars="200"/>
        <w:rPr>
          <w:sz w:val="32"/>
          <w:szCs w:val="32"/>
        </w:rPr>
      </w:pPr>
      <w:r>
        <w:rPr>
          <w:rFonts w:hint="eastAsia" w:ascii="黑体" w:hAnsi="宋体" w:eastAsia="黑体" w:cs="黑体"/>
          <w:sz w:val="32"/>
          <w:szCs w:val="32"/>
        </w:rPr>
        <w:t>三、收到和处理政府信息公开申请情况</w:t>
      </w:r>
    </w:p>
    <w:tbl>
      <w:tblPr>
        <w:tblStyle w:val="3"/>
        <w:tblW w:w="8363"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75" w:type="dxa"/>
          <w:left w:w="150" w:type="dxa"/>
          <w:bottom w:w="75" w:type="dxa"/>
          <w:right w:w="150" w:type="dxa"/>
        </w:tblCellMar>
      </w:tblPr>
      <w:tblGrid>
        <w:gridCol w:w="409"/>
        <w:gridCol w:w="681"/>
        <w:gridCol w:w="3170"/>
        <w:gridCol w:w="640"/>
        <w:gridCol w:w="630"/>
        <w:gridCol w:w="514"/>
        <w:gridCol w:w="670"/>
        <w:gridCol w:w="586"/>
        <w:gridCol w:w="555"/>
        <w:gridCol w:w="50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8" w:hRule="atLeast"/>
          <w:jc w:val="center"/>
        </w:trPr>
        <w:tc>
          <w:tcPr>
            <w:tcW w:w="4260" w:type="dxa"/>
            <w:gridSpan w:val="3"/>
            <w:vMerge w:val="restart"/>
            <w:tcBorders>
              <w:top w:val="single" w:color="00000A" w:sz="8"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楷体_GB2312" w:eastAsia="楷体_GB2312" w:cs="楷体_GB2312"/>
                <w:sz w:val="19"/>
                <w:szCs w:val="19"/>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楷体_GB2312" w:eastAsia="楷体_GB2312" w:cs="楷体_GB2312"/>
                <w:sz w:val="19"/>
                <w:szCs w:val="19"/>
              </w:rPr>
              <w:t>等于第三项加第四项之和）</w:t>
            </w:r>
          </w:p>
        </w:tc>
        <w:tc>
          <w:tcPr>
            <w:tcW w:w="4103" w:type="dxa"/>
            <w:gridSpan w:val="7"/>
            <w:tcBorders>
              <w:top w:val="single" w:color="00000A" w:sz="8"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19"/>
                <w:szCs w:val="19"/>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8" w:hRule="atLeast"/>
          <w:jc w:val="center"/>
        </w:trPr>
        <w:tc>
          <w:tcPr>
            <w:tcW w:w="4260" w:type="dxa"/>
            <w:gridSpan w:val="3"/>
            <w:vMerge w:val="continue"/>
            <w:tcBorders>
              <w:top w:val="single" w:color="00000A" w:sz="8"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40" w:type="dxa"/>
            <w:vMerge w:val="restart"/>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19"/>
                <w:szCs w:val="19"/>
              </w:rPr>
              <w:t>自然人</w:t>
            </w:r>
          </w:p>
        </w:tc>
        <w:tc>
          <w:tcPr>
            <w:tcW w:w="2955" w:type="dxa"/>
            <w:gridSpan w:val="5"/>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19"/>
                <w:szCs w:val="19"/>
              </w:rPr>
              <w:t>法人或其他组织</w:t>
            </w:r>
          </w:p>
        </w:tc>
        <w:tc>
          <w:tcPr>
            <w:tcW w:w="508" w:type="dxa"/>
            <w:vMerge w:val="restart"/>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19"/>
                <w:szCs w:val="19"/>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56" w:hRule="atLeast"/>
          <w:jc w:val="center"/>
        </w:trPr>
        <w:tc>
          <w:tcPr>
            <w:tcW w:w="4260" w:type="dxa"/>
            <w:gridSpan w:val="3"/>
            <w:vMerge w:val="continue"/>
            <w:tcBorders>
              <w:top w:val="single" w:color="00000A" w:sz="8"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40" w:type="dxa"/>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firstLine="0"/>
              <w:jc w:val="center"/>
              <w:rPr>
                <w:sz w:val="19"/>
                <w:szCs w:val="19"/>
              </w:rPr>
            </w:pPr>
            <w:r>
              <w:rPr>
                <w:rFonts w:hint="eastAsia" w:ascii="黑体" w:hAnsi="宋体" w:eastAsia="黑体" w:cs="黑体"/>
                <w:sz w:val="19"/>
                <w:szCs w:val="19"/>
              </w:rPr>
              <w:t>商业企业</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jc w:val="center"/>
              <w:rPr>
                <w:sz w:val="19"/>
                <w:szCs w:val="19"/>
              </w:rPr>
            </w:pPr>
            <w:r>
              <w:rPr>
                <w:rFonts w:hint="eastAsia" w:ascii="黑体" w:hAnsi="宋体" w:eastAsia="黑体" w:cs="黑体"/>
                <w:sz w:val="19"/>
                <w:szCs w:val="19"/>
              </w:rPr>
              <w:t>科研机构</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jc w:val="center"/>
              <w:rPr>
                <w:sz w:val="19"/>
                <w:szCs w:val="19"/>
              </w:rPr>
            </w:pPr>
            <w:r>
              <w:rPr>
                <w:rFonts w:hint="eastAsia" w:ascii="黑体" w:hAnsi="宋体" w:eastAsia="黑体" w:cs="黑体"/>
                <w:sz w:val="19"/>
                <w:szCs w:val="19"/>
              </w:rPr>
              <w:t>社会公益组织</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01" w:firstLine="0"/>
              <w:jc w:val="center"/>
              <w:rPr>
                <w:sz w:val="19"/>
                <w:szCs w:val="19"/>
              </w:rPr>
            </w:pPr>
            <w:r>
              <w:rPr>
                <w:rFonts w:hint="eastAsia" w:ascii="黑体" w:hAnsi="宋体" w:eastAsia="黑体" w:cs="黑体"/>
                <w:sz w:val="19"/>
                <w:szCs w:val="19"/>
              </w:rPr>
              <w:t>法律服务机构</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58" w:right="-130"/>
              <w:jc w:val="center"/>
              <w:rPr>
                <w:sz w:val="19"/>
                <w:szCs w:val="19"/>
              </w:rPr>
            </w:pPr>
            <w:r>
              <w:rPr>
                <w:rFonts w:hint="eastAsia" w:ascii="黑体" w:hAnsi="宋体" w:eastAsia="黑体" w:cs="黑体"/>
                <w:sz w:val="19"/>
                <w:szCs w:val="19"/>
              </w:rPr>
              <w:t>其他</w:t>
            </w:r>
          </w:p>
        </w:tc>
        <w:tc>
          <w:tcPr>
            <w:tcW w:w="508" w:type="dxa"/>
            <w:vMerge w:val="continue"/>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260" w:type="dxa"/>
            <w:gridSpan w:val="3"/>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0" w:name="_Hlk66973412"/>
            <w:bookmarkEnd w:id="0"/>
            <w:r>
              <w:rPr>
                <w:rFonts w:hint="eastAsia" w:ascii="黑体" w:hAnsi="宋体" w:eastAsia="黑体" w:cs="黑体"/>
                <w:sz w:val="19"/>
                <w:szCs w:val="19"/>
              </w:rPr>
              <w:t>一、本年新收政府信息公开申请数量</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sz w:val="19"/>
                <w:szCs w:val="19"/>
                <w:lang w:val="en-US" w:eastAsia="zh-CN"/>
              </w:rPr>
            </w:pPr>
            <w:r>
              <w:rPr>
                <w:rFonts w:hint="eastAsia"/>
                <w:sz w:val="19"/>
                <w:szCs w:val="19"/>
                <w:lang w:val="en-US" w:eastAsia="zh-CN"/>
              </w:rPr>
              <w:t>11</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sz w:val="19"/>
                <w:szCs w:val="19"/>
                <w:lang w:val="en-US" w:eastAsia="zh-CN"/>
              </w:rPr>
            </w:pPr>
            <w:r>
              <w:rPr>
                <w:rFonts w:hint="eastAsia"/>
                <w:sz w:val="19"/>
                <w:szCs w:val="19"/>
                <w:lang w:val="en-US" w:eastAsia="zh-CN"/>
              </w:rPr>
              <w:t>11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260" w:type="dxa"/>
            <w:gridSpan w:val="3"/>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黑体" w:hAnsi="宋体" w:eastAsia="黑体" w:cs="黑体"/>
                <w:sz w:val="19"/>
                <w:szCs w:val="19"/>
              </w:rPr>
              <w:t>二、上年结转政府信息公开申请数量</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09" w:type="dxa"/>
            <w:vMerge w:val="restart"/>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黑体" w:hAnsi="宋体" w:eastAsia="黑体" w:cs="黑体"/>
                <w:sz w:val="19"/>
                <w:szCs w:val="19"/>
              </w:rPr>
              <w:t>三、本年度办理结果</w:t>
            </w:r>
          </w:p>
        </w:tc>
        <w:tc>
          <w:tcPr>
            <w:tcW w:w="3851" w:type="dxa"/>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黑体" w:hAnsi="宋体" w:eastAsia="黑体" w:cs="黑体"/>
                <w:sz w:val="19"/>
                <w:szCs w:val="19"/>
              </w:rPr>
              <w:t>（一）予以公开</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sz w:val="19"/>
                <w:szCs w:val="19"/>
                <w:lang w:val="en-US" w:eastAsia="zh-CN"/>
              </w:rPr>
            </w:pPr>
            <w:r>
              <w:rPr>
                <w:rFonts w:hint="eastAsia"/>
                <w:sz w:val="19"/>
                <w:szCs w:val="19"/>
                <w:lang w:val="en-US" w:eastAsia="zh-CN"/>
              </w:rPr>
              <w:t>1</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sz w:val="19"/>
                <w:szCs w:val="19"/>
                <w:lang w:val="en-US" w:eastAsia="zh-CN"/>
              </w:rPr>
            </w:pPr>
            <w:r>
              <w:rPr>
                <w:rFonts w:hint="eastAsia"/>
                <w:sz w:val="19"/>
                <w:szCs w:val="19"/>
                <w:lang w:val="en-US" w:eastAsia="zh-CN"/>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51"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3851" w:type="dxa"/>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1" w:name="_Hlk66973981"/>
            <w:bookmarkEnd w:id="1"/>
            <w:r>
              <w:rPr>
                <w:rFonts w:hint="eastAsia" w:ascii="黑体" w:hAnsi="宋体" w:eastAsia="黑体" w:cs="黑体"/>
                <w:sz w:val="19"/>
                <w:szCs w:val="19"/>
              </w:rPr>
              <w:t>（二）部分公开（区分处理的，只计这一情形，不计其他情形）</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sz w:val="19"/>
                <w:szCs w:val="19"/>
                <w:lang w:val="en-US" w:eastAsia="zh-CN"/>
              </w:rPr>
            </w:pPr>
            <w:r>
              <w:rPr>
                <w:rFonts w:hint="eastAsia"/>
                <w:sz w:val="19"/>
                <w:szCs w:val="19"/>
                <w:lang w:val="en-US" w:eastAsia="zh-CN"/>
              </w:rPr>
              <w:t>4</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sz w:val="19"/>
                <w:szCs w:val="19"/>
                <w:lang w:val="en-US" w:eastAsia="zh-CN"/>
              </w:rPr>
            </w:pPr>
            <w:r>
              <w:rPr>
                <w:rFonts w:hint="eastAsia"/>
                <w:sz w:val="19"/>
                <w:szCs w:val="19"/>
                <w:lang w:val="en-US" w:eastAsia="zh-CN"/>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restart"/>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0"/>
              <w:rPr>
                <w:sz w:val="19"/>
                <w:szCs w:val="19"/>
              </w:rPr>
            </w:pPr>
            <w:r>
              <w:rPr>
                <w:rFonts w:hint="eastAsia" w:ascii="黑体" w:hAnsi="宋体" w:eastAsia="黑体" w:cs="黑体"/>
                <w:sz w:val="19"/>
                <w:szCs w:val="19"/>
              </w:rPr>
              <w:t>（三）不予公开</w:t>
            </w: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1.属于国家秘密</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2" w:name="_Hlk66974104"/>
            <w:bookmarkEnd w:id="2"/>
            <w:r>
              <w:rPr>
                <w:rFonts w:hint="eastAsia" w:ascii="仿宋_GB2312" w:eastAsia="仿宋_GB2312" w:cs="仿宋_GB2312"/>
                <w:sz w:val="19"/>
                <w:szCs w:val="19"/>
              </w:rPr>
              <w:t>2.其他法律行政法规禁止公开</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3.危及“三安全一稳定”</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3" w:name="_Hlk66974290"/>
            <w:bookmarkEnd w:id="3"/>
            <w:r>
              <w:rPr>
                <w:rFonts w:hint="eastAsia" w:ascii="仿宋_GB2312" w:eastAsia="仿宋_GB2312" w:cs="仿宋_GB2312"/>
                <w:sz w:val="19"/>
                <w:szCs w:val="19"/>
              </w:rPr>
              <w:t>4.保护第三方合法权益</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5.属于三类内部事务信息</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4" w:name="_Hlk66974555"/>
            <w:bookmarkEnd w:id="4"/>
            <w:r>
              <w:rPr>
                <w:rFonts w:hint="eastAsia" w:ascii="仿宋_GB2312" w:eastAsia="仿宋_GB2312" w:cs="仿宋_GB2312"/>
                <w:sz w:val="19"/>
                <w:szCs w:val="19"/>
              </w:rPr>
              <w:t>6.属于四类过程性信息</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sz w:val="19"/>
                <w:szCs w:val="19"/>
                <w:lang w:val="en-US" w:eastAsia="zh-CN"/>
              </w:rPr>
            </w:pPr>
            <w:r>
              <w:rPr>
                <w:rFonts w:hint="eastAsia"/>
                <w:sz w:val="19"/>
                <w:szCs w:val="19"/>
                <w:lang w:val="en-US" w:eastAsia="zh-CN"/>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sz w:val="19"/>
                <w:szCs w:val="19"/>
                <w:lang w:val="en-US" w:eastAsia="zh-CN"/>
              </w:rPr>
            </w:pPr>
            <w:r>
              <w:rPr>
                <w:rFonts w:hint="eastAsia"/>
                <w:sz w:val="19"/>
                <w:szCs w:val="19"/>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7.属于行政执法案卷</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5" w:name="_Hlk66975211"/>
            <w:bookmarkEnd w:id="5"/>
            <w:r>
              <w:rPr>
                <w:rFonts w:hint="eastAsia" w:ascii="仿宋_GB2312" w:eastAsia="仿宋_GB2312" w:cs="仿宋_GB2312"/>
                <w:sz w:val="19"/>
                <w:szCs w:val="19"/>
              </w:rPr>
              <w:t>8.属于行政查询事项</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restart"/>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0"/>
              <w:rPr>
                <w:sz w:val="19"/>
                <w:szCs w:val="19"/>
              </w:rPr>
            </w:pPr>
            <w:r>
              <w:rPr>
                <w:rFonts w:hint="eastAsia" w:ascii="黑体" w:hAnsi="宋体" w:eastAsia="黑体" w:cs="黑体"/>
                <w:sz w:val="19"/>
                <w:szCs w:val="19"/>
              </w:rPr>
              <w:t>（四）无法提供</w:t>
            </w: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1.本机关不掌握相关政府信息</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sz w:val="19"/>
                <w:szCs w:val="19"/>
                <w:lang w:val="en-US" w:eastAsia="zh-CN"/>
              </w:rPr>
            </w:pPr>
            <w:r>
              <w:rPr>
                <w:rFonts w:hint="eastAsia"/>
                <w:sz w:val="19"/>
                <w:szCs w:val="19"/>
                <w:lang w:val="en-US" w:eastAsia="zh-CN"/>
              </w:rPr>
              <w:t>6</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sz w:val="19"/>
                <w:szCs w:val="19"/>
                <w:lang w:val="en-US" w:eastAsia="zh-CN"/>
              </w:rPr>
            </w:pPr>
            <w:r>
              <w:rPr>
                <w:rFonts w:hint="eastAsia"/>
                <w:sz w:val="19"/>
                <w:szCs w:val="19"/>
                <w:lang w:val="en-US" w:eastAsia="zh-CN"/>
              </w:rPr>
              <w:t>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6" w:name="_Hlk66975392"/>
            <w:bookmarkEnd w:id="6"/>
            <w:r>
              <w:rPr>
                <w:rFonts w:hint="eastAsia" w:ascii="仿宋_GB2312" w:eastAsia="仿宋_GB2312" w:cs="仿宋_GB2312"/>
                <w:sz w:val="19"/>
                <w:szCs w:val="19"/>
              </w:rPr>
              <w:t>2.没有现成信息需要另行制作</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7" w:name="_Hlk66975466"/>
            <w:bookmarkEnd w:id="7"/>
            <w:r>
              <w:rPr>
                <w:rFonts w:hint="eastAsia" w:ascii="仿宋_GB2312" w:eastAsia="仿宋_GB2312" w:cs="仿宋_GB2312"/>
                <w:sz w:val="19"/>
                <w:szCs w:val="19"/>
              </w:rPr>
              <w:t>3.补正后申请内容仍不明确</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restart"/>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0"/>
              <w:rPr>
                <w:sz w:val="19"/>
                <w:szCs w:val="19"/>
              </w:rPr>
            </w:pPr>
            <w:r>
              <w:rPr>
                <w:rFonts w:hint="eastAsia" w:ascii="黑体" w:hAnsi="宋体" w:eastAsia="黑体" w:cs="黑体"/>
                <w:sz w:val="19"/>
                <w:szCs w:val="19"/>
              </w:rPr>
              <w:t>（五）不予处理</w:t>
            </w: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bookmarkStart w:id="8" w:name="_Hlk66975537"/>
            <w:bookmarkEnd w:id="8"/>
            <w:r>
              <w:rPr>
                <w:rFonts w:hint="eastAsia" w:ascii="仿宋_GB2312" w:eastAsia="仿宋_GB2312" w:cs="仿宋_GB2312"/>
                <w:sz w:val="19"/>
                <w:szCs w:val="19"/>
              </w:rPr>
              <w:t>1.信访举报投诉类申请</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2.重复申请</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3.要求提供公开出版物</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333"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4.无正当理由大量反复申请</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51"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16"/>
              <w:rPr>
                <w:sz w:val="19"/>
                <w:szCs w:val="19"/>
              </w:rPr>
            </w:pPr>
            <w:r>
              <w:rPr>
                <w:rFonts w:hint="eastAsia" w:ascii="仿宋_GB2312" w:eastAsia="仿宋_GB2312" w:cs="仿宋_GB2312"/>
                <w:sz w:val="19"/>
                <w:szCs w:val="19"/>
              </w:rPr>
              <w:t>出具已获取信息</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651"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restart"/>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黑体" w:hAnsi="宋体" w:eastAsia="黑体" w:cs="黑体"/>
                <w:sz w:val="19"/>
                <w:szCs w:val="19"/>
              </w:rPr>
              <w:t>（六）其他处理</w:t>
            </w: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1.申请人无正当理由逾期不补正、行政机关不再处理其政府信息公开申请</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969"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2.申请人逾期未按收费通知要求缴纳费用、行政机关不再处理其政府信息公开申请</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3"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681" w:type="dxa"/>
            <w:vMerge w:val="continue"/>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3170" w:type="dxa"/>
            <w:tcBorders>
              <w:top w:val="single" w:color="00000A" w:sz="6" w:space="0"/>
              <w:left w:val="single" w:color="00000A" w:sz="6" w:space="0"/>
              <w:bottom w:val="single" w:color="00000A" w:sz="6" w:space="0"/>
              <w:right w:val="single" w:color="00000A" w:sz="6" w:space="0"/>
            </w:tcBorders>
            <w:shd w:val="clear" w:color="auto" w:fill="auto"/>
            <w:tcMar>
              <w:top w:w="0"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仿宋_GB2312" w:eastAsia="仿宋_GB2312" w:cs="仿宋_GB2312"/>
                <w:sz w:val="19"/>
                <w:szCs w:val="19"/>
              </w:rPr>
              <w:t>3.其他</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33" w:hRule="atLeast"/>
          <w:jc w:val="center"/>
        </w:trPr>
        <w:tc>
          <w:tcPr>
            <w:tcW w:w="409" w:type="dxa"/>
            <w:vMerge w:val="continue"/>
            <w:tcBorders>
              <w:top w:val="single" w:color="00000A" w:sz="6" w:space="0"/>
              <w:left w:val="single" w:color="00000A" w:sz="8" w:space="0"/>
              <w:bottom w:val="single" w:color="00000A" w:sz="6" w:space="0"/>
              <w:right w:val="single" w:color="00000A" w:sz="6"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3851" w:type="dxa"/>
            <w:gridSpan w:val="2"/>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黑体" w:hAnsi="宋体" w:eastAsia="黑体" w:cs="黑体"/>
                <w:sz w:val="19"/>
                <w:szCs w:val="19"/>
              </w:rPr>
              <w:t>（七）总计</w:t>
            </w:r>
          </w:p>
        </w:tc>
        <w:tc>
          <w:tcPr>
            <w:tcW w:w="64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6"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6"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sz w:val="19"/>
                <w:szCs w:val="19"/>
                <w:lang w:val="en-US" w:eastAsia="zh-CN"/>
              </w:rPr>
            </w:pPr>
            <w:r>
              <w:rPr>
                <w:rFonts w:hint="eastAsia"/>
                <w:sz w:val="19"/>
                <w:szCs w:val="19"/>
                <w:lang w:val="en-US" w:eastAsia="zh-CN"/>
              </w:rPr>
              <w:t>11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trHeight w:val="353" w:hRule="atLeast"/>
          <w:jc w:val="center"/>
        </w:trPr>
        <w:tc>
          <w:tcPr>
            <w:tcW w:w="4260" w:type="dxa"/>
            <w:gridSpan w:val="3"/>
            <w:tcBorders>
              <w:top w:val="single" w:color="00000A" w:sz="6" w:space="0"/>
              <w:left w:val="single" w:color="00000A" w:sz="8" w:space="0"/>
              <w:bottom w:val="single" w:color="00000A" w:sz="8"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黑体" w:hAnsi="宋体" w:eastAsia="黑体" w:cs="黑体"/>
                <w:sz w:val="19"/>
                <w:szCs w:val="19"/>
              </w:rPr>
              <w:t>四、结转下年度继续办理</w:t>
            </w:r>
          </w:p>
        </w:tc>
        <w:tc>
          <w:tcPr>
            <w:tcW w:w="640" w:type="dxa"/>
            <w:tcBorders>
              <w:top w:val="single" w:color="00000A" w:sz="6" w:space="0"/>
              <w:left w:val="single" w:color="00000A" w:sz="6" w:space="0"/>
              <w:bottom w:val="single" w:color="00000A" w:sz="8"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30" w:type="dxa"/>
            <w:tcBorders>
              <w:top w:val="single" w:color="00000A" w:sz="6" w:space="0"/>
              <w:left w:val="single" w:color="00000A" w:sz="6" w:space="0"/>
              <w:bottom w:val="single" w:color="00000A" w:sz="8"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4" w:type="dxa"/>
            <w:tcBorders>
              <w:top w:val="single" w:color="00000A" w:sz="6" w:space="0"/>
              <w:left w:val="single" w:color="00000A" w:sz="6" w:space="0"/>
              <w:bottom w:val="single" w:color="00000A" w:sz="8"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670" w:type="dxa"/>
            <w:tcBorders>
              <w:top w:val="single" w:color="00000A" w:sz="6" w:space="0"/>
              <w:left w:val="single" w:color="00000A" w:sz="6" w:space="0"/>
              <w:bottom w:val="single" w:color="00000A" w:sz="8"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86" w:type="dxa"/>
            <w:tcBorders>
              <w:top w:val="single" w:color="00000A" w:sz="6" w:space="0"/>
              <w:left w:val="single" w:color="00000A" w:sz="6" w:space="0"/>
              <w:bottom w:val="single" w:color="00000A" w:sz="8"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5" w:type="dxa"/>
            <w:tcBorders>
              <w:top w:val="single" w:color="00000A" w:sz="6" w:space="0"/>
              <w:left w:val="single" w:color="00000A" w:sz="6" w:space="0"/>
              <w:bottom w:val="single" w:color="00000A" w:sz="8" w:space="0"/>
              <w:right w:val="single" w:color="00000A" w:sz="6"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08" w:type="dxa"/>
            <w:tcBorders>
              <w:top w:val="single" w:color="00000A" w:sz="6" w:space="0"/>
              <w:left w:val="single" w:color="00000A" w:sz="6" w:space="0"/>
              <w:bottom w:val="single" w:color="00000A" w:sz="8"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bl>
    <w:p>
      <w:pPr>
        <w:pStyle w:val="2"/>
        <w:keepNext w:val="0"/>
        <w:keepLines w:val="0"/>
        <w:widowControl/>
        <w:suppressLineNumbers w:val="0"/>
        <w:spacing w:line="315" w:lineRule="atLeast"/>
        <w:ind w:firstLine="640" w:firstLineChars="200"/>
        <w:rPr>
          <w:sz w:val="32"/>
          <w:szCs w:val="32"/>
        </w:rPr>
      </w:pPr>
      <w:r>
        <w:rPr>
          <w:rFonts w:hint="eastAsia" w:ascii="黑体" w:hAnsi="宋体" w:eastAsia="黑体" w:cs="黑体"/>
          <w:sz w:val="32"/>
          <w:szCs w:val="32"/>
        </w:rPr>
        <w:t>四、政府信息公开行政复议、行政诉讼情况</w:t>
      </w:r>
    </w:p>
    <w:tbl>
      <w:tblPr>
        <w:tblStyle w:val="3"/>
        <w:tblW w:w="8434"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75" w:type="dxa"/>
          <w:left w:w="150" w:type="dxa"/>
          <w:bottom w:w="75" w:type="dxa"/>
          <w:right w:w="150" w:type="dxa"/>
        </w:tblCellMar>
      </w:tblPr>
      <w:tblGrid>
        <w:gridCol w:w="495"/>
        <w:gridCol w:w="480"/>
        <w:gridCol w:w="570"/>
        <w:gridCol w:w="490"/>
        <w:gridCol w:w="557"/>
        <w:gridCol w:w="498"/>
        <w:gridCol w:w="480"/>
        <w:gridCol w:w="510"/>
        <w:gridCol w:w="540"/>
        <w:gridCol w:w="914"/>
        <w:gridCol w:w="496"/>
        <w:gridCol w:w="480"/>
        <w:gridCol w:w="495"/>
        <w:gridCol w:w="510"/>
        <w:gridCol w:w="91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trHeight w:val="271" w:hRule="atLeast"/>
          <w:jc w:val="center"/>
        </w:trPr>
        <w:tc>
          <w:tcPr>
            <w:tcW w:w="2592" w:type="dxa"/>
            <w:gridSpan w:val="5"/>
            <w:tcBorders>
              <w:top w:val="single" w:color="00000A" w:sz="8" w:space="0"/>
              <w:left w:val="single" w:color="00000A" w:sz="8" w:space="0"/>
              <w:bottom w:val="single" w:color="00000A" w:sz="8" w:space="0"/>
              <w:right w:val="single" w:color="00000A"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行政复议</w:t>
            </w:r>
          </w:p>
        </w:tc>
        <w:tc>
          <w:tcPr>
            <w:tcW w:w="5842" w:type="dxa"/>
            <w:gridSpan w:val="10"/>
            <w:tcBorders>
              <w:top w:val="single" w:color="auto" w:sz="8" w:space="0"/>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95" w:type="dxa"/>
            <w:vMerge w:val="restart"/>
            <w:tcBorders>
              <w:top w:val="nil"/>
              <w:left w:val="single" w:color="auto" w:sz="8" w:space="0"/>
              <w:bottom w:val="single" w:color="auto" w:sz="8" w:space="0"/>
              <w:right w:val="single" w:color="auto"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44" w:right="-173"/>
              <w:jc w:val="center"/>
              <w:rPr>
                <w:sz w:val="19"/>
                <w:szCs w:val="19"/>
              </w:rPr>
            </w:pPr>
            <w:r>
              <w:rPr>
                <w:rFonts w:hint="eastAsia" w:ascii="黑体" w:hAnsi="宋体" w:eastAsia="黑体" w:cs="黑体"/>
                <w:sz w:val="20"/>
                <w:szCs w:val="2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44" w:right="-173"/>
              <w:jc w:val="center"/>
              <w:rPr>
                <w:sz w:val="19"/>
                <w:szCs w:val="19"/>
              </w:rPr>
            </w:pPr>
            <w:r>
              <w:rPr>
                <w:rFonts w:hint="eastAsia" w:ascii="黑体" w:hAnsi="宋体" w:eastAsia="黑体" w:cs="黑体"/>
                <w:sz w:val="20"/>
                <w:szCs w:val="20"/>
              </w:rPr>
              <w:t>维持</w:t>
            </w:r>
          </w:p>
        </w:tc>
        <w:tc>
          <w:tcPr>
            <w:tcW w:w="480" w:type="dxa"/>
            <w:vMerge w:val="restart"/>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3" w:right="-130" w:firstLine="0"/>
              <w:jc w:val="center"/>
              <w:rPr>
                <w:rFonts w:hint="eastAsia" w:ascii="黑体" w:hAnsi="宋体" w:eastAsia="黑体" w:cs="黑体"/>
                <w:sz w:val="20"/>
                <w:szCs w:val="20"/>
              </w:rPr>
            </w:pPr>
            <w:r>
              <w:rPr>
                <w:rFonts w:hint="eastAsia" w:ascii="黑体" w:hAnsi="宋体" w:eastAsia="黑体" w:cs="黑体"/>
                <w:sz w:val="20"/>
                <w:szCs w:val="2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43" w:right="-130" w:firstLine="0"/>
              <w:jc w:val="center"/>
              <w:rPr>
                <w:sz w:val="19"/>
                <w:szCs w:val="19"/>
              </w:rPr>
            </w:pPr>
            <w:r>
              <w:rPr>
                <w:rFonts w:hint="eastAsia" w:ascii="黑体" w:hAnsi="宋体" w:eastAsia="黑体" w:cs="黑体"/>
                <w:sz w:val="20"/>
                <w:szCs w:val="20"/>
              </w:rPr>
              <w:t>纠正</w:t>
            </w:r>
          </w:p>
        </w:tc>
        <w:tc>
          <w:tcPr>
            <w:tcW w:w="570" w:type="dxa"/>
            <w:vMerge w:val="restart"/>
            <w:tcBorders>
              <w:top w:val="single" w:color="auto" w:sz="8" w:space="0"/>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86" w:right="-101"/>
              <w:jc w:val="center"/>
              <w:rPr>
                <w:rFonts w:hint="eastAsia" w:ascii="黑体" w:hAnsi="宋体" w:eastAsia="黑体" w:cs="黑体"/>
                <w:sz w:val="20"/>
                <w:szCs w:val="20"/>
              </w:rPr>
            </w:pPr>
            <w:r>
              <w:rPr>
                <w:rFonts w:hint="eastAsia" w:ascii="黑体" w:hAnsi="宋体" w:eastAsia="黑体" w:cs="黑体"/>
                <w:sz w:val="20"/>
                <w:szCs w:val="2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86" w:right="-101"/>
              <w:jc w:val="center"/>
              <w:rPr>
                <w:sz w:val="19"/>
                <w:szCs w:val="19"/>
              </w:rPr>
            </w:pPr>
            <w:r>
              <w:rPr>
                <w:rFonts w:hint="eastAsia" w:ascii="黑体" w:hAnsi="宋体" w:eastAsia="黑体" w:cs="黑体"/>
                <w:sz w:val="20"/>
                <w:szCs w:val="20"/>
              </w:rPr>
              <w:t>结果</w:t>
            </w:r>
          </w:p>
        </w:tc>
        <w:tc>
          <w:tcPr>
            <w:tcW w:w="490" w:type="dxa"/>
            <w:vMerge w:val="restart"/>
            <w:tcBorders>
              <w:top w:val="single" w:color="auto" w:sz="8" w:space="0"/>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15"/>
              <w:jc w:val="center"/>
              <w:rPr>
                <w:sz w:val="19"/>
                <w:szCs w:val="19"/>
              </w:rPr>
            </w:pPr>
            <w:r>
              <w:rPr>
                <w:rFonts w:hint="eastAsia" w:ascii="黑体" w:hAnsi="宋体" w:eastAsia="黑体" w:cs="黑体"/>
                <w:sz w:val="20"/>
                <w:szCs w:val="2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15"/>
              <w:jc w:val="center"/>
              <w:rPr>
                <w:sz w:val="19"/>
                <w:szCs w:val="19"/>
              </w:rPr>
            </w:pPr>
            <w:r>
              <w:rPr>
                <w:rFonts w:hint="eastAsia" w:ascii="黑体" w:hAnsi="宋体" w:eastAsia="黑体" w:cs="黑体"/>
                <w:sz w:val="20"/>
                <w:szCs w:val="20"/>
              </w:rPr>
              <w:t>审结</w:t>
            </w:r>
          </w:p>
        </w:tc>
        <w:tc>
          <w:tcPr>
            <w:tcW w:w="557" w:type="dxa"/>
            <w:vMerge w:val="restart"/>
            <w:tcBorders>
              <w:top w:val="single" w:color="auto" w:sz="8" w:space="0"/>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计</w:t>
            </w:r>
          </w:p>
        </w:tc>
        <w:tc>
          <w:tcPr>
            <w:tcW w:w="2942" w:type="dxa"/>
            <w:gridSpan w:val="5"/>
            <w:tcBorders>
              <w:top w:val="single" w:color="auto" w:sz="8" w:space="0"/>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未经复议直接起诉</w:t>
            </w:r>
          </w:p>
        </w:tc>
        <w:tc>
          <w:tcPr>
            <w:tcW w:w="2900" w:type="dxa"/>
            <w:gridSpan w:val="5"/>
            <w:tcBorders>
              <w:top w:val="single" w:color="auto" w:sz="8" w:space="0"/>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bookmarkStart w:id="9" w:name="_Hlk67039688"/>
            <w:bookmarkEnd w:id="9"/>
            <w:r>
              <w:rPr>
                <w:rFonts w:hint="eastAsia" w:ascii="黑体" w:hAnsi="宋体" w:eastAsia="黑体" w:cs="黑体"/>
                <w:sz w:val="20"/>
                <w:szCs w:val="20"/>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75" w:type="dxa"/>
            <w:left w:w="150" w:type="dxa"/>
            <w:bottom w:w="75" w:type="dxa"/>
            <w:right w:w="150" w:type="dxa"/>
          </w:tblCellMar>
        </w:tblPrEx>
        <w:trPr>
          <w:jc w:val="center"/>
        </w:trPr>
        <w:tc>
          <w:tcPr>
            <w:tcW w:w="495" w:type="dxa"/>
            <w:vMerge w:val="continue"/>
            <w:tcBorders>
              <w:top w:val="nil"/>
              <w:left w:val="single" w:color="auto" w:sz="8" w:space="0"/>
              <w:bottom w:val="single" w:color="auto" w:sz="8" w:space="0"/>
              <w:right w:val="single" w:color="auto" w:sz="8" w:space="0"/>
            </w:tcBorders>
            <w:shd w:val="clear" w:color="auto" w:fill="auto"/>
            <w:tcMar>
              <w:top w:w="0" w:type="dxa"/>
              <w:left w:w="115" w:type="dxa"/>
              <w:bottom w:w="0" w:type="dxa"/>
              <w:right w:w="115" w:type="dxa"/>
            </w:tcMar>
            <w:vAlign w:val="center"/>
          </w:tcPr>
          <w:p>
            <w:pPr>
              <w:rPr>
                <w:rFonts w:hint="eastAsia" w:ascii="宋体"/>
                <w:sz w:val="24"/>
                <w:szCs w:val="24"/>
              </w:rPr>
            </w:pPr>
          </w:p>
        </w:tc>
        <w:tc>
          <w:tcPr>
            <w:tcW w:w="480" w:type="dxa"/>
            <w:vMerge w:val="continue"/>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rPr>
                <w:rFonts w:hint="eastAsia" w:ascii="宋体"/>
                <w:sz w:val="24"/>
                <w:szCs w:val="24"/>
              </w:rPr>
            </w:pPr>
          </w:p>
        </w:tc>
        <w:tc>
          <w:tcPr>
            <w:tcW w:w="570" w:type="dxa"/>
            <w:vMerge w:val="continue"/>
            <w:tcBorders>
              <w:top w:val="single" w:color="auto" w:sz="8" w:space="0"/>
              <w:left w:val="nil"/>
              <w:bottom w:val="single" w:color="auto" w:sz="8" w:space="0"/>
              <w:right w:val="single" w:color="auto" w:sz="8" w:space="0"/>
            </w:tcBorders>
            <w:shd w:val="clear" w:color="auto" w:fill="auto"/>
            <w:tcMar>
              <w:top w:w="0" w:type="dxa"/>
              <w:left w:w="0" w:type="dxa"/>
              <w:bottom w:w="0" w:type="dxa"/>
              <w:right w:w="115" w:type="dxa"/>
            </w:tcMar>
            <w:vAlign w:val="center"/>
          </w:tcPr>
          <w:p>
            <w:pPr>
              <w:rPr>
                <w:rFonts w:hint="eastAsia" w:ascii="宋体"/>
                <w:sz w:val="24"/>
                <w:szCs w:val="24"/>
              </w:rPr>
            </w:pPr>
          </w:p>
        </w:tc>
        <w:tc>
          <w:tcPr>
            <w:tcW w:w="490" w:type="dxa"/>
            <w:vMerge w:val="continue"/>
            <w:tcBorders>
              <w:top w:val="single" w:color="auto" w:sz="8" w:space="0"/>
              <w:left w:val="nil"/>
              <w:bottom w:val="single" w:color="auto" w:sz="8" w:space="0"/>
              <w:right w:val="single" w:color="auto" w:sz="8" w:space="0"/>
            </w:tcBorders>
            <w:shd w:val="clear" w:color="auto" w:fill="auto"/>
            <w:tcMar>
              <w:top w:w="0" w:type="dxa"/>
              <w:left w:w="0" w:type="dxa"/>
              <w:bottom w:w="0" w:type="dxa"/>
              <w:right w:w="115" w:type="dxa"/>
            </w:tcMar>
            <w:vAlign w:val="center"/>
          </w:tcPr>
          <w:p>
            <w:pPr>
              <w:rPr>
                <w:rFonts w:hint="eastAsia" w:ascii="宋体"/>
                <w:sz w:val="24"/>
                <w:szCs w:val="24"/>
              </w:rPr>
            </w:pPr>
          </w:p>
        </w:tc>
        <w:tc>
          <w:tcPr>
            <w:tcW w:w="557" w:type="dxa"/>
            <w:vMerge w:val="continue"/>
            <w:tcBorders>
              <w:top w:val="single" w:color="auto" w:sz="8" w:space="0"/>
              <w:left w:val="nil"/>
              <w:bottom w:val="single" w:color="auto" w:sz="8" w:space="0"/>
              <w:right w:val="single" w:color="auto" w:sz="8" w:space="0"/>
            </w:tcBorders>
            <w:shd w:val="clear" w:color="auto" w:fill="auto"/>
            <w:tcMar>
              <w:top w:w="0" w:type="dxa"/>
              <w:left w:w="0" w:type="dxa"/>
              <w:bottom w:w="0" w:type="dxa"/>
              <w:right w:w="115" w:type="dxa"/>
            </w:tcMar>
            <w:vAlign w:val="center"/>
          </w:tcPr>
          <w:p>
            <w:pPr>
              <w:rPr>
                <w:rFonts w:hint="eastAsia" w:ascii="宋体"/>
                <w:sz w:val="24"/>
                <w:szCs w:val="24"/>
              </w:rPr>
            </w:pPr>
          </w:p>
        </w:tc>
        <w:tc>
          <w:tcPr>
            <w:tcW w:w="498" w:type="dxa"/>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30"/>
              <w:jc w:val="center"/>
              <w:rPr>
                <w:rFonts w:hint="eastAsia" w:ascii="黑体" w:hAnsi="宋体" w:eastAsia="黑体" w:cs="黑体"/>
                <w:sz w:val="20"/>
                <w:szCs w:val="20"/>
              </w:rPr>
            </w:pPr>
            <w:r>
              <w:rPr>
                <w:rFonts w:hint="eastAsia" w:ascii="黑体" w:hAnsi="宋体" w:eastAsia="黑体" w:cs="黑体"/>
                <w:sz w:val="20"/>
                <w:szCs w:val="2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130"/>
              <w:jc w:val="center"/>
              <w:rPr>
                <w:sz w:val="19"/>
                <w:szCs w:val="19"/>
              </w:rPr>
            </w:pPr>
            <w:r>
              <w:rPr>
                <w:rFonts w:hint="eastAsia" w:ascii="黑体" w:hAnsi="宋体" w:eastAsia="黑体" w:cs="黑体"/>
                <w:sz w:val="20"/>
                <w:szCs w:val="20"/>
              </w:rPr>
              <w:t>维持</w:t>
            </w:r>
          </w:p>
        </w:tc>
        <w:tc>
          <w:tcPr>
            <w:tcW w:w="480" w:type="dxa"/>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86" w:right="-86"/>
              <w:jc w:val="center"/>
              <w:rPr>
                <w:sz w:val="19"/>
                <w:szCs w:val="19"/>
              </w:rPr>
            </w:pPr>
            <w:r>
              <w:rPr>
                <w:rFonts w:hint="eastAsia" w:ascii="黑体" w:hAnsi="宋体" w:eastAsia="黑体" w:cs="黑体"/>
                <w:sz w:val="20"/>
                <w:szCs w:val="20"/>
              </w:rPr>
              <w:t>结果纠正</w:t>
            </w:r>
          </w:p>
        </w:tc>
        <w:tc>
          <w:tcPr>
            <w:tcW w:w="51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30"/>
              <w:jc w:val="center"/>
              <w:rPr>
                <w:sz w:val="19"/>
                <w:szCs w:val="19"/>
              </w:rPr>
            </w:pPr>
            <w:r>
              <w:rPr>
                <w:rFonts w:hint="eastAsia" w:ascii="黑体" w:hAnsi="宋体" w:eastAsia="黑体" w:cs="黑体"/>
                <w:sz w:val="20"/>
                <w:szCs w:val="2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30"/>
              <w:jc w:val="center"/>
              <w:rPr>
                <w:sz w:val="19"/>
                <w:szCs w:val="19"/>
              </w:rPr>
            </w:pPr>
            <w:r>
              <w:rPr>
                <w:rFonts w:hint="eastAsia" w:ascii="黑体" w:hAnsi="宋体" w:eastAsia="黑体" w:cs="黑体"/>
                <w:sz w:val="20"/>
                <w:szCs w:val="20"/>
              </w:rPr>
              <w:t>结果</w:t>
            </w:r>
          </w:p>
        </w:tc>
        <w:tc>
          <w:tcPr>
            <w:tcW w:w="54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8" w:right="-158"/>
              <w:jc w:val="center"/>
              <w:rPr>
                <w:sz w:val="19"/>
                <w:szCs w:val="19"/>
              </w:rPr>
            </w:pPr>
            <w:r>
              <w:rPr>
                <w:rFonts w:hint="eastAsia" w:ascii="黑体" w:hAnsi="宋体" w:eastAsia="黑体" w:cs="黑体"/>
                <w:sz w:val="20"/>
                <w:szCs w:val="2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58" w:right="-158"/>
              <w:jc w:val="center"/>
              <w:rPr>
                <w:sz w:val="19"/>
                <w:szCs w:val="19"/>
              </w:rPr>
            </w:pPr>
            <w:r>
              <w:rPr>
                <w:rFonts w:hint="eastAsia" w:ascii="黑体" w:hAnsi="宋体" w:eastAsia="黑体" w:cs="黑体"/>
                <w:sz w:val="20"/>
                <w:szCs w:val="20"/>
              </w:rPr>
              <w:t>审结</w:t>
            </w:r>
          </w:p>
        </w:tc>
        <w:tc>
          <w:tcPr>
            <w:tcW w:w="914"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总计</w:t>
            </w:r>
          </w:p>
        </w:tc>
        <w:tc>
          <w:tcPr>
            <w:tcW w:w="496"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01" w:right="-72"/>
              <w:jc w:val="center"/>
              <w:rPr>
                <w:sz w:val="19"/>
                <w:szCs w:val="19"/>
              </w:rPr>
            </w:pPr>
            <w:r>
              <w:rPr>
                <w:rFonts w:hint="eastAsia" w:ascii="黑体" w:hAnsi="宋体" w:eastAsia="黑体" w:cs="黑体"/>
                <w:sz w:val="20"/>
                <w:szCs w:val="20"/>
              </w:rPr>
              <w:t>结果维持</w:t>
            </w:r>
          </w:p>
        </w:tc>
        <w:tc>
          <w:tcPr>
            <w:tcW w:w="48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30"/>
              <w:jc w:val="center"/>
              <w:rPr>
                <w:sz w:val="19"/>
                <w:szCs w:val="19"/>
              </w:rPr>
            </w:pPr>
            <w:r>
              <w:rPr>
                <w:rFonts w:hint="eastAsia" w:ascii="黑体" w:hAnsi="宋体" w:eastAsia="黑体" w:cs="黑体"/>
                <w:sz w:val="20"/>
                <w:szCs w:val="20"/>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30" w:right="-130"/>
              <w:jc w:val="center"/>
              <w:rPr>
                <w:sz w:val="19"/>
                <w:szCs w:val="19"/>
              </w:rPr>
            </w:pPr>
            <w:r>
              <w:rPr>
                <w:rFonts w:hint="eastAsia" w:ascii="黑体" w:hAnsi="宋体" w:eastAsia="黑体" w:cs="黑体"/>
                <w:sz w:val="20"/>
                <w:szCs w:val="20"/>
              </w:rPr>
              <w:t>纠正</w:t>
            </w:r>
          </w:p>
        </w:tc>
        <w:tc>
          <w:tcPr>
            <w:tcW w:w="495"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73" w:right="-130" w:firstLine="0"/>
              <w:jc w:val="center"/>
              <w:rPr>
                <w:sz w:val="19"/>
                <w:szCs w:val="19"/>
              </w:rPr>
            </w:pPr>
            <w:r>
              <w:rPr>
                <w:rFonts w:hint="eastAsia" w:ascii="黑体" w:hAnsi="宋体" w:eastAsia="黑体" w:cs="黑体"/>
                <w:sz w:val="20"/>
                <w:szCs w:val="20"/>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73" w:right="-130" w:firstLine="0"/>
              <w:jc w:val="center"/>
              <w:rPr>
                <w:sz w:val="19"/>
                <w:szCs w:val="19"/>
              </w:rPr>
            </w:pPr>
            <w:r>
              <w:rPr>
                <w:rFonts w:hint="eastAsia" w:ascii="黑体" w:hAnsi="宋体" w:eastAsia="黑体" w:cs="黑体"/>
                <w:sz w:val="20"/>
                <w:szCs w:val="20"/>
              </w:rPr>
              <w:t>结果</w:t>
            </w:r>
          </w:p>
        </w:tc>
        <w:tc>
          <w:tcPr>
            <w:tcW w:w="51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72" w:right="-101" w:firstLine="0"/>
              <w:jc w:val="center"/>
              <w:rPr>
                <w:rFonts w:hint="eastAsia" w:ascii="黑体" w:hAnsi="宋体" w:eastAsia="黑体" w:cs="黑体"/>
                <w:sz w:val="20"/>
                <w:szCs w:val="20"/>
              </w:rPr>
            </w:pPr>
            <w:r>
              <w:rPr>
                <w:rFonts w:hint="eastAsia" w:ascii="黑体" w:hAnsi="宋体" w:eastAsia="黑体" w:cs="黑体"/>
                <w:sz w:val="20"/>
                <w:szCs w:val="20"/>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72" w:right="-101" w:firstLine="0"/>
              <w:jc w:val="center"/>
              <w:rPr>
                <w:sz w:val="19"/>
                <w:szCs w:val="19"/>
              </w:rPr>
            </w:pPr>
            <w:r>
              <w:rPr>
                <w:rFonts w:hint="eastAsia" w:ascii="黑体" w:hAnsi="宋体" w:eastAsia="黑体" w:cs="黑体"/>
                <w:sz w:val="20"/>
                <w:szCs w:val="20"/>
              </w:rPr>
              <w:t>审结</w:t>
            </w:r>
          </w:p>
        </w:tc>
        <w:tc>
          <w:tcPr>
            <w:tcW w:w="919"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黑体" w:hAnsi="宋体" w:eastAsia="黑体" w:cs="黑体"/>
                <w:sz w:val="20"/>
                <w:szCs w:val="2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75" w:type="dxa"/>
            <w:left w:w="150" w:type="dxa"/>
            <w:bottom w:w="75" w:type="dxa"/>
            <w:right w:w="150" w:type="dxa"/>
          </w:tblCellMar>
        </w:tblPrEx>
        <w:trPr>
          <w:jc w:val="center"/>
        </w:trPr>
        <w:tc>
          <w:tcPr>
            <w:tcW w:w="495" w:type="dxa"/>
            <w:tcBorders>
              <w:top w:val="nil"/>
              <w:left w:val="single" w:color="auto" w:sz="8" w:space="0"/>
              <w:bottom w:val="single" w:color="auto" w:sz="8" w:space="0"/>
              <w:right w:val="single" w:color="auto" w:sz="8" w:space="0"/>
            </w:tcBorders>
            <w:shd w:val="clear" w:color="auto" w:fill="auto"/>
            <w:tcMar>
              <w:top w:w="0" w:type="dxa"/>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default" w:eastAsiaTheme="minorEastAsia"/>
                <w:sz w:val="19"/>
                <w:szCs w:val="19"/>
                <w:lang w:val="en-US" w:eastAsia="zh-CN"/>
              </w:rPr>
            </w:pPr>
            <w:r>
              <w:rPr>
                <w:rFonts w:hint="eastAsia"/>
                <w:sz w:val="19"/>
                <w:szCs w:val="19"/>
                <w:lang w:val="en-US" w:eastAsia="zh-CN"/>
              </w:rPr>
              <w:t>1</w:t>
            </w:r>
          </w:p>
        </w:tc>
        <w:tc>
          <w:tcPr>
            <w:tcW w:w="480" w:type="dxa"/>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sz w:val="19"/>
                <w:szCs w:val="19"/>
                <w:lang w:val="en-US" w:eastAsia="zh-CN"/>
              </w:rPr>
            </w:pPr>
            <w:r>
              <w:rPr>
                <w:rFonts w:hint="eastAsia"/>
                <w:sz w:val="19"/>
                <w:szCs w:val="19"/>
                <w:lang w:val="en-US" w:eastAsia="zh-CN"/>
              </w:rPr>
              <w:t>1</w:t>
            </w:r>
          </w:p>
        </w:tc>
        <w:tc>
          <w:tcPr>
            <w:tcW w:w="570" w:type="dxa"/>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490" w:type="dxa"/>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57" w:type="dxa"/>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eastAsiaTheme="minorEastAsia"/>
                <w:sz w:val="19"/>
                <w:szCs w:val="19"/>
                <w:lang w:eastAsia="zh-CN"/>
              </w:rPr>
            </w:pPr>
            <w:r>
              <w:rPr>
                <w:rFonts w:hint="eastAsia" w:ascii="仿宋_GB2312" w:eastAsia="仿宋_GB2312" w:cs="仿宋_GB2312"/>
                <w:sz w:val="19"/>
                <w:szCs w:val="19"/>
                <w:lang w:val="en-US" w:eastAsia="zh-CN"/>
              </w:rPr>
              <w:t>2</w:t>
            </w:r>
          </w:p>
        </w:tc>
        <w:tc>
          <w:tcPr>
            <w:tcW w:w="498" w:type="dxa"/>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480" w:type="dxa"/>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0" w:type="dxa"/>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40" w:type="dxa"/>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914" w:type="dxa"/>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496" w:type="dxa"/>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480" w:type="dxa"/>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495" w:type="dxa"/>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510" w:type="dxa"/>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c>
          <w:tcPr>
            <w:tcW w:w="919" w:type="dxa"/>
            <w:tcBorders>
              <w:top w:val="nil"/>
              <w:left w:val="nil"/>
              <w:bottom w:val="single" w:color="auto" w:sz="8" w:space="0"/>
              <w:right w:val="single" w:color="auto" w:sz="8" w:space="0"/>
            </w:tcBorders>
            <w:shd w:val="clear" w:color="auto" w:fill="auto"/>
            <w:tcMar>
              <w:top w:w="0" w:type="dxa"/>
              <w:left w:w="0"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仿宋_GB2312" w:eastAsia="仿宋_GB2312" w:cs="仿宋_GB2312"/>
                <w:sz w:val="19"/>
                <w:szCs w:val="19"/>
              </w:rPr>
              <w:t>0</w:t>
            </w:r>
          </w:p>
        </w:tc>
      </w:tr>
    </w:tbl>
    <w:p>
      <w:pPr>
        <w:pStyle w:val="2"/>
        <w:keepNext w:val="0"/>
        <w:keepLines w:val="0"/>
        <w:widowControl/>
        <w:numPr>
          <w:ilvl w:val="0"/>
          <w:numId w:val="0"/>
        </w:numPr>
        <w:suppressLineNumbers w:val="0"/>
        <w:spacing w:line="315" w:lineRule="atLeast"/>
        <w:ind w:leftChars="200" w:right="0" w:rightChars="0"/>
        <w:jc w:val="both"/>
        <w:rPr>
          <w:rFonts w:hint="eastAsia" w:ascii="黑体" w:hAnsi="宋体" w:eastAsia="黑体" w:cs="黑体"/>
          <w:sz w:val="32"/>
          <w:szCs w:val="32"/>
        </w:rPr>
      </w:pPr>
      <w:r>
        <w:rPr>
          <w:rFonts w:hint="eastAsia" w:ascii="黑体" w:hAnsi="宋体" w:eastAsia="黑体" w:cs="黑体"/>
          <w:sz w:val="32"/>
          <w:szCs w:val="32"/>
          <w:lang w:eastAsia="zh-CN"/>
        </w:rPr>
        <w:t>五、</w:t>
      </w:r>
      <w:r>
        <w:rPr>
          <w:rFonts w:hint="eastAsia" w:ascii="黑体" w:hAnsi="宋体" w:eastAsia="黑体" w:cs="黑体"/>
          <w:sz w:val="32"/>
          <w:szCs w:val="32"/>
        </w:rPr>
        <w:t>政府信息公开工作存在的主要问题及改进情况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ind w:left="0" w:right="0" w:firstLine="640" w:firstLineChars="200"/>
        <w:jc w:val="left"/>
      </w:pPr>
      <w:r>
        <w:rPr>
          <w:rFonts w:hint="eastAsia" w:ascii="仿宋_GB2312" w:hAnsi="仿宋_GB2312" w:eastAsia="仿宋_GB2312" w:cs="仿宋_GB2312"/>
          <w:kern w:val="2"/>
          <w:sz w:val="32"/>
          <w:szCs w:val="32"/>
          <w:lang w:val="en-US" w:eastAsia="zh-CN" w:bidi="ar-SA"/>
        </w:rPr>
        <w:t>2022年，区党政综合办公室结合上一年度存在的问题进行了针对性整改，取得了一定成绩，但是与全面深化政务公开工作要求和人民群众的期待相比，仍然存在公开平台建设创新不足、政策文件解读形式不够丰富等问题。</w:t>
      </w:r>
      <w:r>
        <w:rPr>
          <w:rFonts w:ascii="仿宋_GB2312" w:hAnsi="宋体" w:eastAsia="仿宋_GB2312" w:cs="仿宋_GB2312"/>
          <w:i w:val="0"/>
          <w:iCs w:val="0"/>
          <w:caps w:val="0"/>
          <w:color w:val="000000"/>
          <w:spacing w:val="0"/>
          <w:sz w:val="31"/>
          <w:szCs w:val="31"/>
        </w:rPr>
        <w:t>下一步，我们将按照市政府办公室推进政务公开工作的部署要求，完善工作制度、细化工作措施，不断提升政府信息公开工作水平。</w:t>
      </w:r>
      <w:r>
        <w:rPr>
          <w:rFonts w:hint="eastAsia" w:ascii="仿宋_GB2312" w:hAnsi="宋体" w:eastAsia="仿宋_GB2312" w:cs="仿宋_GB2312"/>
          <w:i w:val="0"/>
          <w:iCs w:val="0"/>
          <w:caps w:val="0"/>
          <w:color w:val="000000"/>
          <w:spacing w:val="0"/>
          <w:sz w:val="31"/>
          <w:szCs w:val="31"/>
          <w:lang w:eastAsia="zh-CN"/>
        </w:rPr>
        <w:t>一</w:t>
      </w:r>
      <w:r>
        <w:rPr>
          <w:rFonts w:hint="eastAsia" w:ascii="仿宋_GB2312" w:hAnsi="仿宋_GB2312" w:eastAsia="仿宋_GB2312" w:cs="仿宋_GB2312"/>
          <w:kern w:val="2"/>
          <w:sz w:val="32"/>
          <w:szCs w:val="32"/>
          <w:lang w:val="en-US" w:eastAsia="zh-CN" w:bidi="ar-SA"/>
        </w:rPr>
        <w:t>是进一步推动政府网站与政务新媒体协同公开信息，坚持站在群众视角，不断探索提升政策文件宣传覆盖面，拓宽政务公开的广度。二是针对社会关注度高、群众关心关切的政策文件和重大决策信息，及时发布并通过多种形式解读，让“黄金政策”发挥“黄金效应”，增强政务公开的精度。</w:t>
      </w:r>
    </w:p>
    <w:p>
      <w:pPr>
        <w:pStyle w:val="2"/>
        <w:keepNext w:val="0"/>
        <w:keepLines w:val="0"/>
        <w:widowControl/>
        <w:suppressLineNumbers w:val="0"/>
        <w:spacing w:line="315" w:lineRule="atLeast"/>
        <w:ind w:firstLine="640" w:firstLineChars="200"/>
        <w:jc w:val="both"/>
        <w:rPr>
          <w:sz w:val="32"/>
          <w:szCs w:val="32"/>
        </w:rPr>
      </w:pPr>
      <w:r>
        <w:rPr>
          <w:rFonts w:hint="eastAsia" w:ascii="黑体" w:hAnsi="宋体" w:eastAsia="黑体" w:cs="黑体"/>
          <w:sz w:val="32"/>
          <w:szCs w:val="32"/>
        </w:rPr>
        <w:t>六、其他需要报告的事项</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1.本年度政府信息公开申请未达到《政府信息公开信息处理费管理办法》（国办函〔2020〕109号）所规定的信息处理费收费标准，故未收取信息处理费。</w:t>
      </w:r>
    </w:p>
    <w:p>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2.本行政机关人大代表建议和政协提案办理结果公开情况。全年未承办区级人大代表建议和区政协委员提案。</w:t>
      </w:r>
    </w:p>
    <w:p>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本行政机关年度政务公开工作创新情况。一是强化主动发布机制。凡属于《政府信息公开制度》《政务公开条例》中明确的各级行政机关主动公开的政府信息，在相关信息形成或变更之日起20个工作日内在区政务公开网站上及时公开。二是扩大主动公开范围。发布各类政府信息，更新法定主动公开事项，</w:t>
      </w:r>
      <w:bookmarkStart w:id="10" w:name="_GoBack"/>
      <w:bookmarkEnd w:id="1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畅通群众获取政府信息的渠道。三是拓宽信息发布渠道。及时通过政务信息公开栏、政务公开网站公布相关信息，建立健全例行信息发布制度。</w:t>
      </w:r>
    </w:p>
    <w:p>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4.本行政机关政府信息公开工作年度报告数据统计需要说明的事项。本报告中所列数据的统计时限为2022年1月1日至2022年12月31日。</w:t>
      </w:r>
    </w:p>
    <w:p>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5.本行政机关认为需要报告的其他事项。无。</w:t>
      </w:r>
    </w:p>
    <w:p>
      <w:pPr>
        <w:ind w:firstLine="640" w:firstLineChars="200"/>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6.其他有关文件专门要求通过政府信息公开工作年度报告予以报告的事项。无。</w:t>
      </w:r>
    </w:p>
    <w:p>
      <w:pPr>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Ã¥Â¾Â®Ã¨Â½Â¯Ã©â€ºâ€¦Ã©Â»â€˜">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NDUzNjg0YjI3NGU4ZjBmOWM1ODA0NDFiNjY5MDgifQ=="/>
  </w:docVars>
  <w:rsids>
    <w:rsidRoot w:val="00000000"/>
    <w:rsid w:val="0E1E7AC7"/>
    <w:rsid w:val="11485B5E"/>
    <w:rsid w:val="11BC1F4C"/>
    <w:rsid w:val="17110C98"/>
    <w:rsid w:val="1B4B4076"/>
    <w:rsid w:val="20EF798B"/>
    <w:rsid w:val="27BC0511"/>
    <w:rsid w:val="2C45281E"/>
    <w:rsid w:val="2DA73B07"/>
    <w:rsid w:val="31FA1D47"/>
    <w:rsid w:val="3BAF21C7"/>
    <w:rsid w:val="41C664EA"/>
    <w:rsid w:val="420C6E21"/>
    <w:rsid w:val="45812F68"/>
    <w:rsid w:val="46BC3E56"/>
    <w:rsid w:val="479E2B03"/>
    <w:rsid w:val="47AA14A8"/>
    <w:rsid w:val="47E120A8"/>
    <w:rsid w:val="494152DB"/>
    <w:rsid w:val="52EE0906"/>
    <w:rsid w:val="54351055"/>
    <w:rsid w:val="563D7371"/>
    <w:rsid w:val="5CB4568F"/>
    <w:rsid w:val="63F568B1"/>
    <w:rsid w:val="674C6DED"/>
    <w:rsid w:val="6A303637"/>
    <w:rsid w:val="72A8130B"/>
    <w:rsid w:val="73041B05"/>
    <w:rsid w:val="7A7F6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BodyText"/>
    <w:basedOn w:val="1"/>
    <w:next w:val="6"/>
    <w:qFormat/>
    <w:uiPriority w:val="0"/>
    <w:pPr>
      <w:widowControl/>
      <w:spacing w:after="120"/>
      <w:textAlignment w:val="baseline"/>
    </w:pPr>
    <w:rPr>
      <w:rFonts w:ascii="Times New Roman" w:hAnsi="Times New Roman"/>
    </w:rPr>
  </w:style>
  <w:style w:type="paragraph" w:customStyle="1" w:styleId="6">
    <w:name w:val="BodyText3"/>
    <w:basedOn w:val="1"/>
    <w:next w:val="1"/>
    <w:qFormat/>
    <w:uiPriority w:val="0"/>
    <w:pPr>
      <w:spacing w:after="120"/>
    </w:pPr>
    <w:rPr>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2885</Words>
  <Characters>3016</Characters>
  <Lines>0</Lines>
  <Paragraphs>0</Paragraphs>
  <TotalTime>1346</TotalTime>
  <ScaleCrop>false</ScaleCrop>
  <LinksUpToDate>false</LinksUpToDate>
  <CharactersWithSpaces>3016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2023-01-28T08:32:00Z</dcterms:created>
  <dc:creator>Administrator</dc:creator>
  <cp:lastModifiedBy>Administrator</cp:lastModifiedBy>
  <cp:lastPrinted>2023-02-08T08:31:58Z</cp:lastPrinted>
  <dcterms:modified xsi:type="dcterms:W3CDTF">2023-02-08T08:37:35Z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7F8BE91F31AD4C168838AC31417A17FC</vt:lpwstr>
  </property>
</Properties>
</file>