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6F8" w:rsidRDefault="0060313F"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枣庄高新区</w:t>
      </w:r>
      <w:r>
        <w:rPr>
          <w:rFonts w:eastAsia="方正小标宋简体" w:hint="eastAsia"/>
          <w:kern w:val="0"/>
          <w:sz w:val="44"/>
          <w:szCs w:val="44"/>
        </w:rPr>
        <w:t>财政金融</w:t>
      </w:r>
      <w:r>
        <w:rPr>
          <w:rFonts w:eastAsia="方正小标宋简体" w:hint="eastAsia"/>
          <w:kern w:val="0"/>
          <w:sz w:val="44"/>
          <w:szCs w:val="44"/>
        </w:rPr>
        <w:t>局</w:t>
      </w:r>
      <w:r>
        <w:rPr>
          <w:rFonts w:eastAsia="方正小标宋简体" w:hint="eastAsia"/>
          <w:kern w:val="0"/>
          <w:sz w:val="44"/>
          <w:szCs w:val="44"/>
        </w:rPr>
        <w:t>202</w:t>
      </w:r>
      <w:r>
        <w:rPr>
          <w:rFonts w:eastAsia="方正小标宋简体" w:hint="eastAsia"/>
          <w:kern w:val="0"/>
          <w:sz w:val="44"/>
          <w:szCs w:val="44"/>
        </w:rPr>
        <w:t>1</w:t>
      </w:r>
      <w:r>
        <w:rPr>
          <w:rFonts w:eastAsia="方正小标宋简体" w:hint="eastAsia"/>
          <w:kern w:val="0"/>
          <w:sz w:val="44"/>
          <w:szCs w:val="44"/>
        </w:rPr>
        <w:t>年</w:t>
      </w:r>
      <w:r>
        <w:rPr>
          <w:rFonts w:eastAsia="方正小标宋简体"/>
          <w:kern w:val="0"/>
          <w:sz w:val="44"/>
          <w:szCs w:val="44"/>
        </w:rPr>
        <w:t>政府信息</w:t>
      </w:r>
    </w:p>
    <w:p w:rsidR="002246F8" w:rsidRDefault="0060313F"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公开工作年度报告</w:t>
      </w:r>
    </w:p>
    <w:p w:rsidR="002246F8" w:rsidRDefault="002246F8">
      <w:pPr>
        <w:pStyle w:val="2"/>
        <w:spacing w:after="0" w:line="600" w:lineRule="exact"/>
        <w:ind w:leftChars="0" w:left="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2246F8" w:rsidRDefault="0060313F">
      <w:pPr>
        <w:pStyle w:val="2"/>
        <w:spacing w:after="0" w:line="600" w:lineRule="exact"/>
        <w:ind w:leftChars="0" w:left="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年，高新区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财政金融</w:t>
      </w:r>
      <w:bookmarkStart w:id="0" w:name="_GoBack"/>
      <w:bookmarkEnd w:id="0"/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局坚持以习近平新时代中国特色社会主义思想为指导，全面贯彻党的十九大和十九届历次全会精神，认真学习并贯彻落实《中华人民共和国政府信息公开条例》等法律法规，紧紧围绕经济社会发展和群众关注关切问题，坚持以公开促落实、促规范、促服务，推进政务公开工作取得积极成效。本报告所列数据的统计时限自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日。本报告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在枣庄高新区官网（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http://www.zzctp.gov.cn/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）“政府信息公开年度报告”专栏公布。如对本年度政府信息公开工作年度报告有疑问，请与枣庄高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新区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财政金融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局综合管理科联系（联系电话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:0632-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8690966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，电子邮箱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gxqczjrj@163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.com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）。</w:t>
      </w:r>
    </w:p>
    <w:p w:rsidR="002246F8" w:rsidRDefault="0060313F">
      <w:pPr>
        <w:pStyle w:val="2"/>
        <w:spacing w:after="0" w:line="600" w:lineRule="exact"/>
        <w:ind w:leftChars="0" w:left="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2246F8" w:rsidRDefault="0060313F">
      <w:pPr>
        <w:pStyle w:val="2"/>
        <w:spacing w:after="0" w:line="600" w:lineRule="exact"/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年，枣庄高新区财政金融局认真贯彻落实《中共中央办公厅国务院办公厅关于进一步推行政务公开的意见》</w:t>
      </w:r>
      <w:r>
        <w:rPr>
          <w:rFonts w:ascii="仿宋_GB2312" w:eastAsia="仿宋_GB2312" w:hAnsi="仿宋_GB2312" w:cs="仿宋_GB2312"/>
          <w:sz w:val="32"/>
          <w:szCs w:val="32"/>
        </w:rPr>
        <w:t>《中华人民共和国政府信息公开条例》《山东省政府信息公开办法》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《枣庄高新区管理委员会办公室关于印发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年枣庄高新区政务公开工作实施方案的通知》（枣高管办发〔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号）要求，在区党工委、管委会的坚强领导和区政务公开办的指导下，遵循依法准确、及时、有效、便民的原则，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紧紧围绕财政中心工作，以提升政务公开质量为主线，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lastRenderedPageBreak/>
        <w:t>持续做好信息发布、解读回应、政民互动，着力推动行政权力全过程公开、公共服务全流程公开、社会关切全方位回应，以公开强监督、促落实、优服务，助力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本区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经济社会高质量发展。</w:t>
      </w:r>
    </w:p>
    <w:p w:rsidR="002246F8" w:rsidRDefault="0060313F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（一）主动公开情况</w:t>
      </w:r>
    </w:p>
    <w:p w:rsidR="002246F8" w:rsidRDefault="0060313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年，我局通过公开网站稿件</w:t>
      </w:r>
      <w:r>
        <w:rPr>
          <w:rFonts w:ascii="仿宋_GB2312" w:eastAsia="仿宋_GB2312" w:hAnsi="仿宋_GB2312" w:cs="仿宋_GB2312" w:hint="eastAsia"/>
          <w:sz w:val="32"/>
          <w:szCs w:val="32"/>
        </w:rPr>
        <w:t>138</w:t>
      </w:r>
      <w:r>
        <w:rPr>
          <w:rFonts w:ascii="仿宋_GB2312" w:eastAsia="仿宋_GB2312" w:hAnsi="仿宋_GB2312" w:cs="仿宋_GB2312" w:hint="eastAsia"/>
          <w:sz w:val="32"/>
          <w:szCs w:val="32"/>
        </w:rPr>
        <w:t>篇，包括机构职能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篇、政策文件及文件解读各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篇等各方面信息、部门会议及部门会议解读各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篇、行政权力运行公开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54</w:t>
      </w:r>
      <w:r>
        <w:rPr>
          <w:rFonts w:ascii="仿宋_GB2312" w:eastAsia="仿宋_GB2312" w:hAnsi="仿宋_GB2312" w:cs="仿宋_GB2312" w:hint="eastAsia"/>
          <w:sz w:val="32"/>
          <w:szCs w:val="32"/>
        </w:rPr>
        <w:t>篇、重点领域信息公开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47</w:t>
      </w:r>
      <w:r>
        <w:rPr>
          <w:rFonts w:ascii="仿宋_GB2312" w:eastAsia="仿宋_GB2312" w:hAnsi="仿宋_GB2312" w:cs="仿宋_GB2312" w:hint="eastAsia"/>
          <w:sz w:val="32"/>
          <w:szCs w:val="32"/>
        </w:rPr>
        <w:t>篇、主动公开基本目录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篇、制度建设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篇。</w:t>
      </w:r>
    </w:p>
    <w:p w:rsidR="002246F8" w:rsidRDefault="0060313F">
      <w:pPr>
        <w:pStyle w:val="2"/>
        <w:spacing w:after="0" w:line="600" w:lineRule="exact"/>
        <w:ind w:leftChars="0" w:left="0" w:firstLineChars="0" w:firstLine="0"/>
        <w:jc w:val="center"/>
      </w:pPr>
      <w:r>
        <w:rPr>
          <w:rFonts w:ascii="仿宋_GB2312" w:eastAsia="仿宋_GB2312" w:hAnsi="仿宋_GB2312" w:cs="仿宋_GB2312" w:hint="eastAsia"/>
          <w:sz w:val="32"/>
          <w:szCs w:val="32"/>
        </w:rPr>
        <w:t>政府信息主动公开稿件数量对比图</w:t>
      </w:r>
    </w:p>
    <w:p w:rsidR="002246F8" w:rsidRDefault="0060313F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114300</wp:posOffset>
            </wp:positionV>
            <wp:extent cx="5271135" cy="3178810"/>
            <wp:effectExtent l="0" t="0" r="5715" b="2540"/>
            <wp:wrapNone/>
            <wp:docPr id="1" name="图片 1" descr="a79068bb82b5e5485da760a052a1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9068bb82b5e5485da760a052a16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6F8" w:rsidRDefault="002246F8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</w:p>
    <w:p w:rsidR="002246F8" w:rsidRDefault="002246F8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</w:p>
    <w:p w:rsidR="002246F8" w:rsidRDefault="002246F8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</w:p>
    <w:p w:rsidR="002246F8" w:rsidRDefault="002246F8">
      <w:pPr>
        <w:pStyle w:val="2"/>
        <w:ind w:firstLine="643"/>
        <w:rPr>
          <w:rFonts w:ascii="楷体" w:eastAsia="楷体" w:hAnsi="楷体" w:cs="楷体"/>
          <w:b/>
          <w:bCs/>
          <w:sz w:val="32"/>
          <w:szCs w:val="32"/>
        </w:rPr>
      </w:pPr>
    </w:p>
    <w:p w:rsidR="002246F8" w:rsidRDefault="002246F8"/>
    <w:p w:rsidR="002246F8" w:rsidRDefault="002246F8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</w:p>
    <w:p w:rsidR="002246F8" w:rsidRDefault="002246F8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</w:p>
    <w:p w:rsidR="002246F8" w:rsidRDefault="002246F8">
      <w:pPr>
        <w:spacing w:line="60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2246F8" w:rsidRDefault="0060313F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（二）依申请公开政府信息工作情况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</w:t>
      </w:r>
    </w:p>
    <w:p w:rsidR="002246F8" w:rsidRDefault="0060313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年，我局共收到依申请公开件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件，全面做好依申请公开政府信息工作。</w:t>
      </w:r>
    </w:p>
    <w:p w:rsidR="002246F8" w:rsidRDefault="0060313F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（三）政府信息管理情况</w:t>
      </w:r>
    </w:p>
    <w:p w:rsidR="002246F8" w:rsidRDefault="0060313F">
      <w:pPr>
        <w:pStyle w:val="a4"/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微软雅黑"/>
          <w:color w:val="000000"/>
          <w:szCs w:val="24"/>
        </w:rPr>
      </w:pP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lastRenderedPageBreak/>
        <w:t>一是完善信息公开管理流程。对政府信息公开工作实行全流程管理，明确经办人员、科室负责人、分管领导分别审核的把关机制，重要信息须局主要负责人把关审签，最大限度保证公开内容经得起审查。</w:t>
      </w:r>
    </w:p>
    <w:p w:rsidR="002246F8" w:rsidRDefault="0060313F">
      <w:pPr>
        <w:pStyle w:val="a4"/>
        <w:widowControl/>
        <w:shd w:val="clear" w:color="auto" w:fill="FFFFFF"/>
        <w:spacing w:line="576" w:lineRule="atLeast"/>
        <w:ind w:firstLine="634"/>
        <w:rPr>
          <w:rFonts w:ascii="微软雅黑" w:eastAsia="微软雅黑" w:hAnsi="微软雅黑" w:cs="微软雅黑"/>
          <w:color w:val="000000"/>
          <w:szCs w:val="24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 w:rsidR="002246F8" w:rsidRDefault="0060313F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（四）平台建设情况</w:t>
      </w:r>
    </w:p>
    <w:p w:rsidR="002246F8" w:rsidRDefault="0060313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严格按照政府信息公开目录，依托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高新区管委会门户网站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在财政金融局各子栏目分门别类、准确、规范地发布主动公开各类财政相关信息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确保信息公开时效。二是依托“山东省政府采购信息公开平台”和“枣庄市公共资源交易网”，督促各预算单位主动公开政府采购需求公开、采购公告、结果公告、合同公开、验收公开等有关信息，提高政府采购透明度。</w:t>
      </w:r>
    </w:p>
    <w:p w:rsidR="002246F8" w:rsidRDefault="0060313F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（五）监督保障情况</w:t>
      </w:r>
    </w:p>
    <w:p w:rsidR="002246F8" w:rsidRDefault="0060313F">
      <w:pPr>
        <w:pStyle w:val="a4"/>
        <w:widowControl/>
        <w:shd w:val="clear" w:color="auto" w:fill="FFFFFF"/>
        <w:spacing w:line="576" w:lineRule="atLeast"/>
        <w:ind w:firstLine="619"/>
        <w:rPr>
          <w:rFonts w:ascii="仿宋_GB2312" w:eastAsia="仿宋_GB2312" w:hAnsi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、完善工作机构。为配合做好政务信息公开工作的考核、社会评议和责任追究工作，积极督促各科室按照信息公开目录，及时准确提供本单位应公开的信息。</w:t>
      </w:r>
    </w:p>
    <w:p w:rsidR="002246F8" w:rsidRDefault="0060313F">
      <w:pPr>
        <w:pStyle w:val="a4"/>
        <w:widowControl/>
        <w:shd w:val="clear" w:color="auto" w:fill="FFFFFF"/>
        <w:spacing w:line="576" w:lineRule="atLeast"/>
        <w:ind w:firstLine="619"/>
        <w:rPr>
          <w:rFonts w:ascii="仿宋_GB2312" w:eastAsia="仿宋_GB2312" w:hAnsi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lastRenderedPageBreak/>
        <w:t>2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、强化工作督查。为提高依法公开水平，我局在推进政府信息公开工作的过程中，严格依法管理，强化督促检查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积极贯彻实施信息督查检查制度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广泛接受服务对象的监督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，使政府信息公开工作制度化和规范化。</w:t>
      </w:r>
    </w:p>
    <w:p w:rsidR="002246F8" w:rsidRDefault="0060313F">
      <w:pPr>
        <w:pStyle w:val="2"/>
        <w:spacing w:after="0" w:line="600" w:lineRule="exact"/>
        <w:ind w:leftChars="0" w:left="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824" w:type="dxa"/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</w:tblGrid>
      <w:tr w:rsidR="002246F8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2246F8" w:rsidRDefault="0060313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2246F8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现行有效件数</w:t>
            </w:r>
          </w:p>
        </w:tc>
      </w:tr>
      <w:tr w:rsidR="002246F8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Cs w:val="21"/>
              </w:rPr>
              <w:t>0</w:t>
            </w:r>
          </w:p>
        </w:tc>
      </w:tr>
      <w:tr w:rsidR="002246F8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Cs w:val="21"/>
              </w:rPr>
              <w:t>0</w:t>
            </w:r>
          </w:p>
        </w:tc>
      </w:tr>
      <w:tr w:rsidR="002246F8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2246F8" w:rsidRDefault="0060313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2246F8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2246F8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Cs w:val="21"/>
              </w:rPr>
              <w:t>0</w:t>
            </w:r>
          </w:p>
        </w:tc>
      </w:tr>
      <w:tr w:rsidR="002246F8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2246F8" w:rsidRDefault="0060313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2246F8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2246F8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2246F8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2246F8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2246F8" w:rsidRDefault="0060313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2246F8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2246F8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46F8" w:rsidRDefault="0060313F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2246F8" w:rsidRDefault="0060313F">
      <w:pPr>
        <w:pStyle w:val="2"/>
        <w:spacing w:after="0" w:line="600" w:lineRule="exact"/>
        <w:ind w:leftChars="0" w:left="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:rsidR="002246F8">
        <w:trPr>
          <w:trHeight w:val="413"/>
          <w:jc w:val="center"/>
        </w:trPr>
        <w:tc>
          <w:tcPr>
            <w:tcW w:w="5093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jc w:val="center"/>
              <w:rPr>
                <w:rFonts w:ascii="楷体_GB2312" w:eastAsia="楷体_GB2312" w:hAnsi="黑体"/>
                <w:kern w:val="0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（本列数据的勾稽关系为：第一项加第二项之和，</w:t>
            </w:r>
          </w:p>
          <w:p w:rsidR="002246F8" w:rsidRDefault="0060313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申请人情况</w:t>
            </w:r>
          </w:p>
        </w:tc>
      </w:tr>
      <w:tr w:rsidR="002246F8">
        <w:trPr>
          <w:trHeight w:val="425"/>
          <w:jc w:val="center"/>
        </w:trPr>
        <w:tc>
          <w:tcPr>
            <w:tcW w:w="5093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总计</w:t>
            </w:r>
          </w:p>
        </w:tc>
      </w:tr>
      <w:tr w:rsidR="002246F8">
        <w:trPr>
          <w:trHeight w:val="322"/>
          <w:jc w:val="center"/>
        </w:trPr>
        <w:tc>
          <w:tcPr>
            <w:tcW w:w="5093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360" w:lineRule="exact"/>
              <w:ind w:leftChars="-30" w:left="-63" w:rightChars="-64" w:right="-134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46F8">
        <w:trPr>
          <w:trHeight w:val="20"/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lastRenderedPageBreak/>
              <w:t>一、</w:t>
            </w:r>
            <w:bookmarkStart w:id="1" w:name="_Hlk66973412"/>
            <w:r>
              <w:rPr>
                <w:rFonts w:ascii="黑体" w:eastAsia="黑体" w:hAnsi="黑体" w:hint="eastAsia"/>
                <w:kern w:val="0"/>
                <w:szCs w:val="21"/>
              </w:rPr>
              <w:t>本年新收政府信息公开申请数量</w:t>
            </w:r>
            <w:bookmarkEnd w:id="1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val="20"/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jc w:val="center"/>
        </w:trPr>
        <w:tc>
          <w:tcPr>
            <w:tcW w:w="41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（二）部分公开（</w:t>
            </w:r>
            <w:bookmarkStart w:id="2" w:name="_Hlk66973981"/>
            <w:r>
              <w:rPr>
                <w:rFonts w:ascii="黑体" w:eastAsia="黑体" w:hAnsi="黑体" w:hint="eastAsia"/>
                <w:kern w:val="0"/>
                <w:szCs w:val="21"/>
              </w:rPr>
              <w:t>区分处理的，只计这一情形，不计其他情形</w:t>
            </w:r>
            <w:bookmarkEnd w:id="2"/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ind w:leftChars="-51" w:left="-107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属于国家秘密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spacing w:line="20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bookmarkStart w:id="3" w:name="_Hlk66974104"/>
            <w:r>
              <w:rPr>
                <w:rFonts w:ascii="仿宋_GB2312" w:eastAsia="仿宋_GB2312" w:hAnsi="黑体" w:hint="eastAsia"/>
                <w:kern w:val="0"/>
                <w:szCs w:val="21"/>
              </w:rPr>
              <w:t>其他法律行政法规禁止公开</w:t>
            </w:r>
            <w:bookmarkEnd w:id="3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spacing w:line="20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危及“三安全一稳定”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spacing w:line="20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4.</w:t>
            </w:r>
            <w:bookmarkStart w:id="4" w:name="_Hlk66974290"/>
            <w:r>
              <w:rPr>
                <w:rFonts w:ascii="仿宋_GB2312" w:eastAsia="仿宋_GB2312" w:hAnsi="黑体" w:hint="eastAsia"/>
                <w:kern w:val="0"/>
                <w:szCs w:val="21"/>
              </w:rPr>
              <w:t>保护第三方合法权益</w:t>
            </w:r>
            <w:bookmarkEnd w:id="4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spacing w:line="20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5.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属于三类内部事务信息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spacing w:line="20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6.</w:t>
            </w:r>
            <w:bookmarkStart w:id="5" w:name="_Hlk66974555"/>
            <w:r>
              <w:rPr>
                <w:rFonts w:ascii="仿宋_GB2312" w:eastAsia="仿宋_GB2312" w:hAnsi="黑体" w:hint="eastAsia"/>
                <w:kern w:val="0"/>
                <w:szCs w:val="21"/>
              </w:rPr>
              <w:t>属于四类过程性信息</w:t>
            </w:r>
            <w:bookmarkEnd w:id="5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spacing w:line="20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7.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属于行政执法案卷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spacing w:line="20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8.</w:t>
            </w:r>
            <w:bookmarkStart w:id="6" w:name="_Hlk66975211"/>
            <w:r>
              <w:rPr>
                <w:rFonts w:ascii="仿宋_GB2312" w:eastAsia="仿宋_GB2312" w:hAnsi="黑体" w:hint="eastAsia"/>
                <w:kern w:val="0"/>
                <w:szCs w:val="21"/>
              </w:rPr>
              <w:t>属于行政查询事项</w:t>
            </w:r>
            <w:bookmarkEnd w:id="6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ind w:leftChars="-51" w:left="-107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本机关不掌握相关政府信息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spacing w:line="200" w:lineRule="exact"/>
              <w:ind w:leftChars="-51" w:left="-107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bookmarkStart w:id="7" w:name="_Hlk66975392"/>
            <w:r>
              <w:rPr>
                <w:rFonts w:ascii="仿宋_GB2312" w:eastAsia="仿宋_GB2312" w:hAnsi="黑体" w:hint="eastAsia"/>
                <w:kern w:val="0"/>
                <w:szCs w:val="21"/>
              </w:rPr>
              <w:t>没有现成信息需要另行制作</w:t>
            </w:r>
            <w:bookmarkEnd w:id="7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spacing w:line="200" w:lineRule="exact"/>
              <w:ind w:leftChars="-51" w:left="-107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</w:t>
            </w:r>
            <w:bookmarkStart w:id="8" w:name="_Hlk66975466"/>
            <w:r>
              <w:rPr>
                <w:rFonts w:ascii="仿宋_GB2312" w:eastAsia="仿宋_GB2312" w:hAnsi="黑体" w:hint="eastAsia"/>
                <w:kern w:val="0"/>
                <w:szCs w:val="21"/>
              </w:rPr>
              <w:t>补正后申请内容仍不明确</w:t>
            </w:r>
            <w:bookmarkEnd w:id="8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ind w:leftChars="-51" w:left="-107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</w:t>
            </w:r>
            <w:bookmarkStart w:id="9" w:name="_Hlk66975537"/>
            <w:r>
              <w:rPr>
                <w:rFonts w:ascii="仿宋_GB2312" w:eastAsia="仿宋_GB2312" w:hAnsi="黑体" w:hint="eastAsia"/>
                <w:kern w:val="0"/>
                <w:szCs w:val="21"/>
              </w:rPr>
              <w:t>信访举报投诉类申请</w:t>
            </w:r>
            <w:bookmarkEnd w:id="9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spacing w:line="20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重复申请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spacing w:line="20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要求提供公开出版物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trHeight w:hRule="exact" w:val="397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spacing w:line="20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4.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无正当理由大量反复申请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spacing w:line="20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5.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要求行政机关确认或重新</w:t>
            </w:r>
          </w:p>
          <w:p w:rsidR="002246F8" w:rsidRDefault="0060313F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300" w:lineRule="exact"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vAlign w:val="center"/>
          </w:tcPr>
          <w:p w:rsidR="002246F8" w:rsidRDefault="0060313F">
            <w:pPr>
              <w:widowControl/>
              <w:spacing w:line="300" w:lineRule="exact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1.</w:t>
            </w:r>
            <w:r>
              <w:rPr>
                <w:rFonts w:ascii="仿宋_GB2312" w:eastAsia="仿宋_GB2312" w:hAnsi="楷体" w:hint="eastAsia"/>
              </w:rPr>
              <w:t>申请人无正当理由逾期不补正、行政机关不再处理其政府信息公开申请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2246F8" w:rsidRDefault="0060313F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2.</w:t>
            </w:r>
            <w:r>
              <w:rPr>
                <w:rFonts w:ascii="仿宋_GB2312" w:eastAsia="仿宋_GB2312" w:hAnsi="楷体" w:hint="eastAsia"/>
              </w:rPr>
              <w:t>申请人逾期未按收费通知要求缴纳费用、行政机关不再处理其政府信息公开申请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2246F8" w:rsidRDefault="0060313F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3.</w:t>
            </w:r>
            <w:r>
              <w:rPr>
                <w:rFonts w:ascii="仿宋_GB2312" w:eastAsia="仿宋_GB2312" w:hAnsi="楷体" w:hint="eastAsia"/>
              </w:rPr>
              <w:t>其他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2246F8">
        <w:trPr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</w:tbl>
    <w:p w:rsidR="002246F8" w:rsidRDefault="0060313F">
      <w:pPr>
        <w:pStyle w:val="2"/>
        <w:spacing w:after="0" w:line="600" w:lineRule="exact"/>
        <w:ind w:leftChars="0" w:left="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246F8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lastRenderedPageBreak/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行政诉讼</w:t>
            </w:r>
          </w:p>
        </w:tc>
      </w:tr>
      <w:tr w:rsidR="002246F8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ind w:leftChars="-71" w:left="-149" w:rightChars="-81" w:right="-17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结果</w:t>
            </w:r>
          </w:p>
          <w:p w:rsidR="002246F8" w:rsidRDefault="0060313F">
            <w:pPr>
              <w:widowControl/>
              <w:ind w:leftChars="-71" w:left="-149" w:rightChars="-81" w:right="-17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ind w:leftChars="-21" w:left="-43" w:rightChars="-63" w:right="-132" w:hanging="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ind w:leftChars="-39" w:left="-82" w:rightChars="-46" w:right="-9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ind w:leftChars="-56" w:left="-118" w:rightChars="-56" w:right="-118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尚未</w:t>
            </w:r>
          </w:p>
          <w:p w:rsidR="002246F8" w:rsidRDefault="0060313F">
            <w:pPr>
              <w:widowControl/>
              <w:ind w:leftChars="-56" w:left="-118" w:rightChars="-56" w:right="-11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总</w:t>
            </w:r>
          </w:p>
          <w:p w:rsidR="002246F8" w:rsidRDefault="0060313F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jc w:val="center"/>
              <w:rPr>
                <w:rFonts w:ascii="黑体" w:eastAsia="黑体" w:hAnsi="黑体"/>
              </w:rPr>
            </w:pPr>
            <w:bookmarkStart w:id="10" w:name="_Hlk67039688"/>
            <w:r>
              <w:rPr>
                <w:rFonts w:ascii="黑体" w:eastAsia="黑体" w:hAnsi="黑体"/>
                <w:kern w:val="0"/>
                <w:sz w:val="20"/>
              </w:rPr>
              <w:t>复议后起诉</w:t>
            </w:r>
            <w:bookmarkEnd w:id="10"/>
          </w:p>
        </w:tc>
      </w:tr>
      <w:tr w:rsidR="002246F8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2246F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ind w:leftChars="-50" w:left="-105" w:rightChars="-60" w:right="-12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ind w:leftChars="-41" w:left="-86" w:rightChars="-42" w:right="-8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ind w:leftChars="-60" w:left="-126" w:rightChars="-65" w:right="-136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其他</w:t>
            </w:r>
          </w:p>
          <w:p w:rsidR="002246F8" w:rsidRDefault="0060313F">
            <w:pPr>
              <w:widowControl/>
              <w:ind w:leftChars="-60" w:left="-126" w:rightChars="-65" w:right="-13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ind w:leftChars="-78" w:left="-164" w:rightChars="-73" w:right="-153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尚未</w:t>
            </w:r>
          </w:p>
          <w:p w:rsidR="002246F8" w:rsidRDefault="0060313F">
            <w:pPr>
              <w:widowControl/>
              <w:ind w:leftChars="-78" w:left="-164" w:rightChars="-73" w:right="-15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ind w:leftChars="-47" w:left="-99" w:rightChars="-37" w:right="-7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ind w:leftChars="-65" w:left="-136" w:rightChars="-59" w:right="-124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结果</w:t>
            </w:r>
          </w:p>
          <w:p w:rsidR="002246F8" w:rsidRDefault="0060313F">
            <w:pPr>
              <w:widowControl/>
              <w:ind w:leftChars="-65" w:left="-136" w:rightChars="-59" w:right="-124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ind w:leftChars="-83" w:left="-173" w:rightChars="-64" w:right="-134" w:hanging="1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其他</w:t>
            </w:r>
          </w:p>
          <w:p w:rsidR="002246F8" w:rsidRDefault="0060313F">
            <w:pPr>
              <w:widowControl/>
              <w:ind w:leftChars="-83" w:left="-173" w:rightChars="-64" w:right="-134" w:hanging="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ind w:leftChars="-33" w:left="-67" w:rightChars="-50" w:right="-105" w:hangingChars="1" w:hanging="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</w:rPr>
              <w:t>总计</w:t>
            </w:r>
          </w:p>
        </w:tc>
      </w:tr>
      <w:tr w:rsidR="002246F8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ind w:firstLineChars="100" w:firstLine="210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F8" w:rsidRDefault="0060313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2246F8" w:rsidRDefault="0060313F">
      <w:pPr>
        <w:pStyle w:val="2"/>
        <w:spacing w:after="0" w:line="600" w:lineRule="exact"/>
        <w:ind w:leftChars="0" w:left="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五、存在的主要问题及改进情况</w:t>
      </w:r>
    </w:p>
    <w:p w:rsidR="002246F8" w:rsidRDefault="0060313F">
      <w:pPr>
        <w:pStyle w:val="2"/>
        <w:spacing w:after="0" w:line="600" w:lineRule="exact"/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年，我局政府信息公开工作虽取得了一定成绩，但也还存在一些问题：如，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协同推进政务公开局面未形成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个别科室对政务公开工作重视程度不够、主体意识不强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部分栏目内容不够丰富；信息更新还不够及时高效；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对政务公开工作研究不足、主动性差。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结合以上不足，我局将采取以下措施完善信息公开工作：</w:t>
      </w:r>
    </w:p>
    <w:p w:rsidR="002246F8" w:rsidRDefault="0060313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一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是持续强化队伍建设。努力克服人手不足困难，切实提高专业化水平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二是加强信息公开主阵地建设，加大信息报送力度，增强信息发布时效性，建立互动、方便、及时的信息发布机制，主动回应社会。三是加强对干部职工的政府信息公开工作知识的学习和培训，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定期举办政务公开工作培训，提高培训的针对性和实效性。</w:t>
      </w:r>
    </w:p>
    <w:p w:rsidR="002246F8" w:rsidRDefault="0060313F">
      <w:pPr>
        <w:pStyle w:val="2"/>
        <w:spacing w:after="0" w:line="600" w:lineRule="exact"/>
        <w:ind w:leftChars="0" w:left="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2246F8" w:rsidRDefault="0060313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2246F8" w:rsidRDefault="002246F8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2246F8" w:rsidRDefault="0060313F">
      <w:pPr>
        <w:pStyle w:val="2"/>
        <w:spacing w:after="0"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枣庄高新区财政金融局</w:t>
      </w:r>
    </w:p>
    <w:p w:rsidR="002246F8" w:rsidRDefault="0060313F">
      <w:pPr>
        <w:spacing w:line="600" w:lineRule="exact"/>
        <w:jc w:val="center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224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D76FF5"/>
    <w:rsid w:val="002246F8"/>
    <w:rsid w:val="0060313F"/>
    <w:rsid w:val="0C8310F1"/>
    <w:rsid w:val="0CB97065"/>
    <w:rsid w:val="12604D05"/>
    <w:rsid w:val="12FB0922"/>
    <w:rsid w:val="1D1F4EB4"/>
    <w:rsid w:val="276B3214"/>
    <w:rsid w:val="31CE3307"/>
    <w:rsid w:val="37053DC6"/>
    <w:rsid w:val="45A34105"/>
    <w:rsid w:val="4EFC389E"/>
    <w:rsid w:val="548E1F89"/>
    <w:rsid w:val="5C1714AC"/>
    <w:rsid w:val="5DC911AA"/>
    <w:rsid w:val="5EE77BE8"/>
    <w:rsid w:val="5FD611B6"/>
    <w:rsid w:val="60957AFE"/>
    <w:rsid w:val="67C94954"/>
    <w:rsid w:val="67FB4C27"/>
    <w:rsid w:val="71C329B0"/>
    <w:rsid w:val="7BD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6BEE73"/>
  <w15:docId w15:val="{A560FFE6-0E17-44E7-BD38-886EE885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jc w:val="left"/>
    </w:pPr>
    <w:rPr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</dc:creator>
  <cp:lastModifiedBy>Administrator</cp:lastModifiedBy>
  <cp:revision>2</cp:revision>
  <cp:lastPrinted>2022-01-19T02:31:00Z</cp:lastPrinted>
  <dcterms:created xsi:type="dcterms:W3CDTF">2022-01-17T08:07:00Z</dcterms:created>
  <dcterms:modified xsi:type="dcterms:W3CDTF">2022-03-14T07:52:00Z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FCDE93A5EBB74C3DBB71FF1039AA4EAA</vt:lpwstr>
  </property>
</Properties>
</file>