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枣庄高新区2020年度政府信息公开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firstLine="3110" w:firstLineChars="707"/>
        <w:jc w:val="both"/>
        <w:textAlignment w:val="auto"/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line="315" w:lineRule="atLeast"/>
        <w:ind w:left="0" w:firstLine="64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根据《中华人民共和国政府信息公开条例》《国办政府信息公开年度报告有关事项通知》《山东省政府信息公开办法》要求，现向社会公开枣庄高新区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2020年政府信息公开工作年度报告。全文包括总体情况、主动公开政府信息情况、收到和处理政府信息公开申请情况、政府信息公开行政复议及行政诉讼情况、存在的主要问题及改进情况、其他需要报告的事项。本年度报告中所列数据统计时间为2020年1月1日至2020年12月31日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一、总体情况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枣庄高新区认真贯彻落实《中华人民共和国政府信息公开条例》《国办政府信息公开年度报告有关事项通知》《山东省政府信息公开办法》规定的有关通知要求，紧紧围绕中心工作及公众关切，坚持“以公开为常态，不公开为例外”原则，全面落实政府信息公开条例，夯实主动公开工作基础，规范依申请公开办理流程，建立健全政府信息公开工作管理机制，提升政府信息公开平台建设，加大监督保障力度，全力推进政府信息公开工作。2020年高新区门户网站共公开各类信息5487条，更新机关职能、机构设置、办公地址、办公时间、联系方式、负责人姓名等信息23条；按期公布国民经济和社会发展规划、专项规划、区域规划及相关政策、国民经济和社会发展统计信息23条；发布财政预算、决算信息20条；公布行政许可、其他对外管理服务事项、行政处罚、行政强制以及本行政机关认为具有一定社会影响的行政决定的依据84条；发布环境保护、公共卫生、安全生产、食品药品、产品质量的监督检查情况92条;发布重大建设项目的批准和实施情况119条；全面、精准解读相关政策措施，切实做到政策性文件与解读方案、解读材料同步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（一）主动公开政府信息数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主动公开政府信息</w:t>
      </w:r>
      <w:r>
        <w:rPr>
          <w:rFonts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8129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（二）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通过不同渠道和方式公开政府信息的情况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1、政府网站。通过政府门户网站公开政府信息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5487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占比68%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2、政务微信。发布信息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1387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条，占比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17%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   3、其他方式。公开各类政府信息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1255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条，占比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15%。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4914900" cy="2809875"/>
            <wp:effectExtent l="0" t="0" r="0" b="9525"/>
            <wp:docPr id="2" name="图片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2020年不同渠道和方式公开政府信息占比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    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(三)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回应解读情况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回应公众关注热点或重大舆情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次，政府网站在线访谈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19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次，政策解读稿件发布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次，微博微信回应事件数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61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次，其他方式回应事件数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55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(四)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依申请公开情况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高新区收到申请数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件，其中，网络申请数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8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件，信函申请数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件，按时办结数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9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1"/>
          <w:szCs w:val="31"/>
        </w:rPr>
        <w:t>(</w:t>
      </w: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五)政府信息公开申请提起行政复议、行政诉讼、被举报投诉的情况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高新区没有发生针对政府信息公开事务的行政复议申请、行政诉讼案件以及被举报投诉的情况。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(六)政府信息平台建设情况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区党政综合办公室是政府信息公开工作的主管部门，负责推进、指导、协调、监督全区信息公开工作。全区各部门单位从事政府信息公开工作专（兼）职人员共计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33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人,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2020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年全区召开信息公开专题会议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5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次，举办各类培训班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次，接受培训人数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330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人次。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（七）政府信息管理情况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按照国家政府信息公开工作主管部门统一部署，高新区统一规范设置政府信息公开专栏，加强政府信息公开指南、年报、制度、法定主动公开内容等政府信息资源的梳理、归集，同时优化栏目页面设置，运用列表、超链接等方式展示相关内容。注重加强平台衔接，坚持数据同源，整合政务服务、政民互动等专业系统平台，信息获取更加便捷、规范、权威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_GB2312" w:hAnsi="sans-serif" w:eastAsia="楷体_GB2312" w:cs="楷体_GB2312"/>
          <w:i w:val="0"/>
          <w:iCs w:val="0"/>
          <w:caps w:val="0"/>
          <w:color w:val="000000"/>
          <w:spacing w:val="0"/>
          <w:sz w:val="31"/>
          <w:szCs w:val="31"/>
        </w:rPr>
        <w:t>（八）监督保障情况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1.加强日常监督机制。每月定期监测通报各部门主动公开、办事服务、政策解读、互动交流、网站和政务新媒体运行等工作情况。严格落实政务公开责任制和目标管理制，及时指出监督工作中的共性或个性问题，为各部门开展自我监督提供借鉴和指导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.加大考核培训力度。举办网站与政务新媒体建设、政务公开与政府公报、政务信息工作培训班，进一步提升工作人员业务能力和水平。发挥考核“指挥棒”作用，促进公开工作规范有序开展，形成工作有部署、实施有检查、年终有考核、违规违纪有责任追究的工作机制，确保广大人民群众的知情权、参与权和监督权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drawing>
          <wp:inline distT="0" distB="0" distL="114300" distR="114300">
            <wp:extent cx="5191125" cy="6219825"/>
            <wp:effectExtent l="0" t="0" r="9525" b="9525"/>
            <wp:docPr id="1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820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590"/>
        <w:gridCol w:w="665"/>
        <w:gridCol w:w="2013"/>
        <w:gridCol w:w="457"/>
        <w:gridCol w:w="457"/>
        <w:gridCol w:w="457"/>
        <w:gridCol w:w="556"/>
        <w:gridCol w:w="570"/>
        <w:gridCol w:w="428"/>
        <w:gridCol w:w="817"/>
        <w:gridCol w:w="11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vMerge w:val="restart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665" w:type="dxa"/>
            <w:gridSpan w:val="8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自然人</w:t>
            </w:r>
          </w:p>
        </w:tc>
        <w:tc>
          <w:tcPr>
            <w:tcW w:w="3375" w:type="dxa"/>
            <w:gridSpan w:val="6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法人或其他组织</w:t>
            </w:r>
          </w:p>
        </w:tc>
        <w:tc>
          <w:tcPr>
            <w:tcW w:w="40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vMerge w:val="continue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商业企业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科研机构</w:t>
            </w:r>
          </w:p>
        </w:tc>
        <w:tc>
          <w:tcPr>
            <w:tcW w:w="57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社会公益组织</w:t>
            </w:r>
          </w:p>
        </w:tc>
        <w:tc>
          <w:tcPr>
            <w:tcW w:w="58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法律服务机构</w:t>
            </w:r>
          </w:p>
        </w:tc>
        <w:tc>
          <w:tcPr>
            <w:tcW w:w="4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</w:t>
            </w:r>
          </w:p>
        </w:tc>
        <w:tc>
          <w:tcPr>
            <w:tcW w:w="43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0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三、本年度办理结果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（一）予以公开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（三）不予公开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1.属于国家秘密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2.其他法律行政法规禁止公开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3.危及“三安全一稳定”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4.保护第三方合法权益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5.属于三类内部事务信息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6.属于四类过程性信息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7.属于行政执法案卷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8.属于行政查询事项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（四）无法提供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1.本机关不掌握相关政府信息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rFonts w:hint="default"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rFonts w:hint="default" w:ascii="Calibri" w:hAnsi="Calibri" w:cs="Calibri"/>
                <w:sz w:val="18"/>
                <w:szCs w:val="18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2.没有现成信息需要另行制作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Calibri" w:hAnsi="Calibri" w:cs="Calibri"/>
                <w:sz w:val="18"/>
                <w:szCs w:val="18"/>
              </w:rPr>
              <w:t>3 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rFonts w:hint="default" w:ascii="Calibri" w:hAnsi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3.补正后申请内容仍不明确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（五）不予处理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1.信访举报投诉类申请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2.重复申请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3.要求提供公开出版物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4.无正当理由大量反复申请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（六）其他处理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90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（七）总计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05" w:type="dxa"/>
            <w:gridSpan w:val="3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四、结转下年度继续办理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 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tbl>
      <w:tblPr>
        <w:tblStyle w:val="5"/>
        <w:tblW w:w="868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422"/>
        <w:gridCol w:w="386"/>
        <w:gridCol w:w="386"/>
        <w:gridCol w:w="386"/>
        <w:gridCol w:w="1285"/>
        <w:gridCol w:w="340"/>
        <w:gridCol w:w="386"/>
        <w:gridCol w:w="386"/>
        <w:gridCol w:w="386"/>
        <w:gridCol w:w="1281"/>
        <w:gridCol w:w="401"/>
        <w:gridCol w:w="401"/>
        <w:gridCol w:w="401"/>
        <w:gridCol w:w="401"/>
        <w:gridCol w:w="143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2610" w:type="dxa"/>
            <w:gridSpan w:val="5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行政复议</w:t>
            </w:r>
          </w:p>
        </w:tc>
        <w:tc>
          <w:tcPr>
            <w:tcW w:w="5655" w:type="dxa"/>
            <w:gridSpan w:val="10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vMerge w:val="restart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7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7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435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总计</w:t>
            </w:r>
          </w:p>
        </w:tc>
        <w:tc>
          <w:tcPr>
            <w:tcW w:w="2700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未经复议直接起诉</w:t>
            </w:r>
          </w:p>
        </w:tc>
        <w:tc>
          <w:tcPr>
            <w:tcW w:w="2745" w:type="dxa"/>
            <w:gridSpan w:val="5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vMerge w:val="continue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5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其他结果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95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bottom w:w="0" w:type="dxa"/>
              <w:right w:w="11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tLeast"/>
        <w:ind w:left="0" w:right="0" w:firstLine="634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高新区政府信息公开工作中仍存在一些困难和不足，主要表现为：一是信息公开时效、质量有待加强。我区政府信息公开工作业务量大、时限要求严、专职人员少，信息公开工作需进一步制度化、规范化，信息发布的时效性需要进一步提升。二是政务信息公开平台联动机制建设不足。当前我区政务信息公开工作存在着平台散、信息杂、联动少的特点，尤其在新媒体方面缺少统一的规范、协调机制，不利于公众及时获取准确、权威的官方信息，对政府公信力也存在一定影响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    针对以上问题，为使高新区的政府信息公开工作得到进一步完善，促进高新区政府信息公开特色化、完整化，下步工作中，将从以下三个方面抓好落实：一是强化月调度推进机制</w:t>
      </w:r>
      <w:r>
        <w:rPr>
          <w:rStyle w:val="7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制发《高新区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年度月份门户网站工作进展通报》，紧紧围绕重点工作、重大项目信息发布情况及信息发布时效性情况进行通报，以制度推进门户网站维护情况落实。二是加强培训推进队伍建设。制定</w:t>
      </w:r>
      <w:r>
        <w:rPr>
          <w:rFonts w:hint="default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1"/>
          <w:szCs w:val="31"/>
        </w:rPr>
        <w:t>2021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政务公开培训计划，通过分级、分类培训、座谈交流会的方式，进一步提高思想认识，加大工作力度，创新工作方式，加强信息发布质量、数量、时效性，强化依申请公开、咨询答复回复规范性，把政府信息公开工作推向专业化、规范化。三是做好信息公开渠道优化整合。明确政府门户网站信息公开第一平台地位，加强对“两微一端”政务新媒体的协同、整合，扩大政府信息受众面、传播力，更好保障人民群众知情权、监督权，维护政府公信力。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pacing w:line="315" w:lineRule="atLeast"/>
        <w:ind w:lef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本报告的电子版可在枣庄高新区政务门户网站（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http://www.zzctp.gov.cn/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）下载。如对本年度政府信息公开工作年度报告有疑问，请与枣庄高新区党政综合办公室信息科联系（联系电话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:0632-8626577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，电子邮箱: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</w:rPr>
        <w:t>gxqzwgkb@163.com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）。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0000000"/>
    <w:rsid w:val="094A4871"/>
    <w:rsid w:val="0BC81BCB"/>
    <w:rsid w:val="1295087A"/>
    <w:rsid w:val="501F0330"/>
    <w:rsid w:val="53F914F9"/>
    <w:rsid w:val="55053DCA"/>
    <w:rsid w:val="5B17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2882</Words>
  <Characters>3025</Characters>
  <Lines>0</Lines>
  <Paragraphs>0</Paragraphs>
  <TotalTime>7</TotalTime>
  <ScaleCrop>false</ScaleCrop>
  <LinksUpToDate>false</LinksUpToDate>
  <CharactersWithSpaces>3031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2021-05-24T03:00:00Z</dcterms:created>
  <dc:creator>Administrator</dc:creator>
  <cp:lastModifiedBy>Administrator</cp:lastModifiedBy>
  <dcterms:modified xsi:type="dcterms:W3CDTF">2023-07-03T02:45:18Z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B2493909C1EC4E7EA5DAAA2D43DCDE67_13</vt:lpwstr>
  </property>
</Properties>
</file>