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黑体" w:hAnsi="宋体" w:eastAsia="黑体" w:cs="黑体"/>
          <w:color w:val="000000"/>
          <w:kern w:val="0"/>
          <w:sz w:val="28"/>
          <w:szCs w:val="28"/>
          <w:lang w:val="en-US" w:eastAsia="zh-CN" w:bidi="ar"/>
        </w:rPr>
        <w:t>高新区</w:t>
      </w:r>
      <w:r>
        <w:rPr>
          <w:rFonts w:hint="eastAsia" w:ascii="黑体" w:hAnsi="宋体" w:eastAsia="黑体" w:cs="黑体"/>
          <w:color w:val="000000"/>
          <w:kern w:val="0"/>
          <w:sz w:val="28"/>
          <w:szCs w:val="28"/>
          <w:lang w:val="en-US" w:eastAsia="zh-CN" w:bidi="ar"/>
        </w:rPr>
        <w:t xml:space="preserve">张范街道办事处2020 年政府信息公开工作年度报告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15"/>
        <w:jc w:val="left"/>
        <w:rPr>
          <w:rFonts w:ascii="仿宋_GB2312" w:hAnsi="å¾®è½¯é›…é»‘" w:eastAsia="仿宋_GB2312" w:cs="仿宋_GB2312"/>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ascii="å¾®è½¯é›…é»‘" w:hAnsi="å¾®è½¯é›…é»‘" w:eastAsia="å¾®è½¯é›…é»‘" w:cs="å¾®è½¯é›…é»‘"/>
          <w:i w:val="0"/>
          <w:iCs w:val="0"/>
          <w:caps w:val="0"/>
          <w:color w:val="000000"/>
          <w:spacing w:val="0"/>
          <w:sz w:val="24"/>
          <w:szCs w:val="24"/>
        </w:rPr>
      </w:pPr>
      <w:r>
        <w:rPr>
          <w:rFonts w:ascii="仿宋_GB2312" w:hAnsi="å¾®è½¯é›…é»‘" w:eastAsia="仿宋_GB2312" w:cs="仿宋_GB2312"/>
          <w:i w:val="0"/>
          <w:iCs w:val="0"/>
          <w:caps w:val="0"/>
          <w:color w:val="000000"/>
          <w:spacing w:val="0"/>
          <w:sz w:val="31"/>
          <w:szCs w:val="31"/>
          <w:bdr w:val="none" w:color="auto" w:sz="0" w:space="0"/>
          <w:shd w:val="clear" w:fill="FFFFFF"/>
        </w:rPr>
        <w:t>根据《中华人民共和国政府信息公开条例》《国办政府信息公开年度报告有关事项通知》《山东省政府信息公开办法》要求，现向社会公开枣庄高新区张范街道办事处2020 年政府信息公开工作年度报告。全文包括总体情况、主动公开政府信息情况、收到和处理政府信息公开申请情况、政府信息公开行政复议及行政诉讼情况、存在的主要问题及改进情况、其他需要报告的事项。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枣庄高新区认真贯彻落实《中华人民共和国政府信息公开条例》《国办政府信息公开年度报告有关事项通知》《山东省政府信息公开办法》规定的有关通知要求，紧紧围绕中心工作及公众关切，坚持“以公开为常态，不公开为例外”原则，全面落实政府信息公开条例，夯实主动公开工作基础，规范依申请公开办理流程，建立健全政府信息公开工作管理机制，提升政府信息公开平台建设，加大监督保障力度，全力推进政府信息公开工作。2020年张范街道门户网站共公开各类信息80余条，主要涵盖通知公告、部门动态、会议公开等栏目，包含国民经济和社会发展规划、环境保护、公共卫生、安全生产、食品药品等领域。通过微信公众号、报纸和其他新媒体等载体主动公开的政府信息为300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615"/>
        <w:jc w:val="left"/>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（一）主动公开政府信息数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主动公开政府信息 80余条。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（二）通过不同渠道和方式公开政府信息的情况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1、政府网站。</w:t>
      </w:r>
      <w:r>
        <w:rPr>
          <w:rFonts w:hint="eastAsia" w:ascii="仿宋_GB2312" w:hAnsi="å¾®è½¯é›…é»‘" w:eastAsia="仿宋_GB2312" w:cs="仿宋_GB2312"/>
          <w:i w:val="0"/>
          <w:iCs w:val="0"/>
          <w:caps w:val="0"/>
          <w:color w:val="000000"/>
          <w:spacing w:val="0"/>
          <w:sz w:val="31"/>
          <w:szCs w:val="31"/>
          <w:bdr w:val="none" w:color="auto" w:sz="0" w:space="0"/>
          <w:shd w:val="clear" w:fill="FFFFFF"/>
        </w:rPr>
        <w:t>通过政府门户网站公开政府信息80条。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2、政务微信。</w:t>
      </w:r>
      <w:r>
        <w:rPr>
          <w:rFonts w:hint="eastAsia" w:ascii="仿宋_GB2312" w:hAnsi="å¾®è½¯é›…é»‘" w:eastAsia="仿宋_GB2312" w:cs="仿宋_GB2312"/>
          <w:i w:val="0"/>
          <w:iCs w:val="0"/>
          <w:caps w:val="0"/>
          <w:color w:val="000000"/>
          <w:spacing w:val="0"/>
          <w:sz w:val="31"/>
          <w:szCs w:val="31"/>
          <w:bdr w:val="none" w:color="auto" w:sz="0" w:space="0"/>
          <w:shd w:val="clear" w:fill="FFFFFF"/>
        </w:rPr>
        <w:t>发布信息300余条。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2"/>
        <w:jc w:val="left"/>
        <w:textAlignment w:val="auto"/>
        <w:rPr>
          <w:rFonts w:hint="default" w:ascii="仿宋_GB2312" w:hAnsi="å¾®è½¯é›…é»‘" w:eastAsia="仿宋_GB2312" w:cs="仿宋_GB2312"/>
          <w:i w:val="0"/>
          <w:iCs w:val="0"/>
          <w:caps w:val="0"/>
          <w:color w:val="000000"/>
          <w:spacing w:val="0"/>
          <w:sz w:val="31"/>
          <w:szCs w:val="31"/>
          <w:bdr w:val="none" w:color="auto" w:sz="0" w:space="0"/>
          <w:shd w:val="clear" w:fill="FFFFFF"/>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3、其他方式。</w:t>
      </w:r>
      <w:r>
        <w:rPr>
          <w:rFonts w:hint="eastAsia" w:ascii="仿宋_GB2312" w:hAnsi="å¾®è½¯é›…é»‘" w:eastAsia="仿宋_GB2312" w:cs="仿宋_GB2312"/>
          <w:i w:val="0"/>
          <w:iCs w:val="0"/>
          <w:caps w:val="0"/>
          <w:color w:val="000000"/>
          <w:spacing w:val="0"/>
          <w:sz w:val="31"/>
          <w:szCs w:val="31"/>
          <w:bdr w:val="none" w:color="auto" w:sz="0" w:space="0"/>
          <w:shd w:val="clear" w:fill="FFFFFF"/>
        </w:rPr>
        <w:t>公开各类政府信息50余条。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default" w:ascii="å¾®è½¯é›…é»‘" w:hAnsi="å¾®è½¯é›…é»‘" w:eastAsia="å¾®è½¯é›…é»‘" w:cs="å¾®è½¯é›…é»‘"/>
          <w:i w:val="0"/>
          <w:iCs w:val="0"/>
          <w:caps w:val="0"/>
          <w:color w:val="000000"/>
          <w:spacing w:val="0"/>
          <w:sz w:val="24"/>
          <w:szCs w:val="24"/>
        </w:rPr>
      </w:pPr>
      <w:r>
        <w:rPr>
          <w:rFonts w:hint="default" w:ascii="å¾®è½¯é›…é»‘" w:hAnsi="å¾®è½¯é›…é»‘" w:eastAsia="å¾®è½¯é›…é»‘" w:cs="å¾®è½¯é›…é»‘"/>
          <w:i w:val="0"/>
          <w:iCs w:val="0"/>
          <w:caps w:val="0"/>
          <w:color w:val="000000"/>
          <w:spacing w:val="0"/>
          <w:sz w:val="24"/>
          <w:szCs w:val="24"/>
          <w:bdr w:val="none" w:color="auto" w:sz="0" w:space="0"/>
          <w:shd w:val="clear" w:fill="FFFFFF"/>
        </w:rPr>
        <w:drawing>
          <wp:inline distT="0" distB="0" distL="114300" distR="114300">
            <wp:extent cx="4572000" cy="2743200"/>
            <wp:effectExtent l="0" t="0" r="0" b="0"/>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pic:cNvPicPr>
                  </pic:nvPicPr>
                  <pic:blipFill>
                    <a:blip r:embed="rId4"/>
                    <a:stretch>
                      <a:fillRect/>
                    </a:stretch>
                  </pic:blipFill>
                  <pic:spPr>
                    <a:xfrm>
                      <a:off x="0" y="0"/>
                      <a:ext cx="4572000" cy="2743200"/>
                    </a:xfrm>
                    <a:prstGeom prst="rect">
                      <a:avLst/>
                    </a:prstGeom>
                    <a:noFill/>
                    <a:ln w="9525">
                      <a:noFill/>
                    </a:ln>
                  </pic:spPr>
                </pic:pic>
              </a:graphicData>
            </a:graphic>
          </wp:inline>
        </w:drawing>
      </w:r>
      <w:r>
        <w:drawing>
          <wp:inline distT="0" distB="0" distL="114300" distR="114300">
            <wp:extent cx="4527550" cy="3450590"/>
            <wp:effectExtent l="4445" t="4445" r="20955" b="12065"/>
            <wp:docPr id="2" name="图表 1" descr="7b0a202020202263686172745265734964223a2022343632353833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eastAsia" w:ascii="仿宋_GB2312" w:hAnsi="å¾®è½¯é›…é»‘" w:eastAsia="仿宋_GB2312" w:cs="仿宋_GB2312"/>
          <w:b/>
          <w:bCs/>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eastAsia" w:ascii="仿宋_GB2312" w:hAnsi="å¾®è½¯é›…é»‘" w:eastAsia="仿宋_GB2312" w:cs="仿宋_GB2312"/>
          <w:b/>
          <w:bCs/>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（三）回应解读情况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回应公众关注热点或重大舆情2次，政府网站在线访谈0次，政策解读稿件发布2次，微博微信回应事件数0次，其他方式回应事件数82次。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(四)依申请公开情况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张范街道办事处收到申请数0件。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(五)政府信息公开申请提起行政复议、行政诉讼、被举报投诉的情况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张范街道办事处没有发生针对政府信息公开事务的行政复议申请、行政诉讼案件以及被举报投诉的情况。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(六)政府信息平台建设情况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街道党政办公室是政府信息公开工作的主管部门，负责推进、协调全街道信息公开工作。</w:t>
      </w:r>
      <w:r>
        <w:rPr>
          <w:rFonts w:hint="eastAsia" w:ascii="仿宋_GB2312" w:hAnsi="å¾®è½¯é›…é»‘" w:eastAsia="仿宋_GB2312" w:cs="仿宋_GB2312"/>
          <w:i w:val="0"/>
          <w:iCs w:val="0"/>
          <w:caps w:val="0"/>
          <w:color w:val="000000"/>
          <w:spacing w:val="0"/>
          <w:sz w:val="24"/>
          <w:szCs w:val="24"/>
          <w:bdr w:val="none" w:color="auto" w:sz="0" w:space="0"/>
          <w:shd w:val="clear" w:fill="FFFFFF"/>
        </w:rPr>
        <w:t>2020</w:t>
      </w:r>
      <w:r>
        <w:rPr>
          <w:rFonts w:hint="eastAsia" w:ascii="仿宋_GB2312" w:hAnsi="å¾®è½¯é›…é»‘" w:eastAsia="仿宋_GB2312" w:cs="仿宋_GB2312"/>
          <w:i w:val="0"/>
          <w:iCs w:val="0"/>
          <w:caps w:val="0"/>
          <w:color w:val="000000"/>
          <w:spacing w:val="0"/>
          <w:sz w:val="31"/>
          <w:szCs w:val="31"/>
          <w:bdr w:val="none" w:color="auto" w:sz="0" w:space="0"/>
          <w:shd w:val="clear" w:fill="FFFFFF"/>
        </w:rPr>
        <w:t>年街道召开信息公开专题会议4次，举办各类培训班</w:t>
      </w:r>
      <w:r>
        <w:rPr>
          <w:rFonts w:hint="eastAsia" w:ascii="仿宋_GB2312" w:hAnsi="å¾®è½¯é›…é»‘" w:eastAsia="仿宋_GB2312" w:cs="仿宋_GB2312"/>
          <w:i w:val="0"/>
          <w:iCs w:val="0"/>
          <w:caps w:val="0"/>
          <w:color w:val="000000"/>
          <w:spacing w:val="0"/>
          <w:sz w:val="24"/>
          <w:szCs w:val="24"/>
          <w:bdr w:val="none" w:color="auto" w:sz="0" w:space="0"/>
          <w:shd w:val="clear" w:fill="FFFFFF"/>
        </w:rPr>
        <w:t>2</w:t>
      </w:r>
      <w:r>
        <w:rPr>
          <w:rFonts w:hint="eastAsia" w:ascii="仿宋_GB2312" w:hAnsi="å¾®è½¯é›…é»‘" w:eastAsia="仿宋_GB2312" w:cs="仿宋_GB2312"/>
          <w:i w:val="0"/>
          <w:iCs w:val="0"/>
          <w:caps w:val="0"/>
          <w:color w:val="000000"/>
          <w:spacing w:val="0"/>
          <w:sz w:val="31"/>
          <w:szCs w:val="31"/>
          <w:bdr w:val="none" w:color="auto" w:sz="0" w:space="0"/>
          <w:shd w:val="clear" w:fill="FFFFFF"/>
        </w:rPr>
        <w:t>次，接受培训人数25人次。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（七）政府信息管理情况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按照国家政府信息公开工作主管部门统一部署，张范街道办事处依靠高新区业务主管部门统一规范设置政府信息公开专栏，加强政府信息公开指南、年报、制度、法定主动公开内容等政府信息资源的梳理、归集，同时优化栏目页面设置，运用列表、超链接等方式展示 相关内容。注重加强平台衔接，坚持数据同源，信息获取更加便捷、规范、权威。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（八）监督保障情况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1.加强日常自查。</w:t>
      </w:r>
      <w:r>
        <w:rPr>
          <w:rFonts w:hint="eastAsia" w:ascii="仿宋_GB2312" w:hAnsi="å¾®è½¯é›…é»‘" w:eastAsia="仿宋_GB2312" w:cs="仿宋_GB2312"/>
          <w:i w:val="0"/>
          <w:iCs w:val="0"/>
          <w:caps w:val="0"/>
          <w:color w:val="000000"/>
          <w:spacing w:val="0"/>
          <w:sz w:val="31"/>
          <w:szCs w:val="31"/>
          <w:bdr w:val="none" w:color="auto" w:sz="0" w:space="0"/>
          <w:shd w:val="clear" w:fill="FFFFFF"/>
        </w:rPr>
        <w:t>每月定期排查主动公开、办事服务、政策解读、互动交流、网站和政务新媒体运行等工作情况。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b/>
          <w:bCs/>
          <w:i w:val="0"/>
          <w:iCs w:val="0"/>
          <w:caps w:val="0"/>
          <w:color w:val="000000"/>
          <w:spacing w:val="0"/>
          <w:sz w:val="31"/>
          <w:szCs w:val="31"/>
          <w:bdr w:val="none" w:color="auto" w:sz="0" w:space="0"/>
          <w:shd w:val="clear" w:fill="FFFFFF"/>
        </w:rPr>
        <w:t>2.加大培训学习力度。</w:t>
      </w:r>
      <w:r>
        <w:rPr>
          <w:rFonts w:hint="eastAsia" w:ascii="仿宋_GB2312" w:hAnsi="å¾®è½¯é›…é»‘" w:eastAsia="仿宋_GB2312" w:cs="仿宋_GB2312"/>
          <w:i w:val="0"/>
          <w:iCs w:val="0"/>
          <w:caps w:val="0"/>
          <w:color w:val="000000"/>
          <w:spacing w:val="0"/>
          <w:sz w:val="31"/>
          <w:szCs w:val="31"/>
          <w:bdr w:val="none" w:color="auto" w:sz="0" w:space="0"/>
          <w:shd w:val="clear" w:fill="FFFFFF"/>
        </w:rPr>
        <w:t>积极参与上级举办网站与政务新媒体建设、政务公开与政府公报、政务信息工作培训班，进一步提升工作人员业务能力和水平。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15"/>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二、主动公开政府信息情况</w:t>
      </w:r>
    </w:p>
    <w:tbl>
      <w:tblPr>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20"/>
        <w:gridCol w:w="1875"/>
        <w:gridCol w:w="127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ascii="Calibri" w:hAnsi="Calibri" w:eastAsia="å¾®è½¯é›…é»‘" w:cs="Calibri"/>
                <w:i w:val="0"/>
                <w:iCs w:val="0"/>
                <w:caps w:val="0"/>
                <w:color w:val="000000"/>
                <w:spacing w:val="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本年新</w:t>
            </w:r>
            <w:r>
              <w:rPr>
                <w:rFonts w:hint="default" w:ascii="Calibri" w:hAnsi="Calibri" w:eastAsia="å¾®è½¯é›…é»‘" w:cs="Calibri"/>
                <w:i w:val="0"/>
                <w:iCs w:val="0"/>
                <w:caps w:val="0"/>
                <w:color w:val="000000"/>
                <w:spacing w:val="0"/>
                <w:sz w:val="24"/>
                <w:szCs w:val="24"/>
                <w:bdr w:val="none" w:color="auto" w:sz="0" w:space="0"/>
              </w:rPr>
              <w:br w:type="textWrapping"/>
            </w:r>
            <w:r>
              <w:rPr>
                <w:rFonts w:hint="default" w:ascii="Calibri" w:hAnsi="Calibri" w:eastAsia="å¾®è½¯é›…é»‘" w:cs="Calibri"/>
                <w:i w:val="0"/>
                <w:iCs w:val="0"/>
                <w:caps w:val="0"/>
                <w:color w:val="000000"/>
                <w:spacing w:val="0"/>
                <w:sz w:val="24"/>
                <w:szCs w:val="24"/>
                <w:bdr w:val="none" w:color="auto" w:sz="0" w:space="0"/>
              </w:rPr>
              <w:t>制作数量</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本年新</w:t>
            </w:r>
            <w:r>
              <w:rPr>
                <w:rFonts w:hint="default" w:ascii="Calibri" w:hAnsi="Calibri" w:eastAsia="å¾®è½¯é›…é»‘" w:cs="Calibri"/>
                <w:i w:val="0"/>
                <w:iCs w:val="0"/>
                <w:caps w:val="0"/>
                <w:color w:val="000000"/>
                <w:spacing w:val="0"/>
                <w:sz w:val="24"/>
                <w:szCs w:val="24"/>
                <w:bdr w:val="none" w:color="auto" w:sz="0" w:space="0"/>
              </w:rPr>
              <w:br w:type="textWrapping"/>
            </w:r>
            <w:r>
              <w:rPr>
                <w:rFonts w:hint="default" w:ascii="Calibri" w:hAnsi="Calibri" w:eastAsia="å¾®è½¯é›…é»‘" w:cs="Calibri"/>
                <w:i w:val="0"/>
                <w:iCs w:val="0"/>
                <w:caps w:val="0"/>
                <w:color w:val="000000"/>
                <w:spacing w:val="0"/>
                <w:sz w:val="24"/>
                <w:szCs w:val="24"/>
                <w:bdr w:val="none" w:color="auto" w:sz="0" w:space="0"/>
              </w:rPr>
              <w:t>公开数量</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规章</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规范性文件</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4</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2</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本年增</w:t>
            </w:r>
            <w:r>
              <w:rPr>
                <w:rFonts w:hint="default" w:ascii="å¾®è½¯é›…é»‘" w:hAnsi="å¾®è½¯é›…é»‘" w:eastAsia="å¾®è½¯é›…é»‘" w:cs="å¾®è½¯é›…é»‘"/>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rPr>
              <w:t>减</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行政许可</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其他对外管理服务事项</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本年增</w:t>
            </w:r>
            <w:r>
              <w:rPr>
                <w:rFonts w:hint="default" w:ascii="å¾®è½¯é›…é»‘" w:hAnsi="å¾®è½¯é›…é»‘" w:eastAsia="å¾®è½¯é›…é»‘" w:cs="å¾®è½¯é›…é»‘"/>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rPr>
              <w:t>减</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行政处罚</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行政强制</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2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本年增</w:t>
            </w:r>
            <w:r>
              <w:rPr>
                <w:rFonts w:hint="default" w:ascii="å¾®è½¯é›…é»‘" w:hAnsi="å¾®è½¯é›…é»‘" w:eastAsia="å¾®è½¯é›…é»‘" w:cs="å¾®è½¯é›…é»‘"/>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行政事业性收费</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c>
          <w:tcPr>
            <w:tcW w:w="315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19"/>
                <w:szCs w:val="19"/>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政府集中采购</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eastAsia" w:ascii="宋体" w:hAnsi="宋体" w:eastAsia="宋体" w:cs="宋体"/>
                <w:i w:val="0"/>
                <w:iCs w:val="0"/>
                <w:caps w:val="0"/>
                <w:color w:val="000000"/>
                <w:spacing w:val="0"/>
                <w:sz w:val="19"/>
                <w:szCs w:val="19"/>
                <w:bdr w:val="none" w:color="auto" w:sz="0" w:space="0"/>
              </w:rPr>
              <w:t>严格遵守相关工作规定</w:t>
            </w:r>
          </w:p>
        </w:tc>
        <w:tc>
          <w:tcPr>
            <w:tcW w:w="3150"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å¾®è½¯é›…é»‘" w:hAnsi="å¾®è½¯é›…é»‘" w:eastAsia="å¾®è½¯é›…é»‘" w:cs="å¾®è½¯é›…é»‘"/>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19"/>
                <w:szCs w:val="19"/>
                <w:bdr w:val="none" w:color="auto" w:sz="0" w:space="0"/>
              </w:rPr>
              <w:t>严格遵守相关工作规定</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eastAsia" w:ascii="仿宋_GB2312" w:hAnsi="å¾®è½¯é›…é»‘" w:eastAsia="仿宋_GB2312" w:cs="仿宋_GB2312"/>
          <w:i w:val="0"/>
          <w:iCs w:val="0"/>
          <w:caps w:val="0"/>
          <w:color w:val="000000"/>
          <w:spacing w:val="0"/>
          <w:sz w:val="31"/>
          <w:szCs w:val="31"/>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三、收到和处理政府信息公开申请情况</w:t>
      </w:r>
    </w:p>
    <w:tbl>
      <w:tblP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0"/>
        <w:gridCol w:w="930"/>
        <w:gridCol w:w="2182"/>
        <w:gridCol w:w="707"/>
        <w:gridCol w:w="735"/>
        <w:gridCol w:w="735"/>
        <w:gridCol w:w="864"/>
        <w:gridCol w:w="878"/>
        <w:gridCol w:w="707"/>
        <w:gridCol w:w="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3705"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（本列数据的勾稽关系为：第一项加第二项之和，等于第三项加第四项之和）</w:t>
            </w:r>
          </w:p>
        </w:tc>
        <w:tc>
          <w:tcPr>
            <w:tcW w:w="5430"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72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72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商业企业</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科研机构</w:t>
            </w:r>
          </w:p>
        </w:tc>
        <w:tc>
          <w:tcPr>
            <w:tcW w:w="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社会公益组织</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370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一、本年新收政府信息公开申请数量</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370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二、上年结转政府信息公开申请数量</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三、本年度办理结果</w:t>
            </w:r>
          </w:p>
        </w:tc>
        <w:tc>
          <w:tcPr>
            <w:tcW w:w="309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（一）予以公开</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（三）不予公开</w:t>
            </w: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1.</w:t>
            </w:r>
            <w:r>
              <w:rPr>
                <w:rFonts w:ascii="楷体" w:hAnsi="楷体" w:eastAsia="楷体" w:cs="楷体"/>
                <w:i w:val="0"/>
                <w:iCs w:val="0"/>
                <w:caps w:val="0"/>
                <w:color w:val="000000"/>
                <w:spacing w:val="0"/>
                <w:sz w:val="24"/>
                <w:szCs w:val="24"/>
                <w:bdr w:val="none" w:color="auto" w:sz="0" w:space="0"/>
              </w:rPr>
              <w:t>属于国家秘密</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2.</w:t>
            </w:r>
            <w:r>
              <w:rPr>
                <w:rFonts w:hint="eastAsia" w:ascii="楷体" w:hAnsi="楷体" w:eastAsia="楷体" w:cs="楷体"/>
                <w:i w:val="0"/>
                <w:iCs w:val="0"/>
                <w:caps w:val="0"/>
                <w:color w:val="000000"/>
                <w:spacing w:val="0"/>
                <w:sz w:val="24"/>
                <w:szCs w:val="24"/>
                <w:bdr w:val="none" w:color="auto" w:sz="0" w:space="0"/>
              </w:rPr>
              <w:t>其他法律行政法规禁止公开</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3.</w:t>
            </w:r>
            <w:r>
              <w:rPr>
                <w:rFonts w:hint="eastAsia" w:ascii="楷体" w:hAnsi="楷体" w:eastAsia="楷体" w:cs="楷体"/>
                <w:i w:val="0"/>
                <w:iCs w:val="0"/>
                <w:caps w:val="0"/>
                <w:color w:val="000000"/>
                <w:spacing w:val="0"/>
                <w:sz w:val="24"/>
                <w:szCs w:val="24"/>
                <w:bdr w:val="none" w:color="auto" w:sz="0" w:space="0"/>
              </w:rPr>
              <w:t>危及</w:t>
            </w:r>
            <w:r>
              <w:rPr>
                <w:rFonts w:hint="default" w:ascii="å¾®è½¯é›…é»‘" w:hAnsi="å¾®è½¯é›…é»‘" w:eastAsia="å¾®è½¯é›…é»‘" w:cs="å¾®è½¯é›…é»‘"/>
                <w:i w:val="0"/>
                <w:iCs w:val="0"/>
                <w:caps w:val="0"/>
                <w:color w:val="000000"/>
                <w:spacing w:val="0"/>
                <w:sz w:val="24"/>
                <w:szCs w:val="24"/>
                <w:bdr w:val="none" w:color="auto" w:sz="0" w:space="0"/>
              </w:rPr>
              <w:t>“</w:t>
            </w:r>
            <w:r>
              <w:rPr>
                <w:rFonts w:hint="eastAsia" w:ascii="楷体" w:hAnsi="楷体" w:eastAsia="楷体" w:cs="楷体"/>
                <w:i w:val="0"/>
                <w:iCs w:val="0"/>
                <w:caps w:val="0"/>
                <w:color w:val="000000"/>
                <w:spacing w:val="0"/>
                <w:sz w:val="24"/>
                <w:szCs w:val="24"/>
                <w:bdr w:val="none" w:color="auto" w:sz="0" w:space="0"/>
              </w:rPr>
              <w:t>三安全一稳定</w:t>
            </w:r>
            <w:r>
              <w:rPr>
                <w:rFonts w:hint="default" w:ascii="å¾®è½¯é›…é»‘" w:hAnsi="å¾®è½¯é›…é»‘" w:eastAsia="å¾®è½¯é›…é»‘" w:cs="å¾®è½¯é›…é»‘"/>
                <w:i w:val="0"/>
                <w:iCs w:val="0"/>
                <w:caps w:val="0"/>
                <w:color w:val="000000"/>
                <w:spacing w:val="0"/>
                <w:sz w:val="24"/>
                <w:szCs w:val="24"/>
                <w:bdr w:val="none" w:color="auto" w:sz="0" w:space="0"/>
              </w:rPr>
              <w:t>”</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4.</w:t>
            </w:r>
            <w:r>
              <w:rPr>
                <w:rFonts w:hint="eastAsia" w:ascii="楷体" w:hAnsi="楷体" w:eastAsia="楷体" w:cs="楷体"/>
                <w:i w:val="0"/>
                <w:iCs w:val="0"/>
                <w:caps w:val="0"/>
                <w:color w:val="000000"/>
                <w:spacing w:val="0"/>
                <w:sz w:val="24"/>
                <w:szCs w:val="24"/>
                <w:bdr w:val="none" w:color="auto" w:sz="0" w:space="0"/>
              </w:rPr>
              <w:t>保护第三方合法权益</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5.</w:t>
            </w:r>
            <w:r>
              <w:rPr>
                <w:rFonts w:hint="eastAsia" w:ascii="楷体" w:hAnsi="楷体" w:eastAsia="楷体" w:cs="楷体"/>
                <w:i w:val="0"/>
                <w:iCs w:val="0"/>
                <w:caps w:val="0"/>
                <w:color w:val="000000"/>
                <w:spacing w:val="0"/>
                <w:sz w:val="24"/>
                <w:szCs w:val="24"/>
                <w:bdr w:val="none" w:color="auto" w:sz="0" w:space="0"/>
              </w:rPr>
              <w:t>属于三类内部事务信息</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6.</w:t>
            </w:r>
            <w:r>
              <w:rPr>
                <w:rFonts w:hint="eastAsia" w:ascii="楷体" w:hAnsi="楷体" w:eastAsia="楷体" w:cs="楷体"/>
                <w:i w:val="0"/>
                <w:iCs w:val="0"/>
                <w:caps w:val="0"/>
                <w:color w:val="000000"/>
                <w:spacing w:val="0"/>
                <w:sz w:val="24"/>
                <w:szCs w:val="24"/>
                <w:bdr w:val="none" w:color="auto" w:sz="0" w:space="0"/>
              </w:rPr>
              <w:t>属于四类过程性信息</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7.</w:t>
            </w:r>
            <w:r>
              <w:rPr>
                <w:rFonts w:hint="eastAsia" w:ascii="楷体" w:hAnsi="楷体" w:eastAsia="楷体" w:cs="楷体"/>
                <w:i w:val="0"/>
                <w:iCs w:val="0"/>
                <w:caps w:val="0"/>
                <w:color w:val="000000"/>
                <w:spacing w:val="0"/>
                <w:sz w:val="24"/>
                <w:szCs w:val="24"/>
                <w:bdr w:val="none" w:color="auto" w:sz="0" w:space="0"/>
              </w:rPr>
              <w:t>属于行政执法案卷</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8.</w:t>
            </w:r>
            <w:r>
              <w:rPr>
                <w:rFonts w:hint="eastAsia" w:ascii="楷体" w:hAnsi="楷体" w:eastAsia="楷体" w:cs="楷体"/>
                <w:i w:val="0"/>
                <w:iCs w:val="0"/>
                <w:caps w:val="0"/>
                <w:color w:val="000000"/>
                <w:spacing w:val="0"/>
                <w:sz w:val="24"/>
                <w:szCs w:val="24"/>
                <w:bdr w:val="none" w:color="auto" w:sz="0" w:space="0"/>
              </w:rPr>
              <w:t>属于行政查询事项</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（四）无法提供</w:t>
            </w: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1.</w:t>
            </w:r>
            <w:r>
              <w:rPr>
                <w:rFonts w:hint="eastAsia" w:ascii="楷体" w:hAnsi="楷体" w:eastAsia="楷体" w:cs="楷体"/>
                <w:i w:val="0"/>
                <w:iCs w:val="0"/>
                <w:caps w:val="0"/>
                <w:color w:val="000000"/>
                <w:spacing w:val="0"/>
                <w:sz w:val="24"/>
                <w:szCs w:val="24"/>
                <w:bdr w:val="none" w:color="auto" w:sz="0" w:space="0"/>
              </w:rPr>
              <w:t>本机关不掌握相关政府信息</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2.</w:t>
            </w:r>
            <w:r>
              <w:rPr>
                <w:rFonts w:hint="eastAsia" w:ascii="楷体" w:hAnsi="楷体" w:eastAsia="楷体" w:cs="楷体"/>
                <w:i w:val="0"/>
                <w:iCs w:val="0"/>
                <w:caps w:val="0"/>
                <w:color w:val="000000"/>
                <w:spacing w:val="0"/>
                <w:sz w:val="24"/>
                <w:szCs w:val="24"/>
                <w:bdr w:val="none" w:color="auto" w:sz="0" w:space="0"/>
              </w:rPr>
              <w:t>没有现成信息需要另行制作</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3.</w:t>
            </w:r>
            <w:r>
              <w:rPr>
                <w:rFonts w:hint="eastAsia" w:ascii="楷体" w:hAnsi="楷体" w:eastAsia="楷体" w:cs="楷体"/>
                <w:i w:val="0"/>
                <w:iCs w:val="0"/>
                <w:caps w:val="0"/>
                <w:color w:val="000000"/>
                <w:spacing w:val="0"/>
                <w:sz w:val="24"/>
                <w:szCs w:val="24"/>
                <w:bdr w:val="none" w:color="auto" w:sz="0" w:space="0"/>
              </w:rPr>
              <w:t>补正后申请内容仍不明确</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（五）不予处理</w:t>
            </w: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1.</w:t>
            </w:r>
            <w:r>
              <w:rPr>
                <w:rFonts w:hint="eastAsia" w:ascii="楷体" w:hAnsi="楷体" w:eastAsia="楷体" w:cs="楷体"/>
                <w:i w:val="0"/>
                <w:iCs w:val="0"/>
                <w:caps w:val="0"/>
                <w:color w:val="000000"/>
                <w:spacing w:val="0"/>
                <w:sz w:val="24"/>
                <w:szCs w:val="24"/>
                <w:bdr w:val="none" w:color="auto" w:sz="0" w:space="0"/>
              </w:rPr>
              <w:t>信访举报投诉类申请</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2.</w:t>
            </w:r>
            <w:r>
              <w:rPr>
                <w:rFonts w:hint="eastAsia" w:ascii="楷体" w:hAnsi="楷体" w:eastAsia="楷体" w:cs="楷体"/>
                <w:i w:val="0"/>
                <w:iCs w:val="0"/>
                <w:caps w:val="0"/>
                <w:color w:val="000000"/>
                <w:spacing w:val="0"/>
                <w:sz w:val="24"/>
                <w:szCs w:val="24"/>
                <w:bdr w:val="none" w:color="auto" w:sz="0" w:space="0"/>
              </w:rPr>
              <w:t>重复申请</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3.</w:t>
            </w:r>
            <w:r>
              <w:rPr>
                <w:rFonts w:hint="eastAsia" w:ascii="楷体" w:hAnsi="楷体" w:eastAsia="楷体" w:cs="楷体"/>
                <w:i w:val="0"/>
                <w:iCs w:val="0"/>
                <w:caps w:val="0"/>
                <w:color w:val="000000"/>
                <w:spacing w:val="0"/>
                <w:sz w:val="24"/>
                <w:szCs w:val="24"/>
                <w:bdr w:val="none" w:color="auto" w:sz="0" w:space="0"/>
              </w:rPr>
              <w:t>要求提供公开出版物</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4.</w:t>
            </w:r>
            <w:r>
              <w:rPr>
                <w:rFonts w:hint="eastAsia" w:ascii="楷体" w:hAnsi="楷体" w:eastAsia="楷体" w:cs="楷体"/>
                <w:i w:val="0"/>
                <w:iCs w:val="0"/>
                <w:caps w:val="0"/>
                <w:color w:val="000000"/>
                <w:spacing w:val="0"/>
                <w:sz w:val="24"/>
                <w:szCs w:val="24"/>
                <w:bdr w:val="none" w:color="auto" w:sz="0" w:space="0"/>
              </w:rPr>
              <w:t>无正当理由大量反复申请</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5.</w:t>
            </w:r>
            <w:r>
              <w:rPr>
                <w:rFonts w:hint="eastAsia" w:ascii="楷体" w:hAnsi="楷体" w:eastAsia="楷体" w:cs="楷体"/>
                <w:i w:val="0"/>
                <w:iCs w:val="0"/>
                <w:caps w:val="0"/>
                <w:color w:val="000000"/>
                <w:spacing w:val="0"/>
                <w:sz w:val="24"/>
                <w:szCs w:val="24"/>
                <w:bdr w:val="none" w:color="auto" w:sz="0" w:space="0"/>
              </w:rPr>
              <w:t>要求行政机关确认或重新出具已获取信息</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（六）其他处理</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（七）总计</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trPr>
        <w:tc>
          <w:tcPr>
            <w:tcW w:w="3705"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left"/>
              <w:rPr>
                <w:sz w:val="24"/>
                <w:szCs w:val="24"/>
              </w:rPr>
            </w:pPr>
            <w:r>
              <w:rPr>
                <w:rFonts w:hint="default" w:ascii="Calibri" w:hAnsi="Calibri" w:eastAsia="å¾®è½¯é›…é»‘" w:cs="Calibri"/>
                <w:i w:val="0"/>
                <w:iCs w:val="0"/>
                <w:caps w:val="0"/>
                <w:color w:val="000000"/>
                <w:spacing w:val="0"/>
                <w:sz w:val="24"/>
                <w:szCs w:val="24"/>
                <w:bdr w:val="none" w:color="auto" w:sz="0" w:space="0"/>
              </w:rPr>
              <w:t>四、结转下年度继续办理</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default" w:ascii="å¾®è½¯é›…é»‘" w:hAnsi="å¾®è½¯é›…é»‘" w:eastAsia="å¾®è½¯é›…é»‘" w:cs="å¾®è½¯é›…é»‘"/>
          <w:i w:val="0"/>
          <w:iCs w:val="0"/>
          <w:caps w:val="0"/>
          <w:color w:val="000000"/>
          <w:spacing w:val="0"/>
          <w:sz w:val="24"/>
          <w:szCs w:val="24"/>
        </w:rPr>
      </w:pPr>
      <w:r>
        <w:rPr>
          <w:rFonts w:hint="eastAsia" w:ascii="黑体" w:hAnsi="宋体" w:eastAsia="黑体" w:cs="黑体"/>
          <w:i w:val="0"/>
          <w:iCs w:val="0"/>
          <w:caps w:val="0"/>
          <w:color w:val="000000"/>
          <w:spacing w:val="0"/>
          <w:sz w:val="31"/>
          <w:szCs w:val="31"/>
          <w:bdr w:val="none" w:color="auto" w:sz="0" w:space="0"/>
          <w:shd w:val="clear" w:fill="FFFFFF"/>
        </w:rPr>
        <w:t> </w:t>
      </w:r>
      <w:r>
        <w:rPr>
          <w:rFonts w:hint="eastAsia" w:ascii="仿宋_GB2312" w:hAnsi="å¾®è½¯é›…é»‘" w:eastAsia="仿宋_GB2312" w:cs="仿宋_GB2312"/>
          <w:i w:val="0"/>
          <w:iCs w:val="0"/>
          <w:caps w:val="0"/>
          <w:color w:val="000000"/>
          <w:spacing w:val="0"/>
          <w:sz w:val="31"/>
          <w:szCs w:val="31"/>
          <w:bdr w:val="none" w:color="auto" w:sz="0" w:space="0"/>
          <w:shd w:val="clear" w:fill="FFFFFF"/>
        </w:rPr>
        <w:t>四、政府信息公开行政复议、行政诉讼情况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left"/>
              <w:rPr>
                <w:sz w:val="24"/>
                <w:szCs w:val="24"/>
              </w:rPr>
            </w:pPr>
            <w:r>
              <w:rPr>
                <w:rFonts w:ascii="微软雅黑" w:hAnsi="微软雅黑" w:eastAsia="微软雅黑" w:cs="微软雅黑"/>
                <w:i w:val="0"/>
                <w:iCs w:val="0"/>
                <w:caps w:val="0"/>
                <w:color w:val="000000"/>
                <w:spacing w:val="0"/>
                <w:sz w:val="24"/>
                <w:szCs w:val="24"/>
                <w:bdr w:val="none" w:color="auto" w:sz="0" w:space="0"/>
                <w:shd w:val="clear" w:fill="FFFFFF"/>
              </w:rPr>
              <w:t> </w:t>
            </w:r>
            <w:r>
              <w:rPr>
                <w:rFonts w:hint="default" w:ascii="Calibri" w:hAnsi="Calibri" w:eastAsia="å¾®è½¯é›…é»‘" w:cs="Calibri"/>
                <w:i w:val="0"/>
                <w:iCs w:val="0"/>
                <w:caps w:val="0"/>
                <w:color w:val="000000"/>
                <w:spacing w:val="0"/>
                <w:sz w:val="24"/>
                <w:szCs w:val="24"/>
                <w:bdr w:val="none" w:color="auto" w:sz="0" w:space="0"/>
                <w:shd w:val="clear" w:fill="FFFFFF"/>
              </w:rPr>
              <w:t>行政复议</w:t>
            </w:r>
          </w:p>
        </w:tc>
        <w:tc>
          <w:tcPr>
            <w:tcW w:w="6000" w:type="dxa"/>
            <w:gridSpan w:val="10"/>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结果维持</w:t>
            </w:r>
          </w:p>
        </w:tc>
        <w:tc>
          <w:tcPr>
            <w:tcW w:w="60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尚未审结</w:t>
            </w:r>
          </w:p>
        </w:tc>
        <w:tc>
          <w:tcPr>
            <w:tcW w:w="67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60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default" w:ascii="å¾®è½¯é›…é»‘" w:hAnsi="å¾®è½¯é›…é»‘" w:eastAsia="å¾®è½¯é›…é»‘" w:cs="å¾®è½¯é›…é»‘"/>
                <w:i w:val="0"/>
                <w:iCs w:val="0"/>
                <w:caps w:val="0"/>
                <w:color w:val="000000"/>
                <w:spacing w:val="0"/>
                <w:sz w:val="24"/>
                <w:szCs w:val="24"/>
              </w:rPr>
            </w:pP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结果维持</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结果纠正</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其他结果</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尚未审结</w:t>
            </w:r>
          </w:p>
        </w:tc>
        <w:tc>
          <w:tcPr>
            <w:tcW w:w="6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总计</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结果维持</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结果纠正</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其他结果</w:t>
            </w:r>
          </w:p>
        </w:tc>
        <w:tc>
          <w:tcPr>
            <w:tcW w:w="6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尚未审结</w:t>
            </w:r>
          </w:p>
        </w:tc>
        <w:tc>
          <w:tcPr>
            <w:tcW w:w="6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default" w:ascii="Calibri" w:hAnsi="Calibri" w:eastAsia="å¾®è½¯é›…é»‘" w:cs="Calibri"/>
                <w:i w:val="0"/>
                <w:iCs w:val="0"/>
                <w:caps w:val="0"/>
                <w:color w:val="000000"/>
                <w:spacing w:val="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5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firstLineChars="200"/>
        <w:jc w:val="left"/>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firstLineChars="200"/>
        <w:jc w:val="both"/>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2020年，街道在政府信息公开工作方面采取了一系列措施，取得了一定进展，但仍存在公开不全面、不彻底问题，下一步我们将进一步提高对政务公开工作的认识，不断完善信息公开工作制度，明确各部门职责，建立信息公开工作长效机制；不断创新工作方式方法，突出重点，注重实效，使信息公开业务更加有序、便民、高效，确保广大人民群众的知情权、参与权、表达权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firstLineChars="200"/>
        <w:jc w:val="both"/>
        <w:textAlignment w:val="auto"/>
        <w:rPr>
          <w:rFonts w:hint="default" w:ascii="å¾®è½¯é›…é»‘" w:hAnsi="å¾®è½¯é›…é»‘" w:eastAsia="å¾®è½¯é›…é»‘" w:cs="å¾®è½¯é›…é»‘"/>
          <w:i w:val="0"/>
          <w:iCs w:val="0"/>
          <w:caps w:val="0"/>
          <w:color w:val="000000"/>
          <w:spacing w:val="0"/>
          <w:sz w:val="24"/>
          <w:szCs w:val="24"/>
        </w:rPr>
      </w:pPr>
      <w:r>
        <w:rPr>
          <w:rFonts w:hint="eastAsia" w:ascii="仿宋_GB2312" w:hAnsi="å¾®è½¯é›…é»‘" w:eastAsia="仿宋_GB2312" w:cs="仿宋_GB2312"/>
          <w:i w:val="0"/>
          <w:iCs w:val="0"/>
          <w:caps w:val="0"/>
          <w:color w:val="000000"/>
          <w:spacing w:val="0"/>
          <w:sz w:val="31"/>
          <w:szCs w:val="31"/>
          <w:bdr w:val="none" w:color="auto" w:sz="0" w:space="0"/>
          <w:shd w:val="clear" w:fill="FFFFFF"/>
        </w:rPr>
        <w:t>六、其他需要报告的事项</w:t>
      </w:r>
    </w:p>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仿宋_GB2312" w:hAnsi="å¾®è½¯é›…é»‘" w:eastAsia="仿宋_GB2312" w:cs="仿宋_GB2312"/>
          <w:i w:val="0"/>
          <w:iCs w:val="0"/>
          <w:caps w:val="0"/>
          <w:color w:val="000000"/>
          <w:spacing w:val="0"/>
          <w:kern w:val="0"/>
          <w:sz w:val="31"/>
          <w:szCs w:val="31"/>
          <w:shd w:val="clear" w:fill="FFFFFF"/>
          <w:lang w:val="en-US" w:eastAsia="zh-CN" w:bidi="ar"/>
        </w:rPr>
      </w:pPr>
      <w:r>
        <w:rPr>
          <w:rFonts w:hint="eastAsia" w:ascii="仿宋_GB2312" w:hAnsi="å¾®è½¯é›…é»‘" w:eastAsia="仿宋_GB2312" w:cs="仿宋_GB2312"/>
          <w:i w:val="0"/>
          <w:iCs w:val="0"/>
          <w:caps w:val="0"/>
          <w:color w:val="000000"/>
          <w:spacing w:val="0"/>
          <w:kern w:val="0"/>
          <w:sz w:val="31"/>
          <w:szCs w:val="31"/>
          <w:shd w:val="clear" w:fill="FFFFFF"/>
          <w:lang w:val="en-US" w:eastAsia="zh-CN" w:bidi="ar"/>
        </w:rPr>
        <w:t>如对本年度政府信息公开工作年度报告有疑问，请与枣庄高新区 联 系（联系电话:0632- 4615098，电子邮箱: zfjddzb@163.com） 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20FFA"/>
    <w:rsid w:val="3252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sdfgh\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mn-lt"/>
                <a:ea typeface="+mn-ea"/>
                <a:cs typeface="+mn-cs"/>
              </a:defRPr>
            </a:pPr>
            <a:r>
              <a:t>主动公开政府信息</a:t>
            </a:r>
          </a:p>
        </c:rich>
      </c:tx>
      <c:layout/>
      <c:overlay val="0"/>
      <c:spPr>
        <a:noFill/>
        <a:ln>
          <a:noFill/>
        </a:ln>
        <a:effectLst/>
      </c:spPr>
    </c:title>
    <c:autoTitleDeleted val="0"/>
    <c:plotArea>
      <c:layout>
        <c:manualLayout>
          <c:layoutTarget val="inner"/>
          <c:xMode val="edge"/>
          <c:yMode val="edge"/>
          <c:x val="0.0626669685306769"/>
          <c:y val="0.0480032271077047"/>
          <c:w val="0.914127235680326"/>
          <c:h val="0.83251311012505"/>
        </c:manualLayout>
      </c:layout>
      <c:barChart>
        <c:barDir val="col"/>
        <c:grouping val="stacked"/>
        <c:varyColors val="0"/>
        <c:ser>
          <c:idx val="0"/>
          <c:order val="0"/>
          <c:spPr>
            <a:solidFill>
              <a:schemeClr val="accent1"/>
            </a:solidFill>
            <a:ln>
              <a:noFill/>
            </a:ln>
            <a:effectLst/>
          </c:spPr>
          <c:invertIfNegative val="0"/>
          <c:dLbls>
            <c:delete val="1"/>
          </c:dLbls>
          <c:val>
            <c:numRef>
              <c:f>'[新建 XLSX 工作表.xlsx]Sheet1'!$A$1:$B$1</c:f>
              <c:numCache>
                <c:formatCode>General</c:formatCode>
                <c:ptCount val="2"/>
                <c:pt idx="0">
                  <c:v>123</c:v>
                </c:pt>
                <c:pt idx="1">
                  <c:v>148</c:v>
                </c:pt>
              </c:numCache>
            </c:numRef>
          </c:val>
        </c:ser>
        <c:dLbls>
          <c:showLegendKey val="0"/>
          <c:showVal val="0"/>
          <c:showCatName val="0"/>
          <c:showSerName val="0"/>
          <c:showPercent val="0"/>
          <c:showBubbleSize val="0"/>
        </c:dLbls>
        <c:gapWidth val="100"/>
        <c:overlap val="100"/>
        <c:axId val="64452715"/>
        <c:axId val="335606312"/>
      </c:barChart>
      <c:catAx>
        <c:axId val="64452715"/>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335606312"/>
        <c:crosses val="autoZero"/>
        <c:auto val="1"/>
        <c:lblAlgn val="ctr"/>
        <c:lblOffset val="100"/>
        <c:noMultiLvlLbl val="0"/>
      </c:catAx>
      <c:valAx>
        <c:axId val="335606312"/>
        <c:scaling>
          <c:orientation val="minMax"/>
        </c:scaling>
        <c:delete val="0"/>
        <c:axPos val="l"/>
        <c:majorGridlines>
          <c:spPr>
            <a:ln w="9525" cap="flat" cmpd="sng" algn="ctr">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644527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0.160629386461399</cdr:x>
      <cdr:y>0.91219577786742</cdr:y>
    </cdr:from>
    <cdr:to>
      <cdr:x>0.856803260131311</cdr:x>
      <cdr:y>0.968670162700013</cdr:y>
    </cdr:to>
    <cdr:sp>
      <cdr:nvSpPr>
        <cdr:cNvPr id="2" name="矩形 1"/>
        <cdr:cNvSpPr/>
      </cdr:nvSpPr>
      <cdr:spPr xmlns:a="http://schemas.openxmlformats.org/drawingml/2006/main">
        <a:xfrm xmlns:a="http://schemas.openxmlformats.org/drawingml/2006/main">
          <a:off x="901065" y="4307840"/>
          <a:ext cx="3905250" cy="266700"/>
        </a:xfrm>
        <a:prstGeom xmlns:a="http://schemas.openxmlformats.org/drawingml/2006/main" prst="rect">
          <a:avLst/>
        </a:prstGeom>
        <a:solidFill>
          <a:schemeClr val="bg1"/>
        </a:solidFill>
        <a:ln>
          <a:solidFill>
            <a:schemeClr val="bg1"/>
          </a:solidFill>
        </a:ln>
      </cdr:spPr>
      <cdr:style>
        <a:lnRef xmlns:a="http://schemas.openxmlformats.org/drawingml/2006/main" idx="2">
          <a:schemeClr val="accent5"/>
        </a:lnRef>
        <a:fillRef xmlns:a="http://schemas.openxmlformats.org/drawingml/2006/main" idx="1">
          <a:schemeClr val="lt1"/>
        </a:fillRef>
        <a:effectRef xmlns:a="http://schemas.openxmlformats.org/drawingml/2006/main" idx="0">
          <a:schemeClr val="accent5"/>
        </a:effectRef>
        <a:fontRef xmlns:a="http://schemas.openxmlformats.org/drawingml/2006/main" idx="minor">
          <a:schemeClr val="dk1"/>
        </a:fontRef>
      </cdr:style>
      <cdr:txBody xmlns:a="http://schemas.openxmlformats.org/drawingml/2006/main">
        <a:bodyPr vertOverflow="clip" vert="horz" wrap="none" lIns="45720" tIns="45720" rIns="45720" bIns="45720" anchor="t" anchorCtr="0">
          <a:normAutofit/>
        </a:bodyPr>
        <a:p>
          <a:pPr algn="l"/>
          <a:r>
            <a:rPr lang="en-US" altLang="zh-CN" sz="1100"/>
            <a:t>2019</a:t>
          </a:r>
          <a:r>
            <a:rPr lang="zh-CN" altLang="en-US" sz="1100"/>
            <a:t>年度</a:t>
          </a:r>
          <a:r>
            <a:rPr lang="en-US" altLang="zh-CN" sz="1100"/>
            <a:t>                                                                           2020</a:t>
          </a:r>
          <a:r>
            <a:rPr lang="zh-CN" altLang="en-US" sz="1100"/>
            <a:t>年度</a:t>
          </a:r>
          <a:endParaRPr lang="en-US" altLang="zh-CN"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2021-12-04T03:13:00Z</dcterms:created>
  <dc:creator>sdfgh</dc:creator>
  <cp:lastModifiedBy>.</cp:lastModifiedBy>
  <dcterms:modified xsi:type="dcterms:W3CDTF">2021-12-04T03:30:51Z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96B474DD7FE8400B8AF202CF0964A612</vt:lpwstr>
  </property>
</Properties>
</file>