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F67" w:rsidRDefault="00FA5E91">
      <w:pPr>
        <w:pStyle w:val="a3"/>
        <w:widowControl/>
        <w:shd w:val="clear" w:color="auto" w:fill="FFFFFF"/>
        <w:spacing w:beforeAutospacing="0" w:after="225" w:afterAutospacing="0" w:line="600" w:lineRule="atLeast"/>
        <w:ind w:firstLine="645"/>
        <w:rPr>
          <w:rFonts w:ascii="å¾®è½¯é›…é»‘" w:eastAsia="å¾®è½¯é›…é»‘" w:hAnsi="å¾®è½¯é›…é»‘" w:cs="å¾®è½¯é›…é»‘"/>
          <w:color w:val="000000"/>
        </w:rPr>
      </w:pPr>
      <w:r>
        <w:rPr>
          <w:rFonts w:ascii="仿宋_GB2312" w:eastAsia="仿宋_GB2312" w:hAnsi="å¾®è½¯é›…é»‘" w:cs="仿宋_GB2312"/>
          <w:color w:val="000000"/>
          <w:sz w:val="31"/>
          <w:szCs w:val="31"/>
          <w:shd w:val="clear" w:color="auto" w:fill="FFFFFF"/>
        </w:rPr>
        <w:t>2020</w:t>
      </w:r>
      <w:r>
        <w:rPr>
          <w:rFonts w:ascii="仿宋_GB2312" w:eastAsia="仿宋_GB2312" w:hAnsi="å¾®è½¯é›…é»‘" w:cs="仿宋_GB2312" w:hint="eastAsia"/>
          <w:color w:val="000000"/>
          <w:sz w:val="31"/>
          <w:szCs w:val="31"/>
          <w:shd w:val="clear" w:color="auto" w:fill="FFFFFF"/>
        </w:rPr>
        <w:t>年，高新区财政金融局按照区党工委、管委会的统一部署，认真贯彻落实《条例》和省、市关于政府信息公开工作的要求，紧扣本单位的工作实际，扎实推进政府信息公开工作。现将我单位2020年度政府信息公开工作报告如下：2019年，我局认真贯彻落实新修订《中华人民共和国政府信息公开条例》和全县政府信息公开的有关规定，紧密结合财政工作特点，大力推进我局政府信息公开工作，不断规范政府信息公开内容，突出政府信息公开重点，不断提高政府信息公开水平，加快推进决策、执行、管理、服务、结果“五公开”，确保了我局政府信息公开工作的全面、及时、规范与安全。现将总体情况报告如下：</w:t>
      </w:r>
    </w:p>
    <w:p w:rsidR="003E7F67" w:rsidRDefault="00FA5E91">
      <w:pPr>
        <w:pStyle w:val="a3"/>
        <w:widowControl/>
        <w:shd w:val="clear" w:color="auto" w:fill="FFFFFF"/>
        <w:spacing w:beforeAutospacing="0" w:after="225" w:afterAutospacing="0" w:line="600" w:lineRule="atLeast"/>
        <w:rPr>
          <w:rFonts w:ascii="å¾®è½¯é›…é»‘" w:eastAsia="å¾®è½¯é›…é»‘" w:hAnsi="å¾®è½¯é›…é»‘" w:cs="å¾®è½¯é›…é»‘"/>
          <w:color w:val="000000"/>
        </w:rPr>
      </w:pPr>
      <w:r>
        <w:rPr>
          <w:rFonts w:ascii="黑体" w:eastAsia="黑体" w:hAnsi="宋体" w:cs="黑体"/>
          <w:color w:val="000000"/>
          <w:sz w:val="31"/>
          <w:szCs w:val="31"/>
          <w:shd w:val="clear" w:color="auto" w:fill="FFFFFF"/>
        </w:rPr>
        <w:t> </w:t>
      </w:r>
      <w:r>
        <w:rPr>
          <w:rFonts w:ascii="黑体" w:eastAsia="黑体" w:hAnsi="宋体" w:cs="黑体"/>
          <w:color w:val="000000"/>
          <w:sz w:val="31"/>
          <w:szCs w:val="31"/>
          <w:shd w:val="clear" w:color="auto" w:fill="FFFFFF"/>
        </w:rPr>
        <w:t xml:space="preserve"> </w:t>
      </w:r>
      <w:r>
        <w:rPr>
          <w:rFonts w:ascii="黑体" w:eastAsia="黑体" w:hAnsi="宋体" w:cs="黑体"/>
          <w:color w:val="000000"/>
          <w:sz w:val="31"/>
          <w:szCs w:val="31"/>
          <w:shd w:val="clear" w:color="auto" w:fill="FFFFFF"/>
        </w:rPr>
        <w:t> </w:t>
      </w:r>
      <w:r>
        <w:rPr>
          <w:rFonts w:ascii="黑体" w:eastAsia="黑体" w:hAnsi="宋体" w:cs="黑体"/>
          <w:color w:val="000000"/>
          <w:sz w:val="31"/>
          <w:szCs w:val="31"/>
          <w:shd w:val="clear" w:color="auto" w:fill="FFFFFF"/>
        </w:rPr>
        <w:t xml:space="preserve"> 一、总体情况</w:t>
      </w:r>
    </w:p>
    <w:p w:rsidR="003E7F67" w:rsidRDefault="00FA5E91">
      <w:pPr>
        <w:pStyle w:val="a3"/>
        <w:widowControl/>
        <w:shd w:val="clear" w:color="auto" w:fill="FFFFFF"/>
        <w:spacing w:beforeAutospacing="0" w:after="225" w:afterAutospacing="0" w:line="600" w:lineRule="atLeast"/>
        <w:ind w:firstLine="645"/>
        <w:rPr>
          <w:rFonts w:ascii="å¾®è½¯é›…é»‘" w:eastAsia="å¾®è½¯é›…é»‘" w:hAnsi="å¾®è½¯é›…é»‘" w:cs="å¾®è½¯é›…é»‘"/>
          <w:color w:val="000000"/>
        </w:rPr>
      </w:pPr>
      <w:r>
        <w:rPr>
          <w:rFonts w:ascii="楷体_GB2312" w:eastAsia="楷体_GB2312" w:hAnsi="å¾®è½¯é›…é»‘" w:cs="楷体_GB2312"/>
          <w:color w:val="000000"/>
          <w:sz w:val="31"/>
          <w:szCs w:val="31"/>
          <w:shd w:val="clear" w:color="auto" w:fill="FFFFFF"/>
        </w:rPr>
        <w:t>（一）加强领导、精心部署</w:t>
      </w:r>
    </w:p>
    <w:p w:rsidR="003E7F67" w:rsidRDefault="00FA5E91">
      <w:pPr>
        <w:pStyle w:val="a3"/>
        <w:widowControl/>
        <w:shd w:val="clear" w:color="auto" w:fill="FFFFFF"/>
        <w:spacing w:beforeAutospacing="0" w:after="225" w:afterAutospacing="0" w:line="600" w:lineRule="atLeast"/>
        <w:ind w:firstLine="645"/>
        <w:rPr>
          <w:rFonts w:ascii="å¾®è½¯é›…é»‘" w:eastAsia="å¾®è½¯é›…é»‘" w:hAnsi="å¾®è½¯é›…é»‘" w:cs="å¾®è½¯é›…é»‘"/>
          <w:color w:val="000000"/>
        </w:rPr>
      </w:pPr>
      <w:r>
        <w:rPr>
          <w:rFonts w:ascii="仿宋_GB2312" w:eastAsia="仿宋_GB2312" w:hAnsi="å¾®è½¯é›…é»‘" w:cs="仿宋_GB2312" w:hint="eastAsia"/>
          <w:color w:val="000000"/>
          <w:sz w:val="31"/>
          <w:szCs w:val="31"/>
          <w:shd w:val="clear" w:color="auto" w:fill="FFFFFF"/>
        </w:rPr>
        <w:t>进一步强化对政府信息公开工作的领导，根据人事变动和分工变化，及时调整充实政府信息公开工作领导小组，具体负责政府信息公开工作的组织协调和监督检查。及时在全局干部大会上传达学习政府信息公开的规定，对各股室信息公开工作做好审核把关。</w:t>
      </w:r>
    </w:p>
    <w:p w:rsidR="003E7F67" w:rsidRDefault="00FA5E91">
      <w:pPr>
        <w:pStyle w:val="a3"/>
        <w:widowControl/>
        <w:shd w:val="clear" w:color="auto" w:fill="FFFFFF"/>
        <w:spacing w:beforeAutospacing="0" w:after="225" w:afterAutospacing="0" w:line="600" w:lineRule="atLeast"/>
        <w:ind w:firstLine="645"/>
        <w:rPr>
          <w:rFonts w:ascii="å¾®è½¯é›…é»‘" w:eastAsia="å¾®è½¯é›…é»‘" w:hAnsi="å¾®è½¯é›…é»‘" w:cs="å¾®è½¯é›…é»‘"/>
          <w:color w:val="000000"/>
        </w:rPr>
      </w:pPr>
      <w:r>
        <w:rPr>
          <w:rFonts w:ascii="楷体_GB2312" w:eastAsia="楷体_GB2312" w:hAnsi="å¾®è½¯é›…é»‘" w:cs="楷体_GB2312" w:hint="eastAsia"/>
          <w:color w:val="000000"/>
          <w:sz w:val="31"/>
          <w:szCs w:val="31"/>
          <w:shd w:val="clear" w:color="auto" w:fill="FFFFFF"/>
        </w:rPr>
        <w:t>（二）推进多形式多平台公开</w:t>
      </w:r>
    </w:p>
    <w:p w:rsidR="003E7F67" w:rsidRDefault="00FA5E91">
      <w:pPr>
        <w:pStyle w:val="a3"/>
        <w:widowControl/>
        <w:shd w:val="clear" w:color="auto" w:fill="FFFFFF"/>
        <w:spacing w:beforeAutospacing="0" w:after="225" w:afterAutospacing="0" w:line="600" w:lineRule="atLeast"/>
        <w:ind w:firstLine="645"/>
        <w:rPr>
          <w:rFonts w:ascii="å¾®è½¯é›…é»‘" w:eastAsia="å¾®è½¯é›…é»‘" w:hAnsi="å¾®è½¯é›…é»‘" w:cs="å¾®è½¯é›…é»‘"/>
          <w:color w:val="000000"/>
        </w:rPr>
      </w:pPr>
      <w:r>
        <w:rPr>
          <w:rFonts w:ascii="仿宋_GB2312" w:eastAsia="仿宋_GB2312" w:hAnsi="å¾®è½¯é›…é»‘" w:cs="仿宋_GB2312" w:hint="eastAsia"/>
          <w:color w:val="000000"/>
          <w:sz w:val="31"/>
          <w:szCs w:val="31"/>
          <w:shd w:val="clear" w:color="auto" w:fill="FFFFFF"/>
        </w:rPr>
        <w:lastRenderedPageBreak/>
        <w:t>一是坚持将高新区管委会门户网站作为本单位政府信息公开的第一平台，将政府信息主动公开至高新区管委会门户网站，在财政金融局各子栏目分门别类、准确、规范地发布主动公开各类财政相关信息。二是依托“山东省政府采购信息公开平台”和“枣庄市公共资源交易网”，督促各预算单位主动公开政府采购需求公开、采购公告、结果公告、合同公开、验收公开等有关信息，提高政府采购透明度。</w:t>
      </w:r>
    </w:p>
    <w:p w:rsidR="003E7F67" w:rsidRDefault="00FA5E91">
      <w:pPr>
        <w:pStyle w:val="a3"/>
        <w:widowControl/>
        <w:shd w:val="clear" w:color="auto" w:fill="FFFFFF"/>
        <w:spacing w:beforeAutospacing="0" w:after="225" w:afterAutospacing="0" w:line="600" w:lineRule="atLeast"/>
        <w:ind w:firstLine="645"/>
        <w:rPr>
          <w:rFonts w:ascii="å¾®è½¯é›…é»‘" w:eastAsia="å¾®è½¯é›…é»‘" w:hAnsi="å¾®è½¯é›…é»‘" w:cs="å¾®è½¯é›…é»‘"/>
          <w:color w:val="000000"/>
        </w:rPr>
      </w:pPr>
      <w:r>
        <w:rPr>
          <w:rFonts w:ascii="楷体_GB2312" w:eastAsia="楷体_GB2312" w:hAnsi="å¾®è½¯é›…é»‘" w:cs="楷体_GB2312" w:hint="eastAsia"/>
          <w:color w:val="000000"/>
          <w:sz w:val="31"/>
          <w:szCs w:val="31"/>
          <w:shd w:val="clear" w:color="auto" w:fill="FFFFFF"/>
        </w:rPr>
        <w:t>（三）落实牵头任务和重点专项公开</w:t>
      </w:r>
    </w:p>
    <w:p w:rsidR="003E7F67" w:rsidRDefault="00FA5E91">
      <w:pPr>
        <w:pStyle w:val="a3"/>
        <w:widowControl/>
        <w:shd w:val="clear" w:color="auto" w:fill="FFFFFF"/>
        <w:spacing w:beforeAutospacing="0" w:after="225" w:afterAutospacing="0" w:line="600" w:lineRule="atLeast"/>
        <w:ind w:firstLine="645"/>
        <w:rPr>
          <w:rFonts w:ascii="å¾®è½¯é›…é»‘" w:eastAsia="å¾®è½¯é›…é»‘" w:hAnsi="å¾®è½¯é›…é»‘" w:cs="å¾®è½¯é›…é»‘"/>
          <w:color w:val="000000"/>
        </w:rPr>
      </w:pPr>
      <w:r>
        <w:rPr>
          <w:rStyle w:val="a4"/>
          <w:rFonts w:ascii="仿宋_GB2312" w:eastAsia="仿宋_GB2312" w:hAnsi="å¾®è½¯é›…é»‘" w:cs="仿宋_GB2312" w:hint="eastAsia"/>
          <w:color w:val="000000"/>
          <w:sz w:val="31"/>
          <w:szCs w:val="31"/>
          <w:shd w:val="clear" w:color="auto" w:fill="FFFFFF"/>
        </w:rPr>
        <w:t>1.积极推进财政预决算公开。</w:t>
      </w:r>
      <w:r>
        <w:rPr>
          <w:rFonts w:ascii="仿宋_GB2312" w:eastAsia="仿宋_GB2312" w:hAnsi="å¾®è½¯é›…é»‘" w:cs="仿宋_GB2312" w:hint="eastAsia"/>
          <w:color w:val="000000"/>
          <w:sz w:val="31"/>
          <w:szCs w:val="31"/>
          <w:shd w:val="clear" w:color="auto" w:fill="FFFFFF"/>
        </w:rPr>
        <w:t>严格按照规定的格式和要求公开经市人大批准的政府预决算信息，督促、指导我区各一级预算单位主动公开2020年度部门预算及2019年度部门决算。按照《预算法》的规定做到了及时公开预决算报告、部门预决算和“三公”经费预决算，内容分级分类，一目了然，方便公众对政府预算的查阅和监督。</w:t>
      </w:r>
    </w:p>
    <w:p w:rsidR="003E7F67" w:rsidRDefault="00FA5E91">
      <w:pPr>
        <w:pStyle w:val="a3"/>
        <w:widowControl/>
        <w:shd w:val="clear" w:color="auto" w:fill="FFFFFF"/>
        <w:spacing w:beforeAutospacing="0" w:after="225" w:afterAutospacing="0" w:line="600" w:lineRule="atLeast"/>
        <w:ind w:firstLine="645"/>
        <w:rPr>
          <w:rFonts w:ascii="å¾®è½¯é›…é»‘" w:eastAsia="å¾®è½¯é›…é»‘" w:hAnsi="å¾®è½¯é›…é»‘" w:cs="å¾®è½¯é›…é»‘"/>
          <w:color w:val="000000"/>
        </w:rPr>
      </w:pPr>
      <w:r>
        <w:rPr>
          <w:rStyle w:val="a4"/>
          <w:rFonts w:ascii="仿宋_GB2312" w:eastAsia="仿宋_GB2312" w:hAnsi="å¾®è½¯é›…é»‘" w:cs="仿宋_GB2312" w:hint="eastAsia"/>
          <w:color w:val="000000"/>
          <w:sz w:val="31"/>
          <w:szCs w:val="31"/>
          <w:shd w:val="clear" w:color="auto" w:fill="FFFFFF"/>
        </w:rPr>
        <w:t>2.推进政府债务信息公开。</w:t>
      </w:r>
      <w:r>
        <w:rPr>
          <w:rFonts w:ascii="仿宋_GB2312" w:eastAsia="仿宋_GB2312" w:hAnsi="å¾®è½¯é›…é»‘" w:cs="仿宋_GB2312" w:hint="eastAsia"/>
          <w:color w:val="000000"/>
          <w:sz w:val="31"/>
          <w:szCs w:val="31"/>
          <w:shd w:val="clear" w:color="auto" w:fill="FFFFFF"/>
        </w:rPr>
        <w:t>每年与财政预决算一同公开地方政府债务限额、余额等信息。除涉密信息外，及时主动落实预决算公开工作。</w:t>
      </w:r>
    </w:p>
    <w:p w:rsidR="003E7F67" w:rsidRDefault="00FA5E91">
      <w:pPr>
        <w:pStyle w:val="a3"/>
        <w:widowControl/>
        <w:shd w:val="clear" w:color="auto" w:fill="FFFFFF"/>
        <w:spacing w:beforeAutospacing="0" w:after="225" w:afterAutospacing="0" w:line="600" w:lineRule="atLeast"/>
        <w:ind w:firstLine="645"/>
        <w:rPr>
          <w:rFonts w:ascii="å¾®è½¯é›…é»‘" w:eastAsia="å¾®è½¯é›…é»‘" w:hAnsi="å¾®è½¯é›…é»‘" w:cs="å¾®è½¯é›…é»‘"/>
          <w:color w:val="000000"/>
        </w:rPr>
      </w:pPr>
      <w:r>
        <w:rPr>
          <w:rStyle w:val="a4"/>
          <w:rFonts w:ascii="仿宋_GB2312" w:eastAsia="仿宋_GB2312" w:hAnsi="å¾®è½¯é›…é»‘" w:cs="仿宋_GB2312" w:hint="eastAsia"/>
          <w:color w:val="000000"/>
          <w:sz w:val="31"/>
          <w:szCs w:val="31"/>
          <w:shd w:val="clear" w:color="auto" w:fill="FFFFFF"/>
        </w:rPr>
        <w:t>3.继续实施收费和基金公开。</w:t>
      </w:r>
      <w:r>
        <w:rPr>
          <w:rFonts w:ascii="仿宋_GB2312" w:eastAsia="仿宋_GB2312" w:hAnsi="å¾®è½¯é›…é»‘" w:cs="仿宋_GB2312" w:hint="eastAsia"/>
          <w:color w:val="000000"/>
          <w:sz w:val="31"/>
          <w:szCs w:val="31"/>
          <w:shd w:val="clear" w:color="auto" w:fill="FFFFFF"/>
        </w:rPr>
        <w:t>对行政事业性收费和政府性基金实施清单管理，在门户网站全面公开山东省行政事业性收费和政府性基金清单。对行政事业性收费和政府性基金实行清单管理，清理、规范涉企收费和梳理财政涉企优惠政策。</w:t>
      </w:r>
    </w:p>
    <w:p w:rsidR="00717067" w:rsidRDefault="00FA5E91" w:rsidP="00E25299">
      <w:pPr>
        <w:pStyle w:val="a3"/>
        <w:widowControl/>
        <w:shd w:val="clear" w:color="auto" w:fill="FFFFFF"/>
        <w:spacing w:beforeAutospacing="0" w:after="225" w:afterAutospacing="0" w:line="600" w:lineRule="atLeast"/>
        <w:ind w:firstLine="645"/>
        <w:rPr>
          <w:rFonts w:ascii="仿宋_GB2312" w:eastAsia="仿宋_GB2312" w:hAnsi="å¾®è½¯é›…é»‘" w:cs="仿宋_GB2312"/>
          <w:color w:val="000000"/>
          <w:sz w:val="31"/>
          <w:szCs w:val="31"/>
          <w:shd w:val="clear" w:color="auto" w:fill="FFFFFF"/>
        </w:rPr>
      </w:pPr>
      <w:r>
        <w:rPr>
          <w:rStyle w:val="a4"/>
          <w:rFonts w:ascii="仿宋_GB2312" w:eastAsia="仿宋_GB2312" w:hAnsi="å¾®è½¯é›…é»‘" w:cs="仿宋_GB2312" w:hint="eastAsia"/>
          <w:color w:val="000000"/>
          <w:sz w:val="31"/>
          <w:szCs w:val="31"/>
          <w:shd w:val="clear" w:color="auto" w:fill="FFFFFF"/>
        </w:rPr>
        <w:lastRenderedPageBreak/>
        <w:t>4.推进财政涉农、扶贫资金信息公开。</w:t>
      </w:r>
      <w:r>
        <w:rPr>
          <w:rFonts w:ascii="仿宋_GB2312" w:eastAsia="仿宋_GB2312" w:hAnsi="å¾®è½¯é›…é»‘" w:cs="仿宋_GB2312" w:hint="eastAsia"/>
          <w:color w:val="000000"/>
          <w:sz w:val="31"/>
          <w:szCs w:val="31"/>
          <w:shd w:val="clear" w:color="auto" w:fill="FFFFFF"/>
        </w:rPr>
        <w:t>围绕打好精准脱贫攻坚战，重点做好相关政策举措、扶贫项目、扶贫资金等信息公开工作，全年在门户网站财政扶贫相关子专栏，主动公开财政扶贫资金指标文件、财政扶贫政策、其他涉农资金等文件共计</w:t>
      </w:r>
      <w:r>
        <w:rPr>
          <w:rFonts w:ascii="Times New Roman" w:eastAsia="å¾®è½¯é›…é»‘" w:hAnsi="Times New Roman"/>
          <w:color w:val="000000"/>
          <w:sz w:val="31"/>
          <w:szCs w:val="31"/>
          <w:shd w:val="clear" w:color="auto" w:fill="FFFFFF"/>
        </w:rPr>
        <w:t>3</w:t>
      </w:r>
      <w:r>
        <w:rPr>
          <w:rFonts w:ascii="仿宋_GB2312" w:eastAsia="仿宋_GB2312" w:hAnsi="å¾®è½¯é›…é»‘" w:cs="仿宋_GB2312" w:hint="eastAsia"/>
          <w:color w:val="000000"/>
          <w:sz w:val="31"/>
          <w:szCs w:val="31"/>
          <w:shd w:val="clear" w:color="auto" w:fill="FFFFFF"/>
        </w:rPr>
        <w:t>件。</w:t>
      </w:r>
    </w:p>
    <w:p w:rsidR="00C614AC" w:rsidRDefault="00C614AC" w:rsidP="00E25299">
      <w:pPr>
        <w:pStyle w:val="a3"/>
        <w:widowControl/>
        <w:shd w:val="clear" w:color="auto" w:fill="FFFFFF"/>
        <w:spacing w:beforeAutospacing="0" w:after="225" w:afterAutospacing="0" w:line="600" w:lineRule="atLeast"/>
        <w:ind w:firstLine="645"/>
        <w:rPr>
          <w:rFonts w:ascii="仿宋_GB2312" w:eastAsia="仿宋_GB2312" w:hAnsi="å¾®è½¯é›…é»‘" w:cs="仿宋_GB2312"/>
          <w:color w:val="000000"/>
          <w:sz w:val="31"/>
          <w:szCs w:val="31"/>
          <w:shd w:val="clear" w:color="auto" w:fill="FFFFFF"/>
        </w:rPr>
      </w:pPr>
      <w:r w:rsidRPr="00C614AC">
        <w:rPr>
          <w:rFonts w:ascii="仿宋_GB2312" w:eastAsia="仿宋_GB2312" w:hAnsi="å¾®è½¯é›…é»‘" w:cs="仿宋_GB2312"/>
          <w:noProof/>
          <w:color w:val="000000"/>
          <w:sz w:val="31"/>
          <w:szCs w:val="31"/>
          <w:shd w:val="clear" w:color="auto" w:fill="FFFFFF"/>
        </w:rPr>
        <w:drawing>
          <wp:inline distT="0" distB="0" distL="0" distR="0">
            <wp:extent cx="4857750" cy="2752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2752725"/>
                    </a:xfrm>
                    <a:prstGeom prst="rect">
                      <a:avLst/>
                    </a:prstGeom>
                    <a:noFill/>
                    <a:ln>
                      <a:noFill/>
                    </a:ln>
                  </pic:spPr>
                </pic:pic>
              </a:graphicData>
            </a:graphic>
          </wp:inline>
        </w:drawing>
      </w:r>
    </w:p>
    <w:p w:rsidR="003E7F67" w:rsidRDefault="00FA5E91">
      <w:pPr>
        <w:widowControl/>
        <w:jc w:val="left"/>
        <w:rPr>
          <w:rFonts w:ascii="å¾®è½¯é›…é»‘" w:eastAsia="å¾®è½¯é›…é»‘" w:hAnsi="å¾®è½¯é›…é»‘" w:cs="å¾®è½¯é›…é»‘"/>
          <w:color w:val="000000"/>
          <w:sz w:val="24"/>
        </w:rPr>
      </w:pPr>
      <w:bookmarkStart w:id="0" w:name="_GoBack"/>
      <w:bookmarkEnd w:id="0"/>
      <w:r>
        <w:rPr>
          <w:rFonts w:ascii="黑体" w:eastAsia="黑体" w:hAnsi="宋体" w:cs="黑体" w:hint="eastAsia"/>
          <w:color w:val="000000"/>
          <w:sz w:val="31"/>
          <w:szCs w:val="31"/>
          <w:shd w:val="clear" w:color="auto" w:fill="FFFFFF"/>
        </w:rPr>
        <w:t> </w:t>
      </w:r>
      <w:r>
        <w:rPr>
          <w:rFonts w:ascii="黑体" w:eastAsia="黑体" w:hAnsi="宋体" w:cs="黑体" w:hint="eastAsia"/>
          <w:color w:val="000000"/>
          <w:sz w:val="31"/>
          <w:szCs w:val="31"/>
          <w:shd w:val="clear" w:color="auto" w:fill="FFFFFF"/>
        </w:rPr>
        <w:t xml:space="preserve"> </w:t>
      </w:r>
      <w:r>
        <w:rPr>
          <w:rFonts w:ascii="黑体" w:eastAsia="黑体" w:hAnsi="宋体" w:cs="黑体" w:hint="eastAsia"/>
          <w:color w:val="000000"/>
          <w:sz w:val="31"/>
          <w:szCs w:val="31"/>
          <w:shd w:val="clear" w:color="auto" w:fill="FFFFFF"/>
        </w:rPr>
        <w:t> </w:t>
      </w:r>
      <w:r>
        <w:rPr>
          <w:rFonts w:ascii="黑体" w:eastAsia="黑体" w:hAnsi="宋体" w:cs="黑体" w:hint="eastAsia"/>
          <w:color w:val="000000"/>
          <w:sz w:val="31"/>
          <w:szCs w:val="31"/>
          <w:shd w:val="clear" w:color="auto" w:fill="FFFFFF"/>
        </w:rPr>
        <w:t xml:space="preserve"> 二、主动公开政府信息情况</w:t>
      </w:r>
    </w:p>
    <w:tbl>
      <w:tblPr>
        <w:tblW w:w="8145" w:type="dxa"/>
        <w:tblCellMar>
          <w:top w:w="15" w:type="dxa"/>
          <w:left w:w="15" w:type="dxa"/>
          <w:bottom w:w="15" w:type="dxa"/>
          <w:right w:w="15" w:type="dxa"/>
        </w:tblCellMar>
        <w:tblLook w:val="04A0" w:firstRow="1" w:lastRow="0" w:firstColumn="1" w:lastColumn="0" w:noHBand="0" w:noVBand="1"/>
      </w:tblPr>
      <w:tblGrid>
        <w:gridCol w:w="3120"/>
        <w:gridCol w:w="1875"/>
        <w:gridCol w:w="1275"/>
        <w:gridCol w:w="1875"/>
      </w:tblGrid>
      <w:tr w:rsidR="003E7F67">
        <w:trPr>
          <w:trHeight w:val="495"/>
        </w:trPr>
        <w:tc>
          <w:tcPr>
            <w:tcW w:w="81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第二十条第（一）项</w:t>
            </w:r>
          </w:p>
        </w:tc>
      </w:tr>
      <w:tr w:rsidR="003E7F67">
        <w:trPr>
          <w:trHeight w:val="88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本年新</w:t>
            </w:r>
            <w:r>
              <w:rPr>
                <w:rFonts w:ascii="Times New Roman" w:hAnsi="Times New Roman"/>
                <w:color w:val="000000"/>
                <w:sz w:val="19"/>
                <w:szCs w:val="19"/>
              </w:rPr>
              <w:br/>
              <w:t>  </w:t>
            </w:r>
            <w:r>
              <w:rPr>
                <w:rFonts w:ascii="宋体" w:eastAsia="宋体" w:hAnsi="宋体" w:cs="宋体" w:hint="eastAsia"/>
                <w:sz w:val="19"/>
                <w:szCs w:val="19"/>
              </w:rPr>
              <w:t>制作数量</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本年新</w:t>
            </w:r>
            <w:r>
              <w:rPr>
                <w:rFonts w:ascii="Times New Roman" w:hAnsi="Times New Roman"/>
                <w:color w:val="000000"/>
                <w:sz w:val="19"/>
                <w:szCs w:val="19"/>
              </w:rPr>
              <w:br/>
              <w:t>  </w:t>
            </w:r>
            <w:r>
              <w:rPr>
                <w:rFonts w:ascii="宋体" w:eastAsia="宋体" w:hAnsi="宋体" w:cs="宋体" w:hint="eastAsia"/>
                <w:sz w:val="19"/>
                <w:szCs w:val="19"/>
              </w:rPr>
              <w:t>公开数量</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对外公开总数量</w:t>
            </w:r>
          </w:p>
        </w:tc>
      </w:tr>
      <w:tr w:rsidR="003E7F67">
        <w:trPr>
          <w:trHeight w:val="52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规章</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color w:val="000000"/>
                <w:sz w:val="19"/>
                <w:szCs w:val="19"/>
              </w:rPr>
              <w:t> 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r>
      <w:tr w:rsidR="003E7F67">
        <w:trPr>
          <w:trHeight w:val="46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规范性文件</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3</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color w:val="000000"/>
                <w:sz w:val="19"/>
                <w:szCs w:val="19"/>
              </w:rPr>
              <w:t> 3</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3</w:t>
            </w:r>
          </w:p>
        </w:tc>
      </w:tr>
      <w:tr w:rsidR="003E7F67">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第二十条第（五）项</w:t>
            </w:r>
          </w:p>
        </w:tc>
      </w:tr>
      <w:tr w:rsidR="003E7F67">
        <w:trPr>
          <w:trHeight w:val="630"/>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上一年项目数量</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本年增</w:t>
            </w:r>
            <w:r>
              <w:rPr>
                <w:rFonts w:ascii="Times New Roman" w:hAnsi="Times New Roman"/>
                <w:color w:val="000000"/>
                <w:sz w:val="19"/>
                <w:szCs w:val="19"/>
              </w:rPr>
              <w:t>/</w:t>
            </w:r>
            <w:r>
              <w:rPr>
                <w:rFonts w:ascii="宋体" w:eastAsia="宋体" w:hAnsi="宋体" w:cs="宋体" w:hint="eastAsia"/>
                <w:color w:val="000000"/>
                <w:sz w:val="19"/>
                <w:szCs w:val="19"/>
              </w:rPr>
              <w:t>减</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处理决定数量</w:t>
            </w:r>
          </w:p>
        </w:tc>
      </w:tr>
      <w:tr w:rsidR="003E7F67">
        <w:trPr>
          <w:trHeight w:val="52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行政许可</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r>
      <w:tr w:rsidR="003E7F67">
        <w:trPr>
          <w:trHeight w:val="55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其他对外管理服务事项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r>
      <w:tr w:rsidR="003E7F67">
        <w:trPr>
          <w:trHeight w:val="405"/>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lastRenderedPageBreak/>
              <w:t>第二十条第（六）项</w:t>
            </w:r>
          </w:p>
        </w:tc>
      </w:tr>
      <w:tr w:rsidR="003E7F67">
        <w:trPr>
          <w:trHeight w:val="630"/>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上一年项目数量</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本年增</w:t>
            </w:r>
            <w:r>
              <w:rPr>
                <w:rFonts w:ascii="Times New Roman" w:hAnsi="Times New Roman"/>
                <w:color w:val="000000"/>
                <w:sz w:val="19"/>
                <w:szCs w:val="19"/>
              </w:rPr>
              <w:t>/</w:t>
            </w:r>
            <w:r>
              <w:rPr>
                <w:rFonts w:ascii="宋体" w:eastAsia="宋体" w:hAnsi="宋体" w:cs="宋体" w:hint="eastAsia"/>
                <w:color w:val="000000"/>
                <w:sz w:val="19"/>
                <w:szCs w:val="19"/>
              </w:rPr>
              <w:t>减</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处理决定数量</w:t>
            </w:r>
          </w:p>
        </w:tc>
      </w:tr>
      <w:tr w:rsidR="003E7F67">
        <w:trPr>
          <w:trHeight w:val="43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行政处罚</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r>
      <w:tr w:rsidR="003E7F67">
        <w:trPr>
          <w:trHeight w:val="40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行政强制</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r>
      <w:tr w:rsidR="003E7F67">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第二十条第（八）项</w:t>
            </w:r>
          </w:p>
        </w:tc>
      </w:tr>
      <w:tr w:rsidR="003E7F67">
        <w:trPr>
          <w:trHeight w:val="270"/>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上一年项目数量</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本年增</w:t>
            </w:r>
            <w:r>
              <w:rPr>
                <w:rFonts w:ascii="Times New Roman" w:hAnsi="Times New Roman"/>
                <w:color w:val="000000"/>
                <w:sz w:val="19"/>
                <w:szCs w:val="19"/>
              </w:rPr>
              <w:t>/</w:t>
            </w:r>
            <w:r>
              <w:rPr>
                <w:rFonts w:ascii="宋体" w:eastAsia="宋体" w:hAnsi="宋体" w:cs="宋体" w:hint="eastAsia"/>
                <w:color w:val="000000"/>
                <w:sz w:val="19"/>
                <w:szCs w:val="19"/>
              </w:rPr>
              <w:t>减</w:t>
            </w:r>
          </w:p>
        </w:tc>
      </w:tr>
      <w:tr w:rsidR="003E7F67">
        <w:trPr>
          <w:trHeight w:val="55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行政事业性收费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0</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color w:val="000000"/>
                <w:sz w:val="19"/>
                <w:szCs w:val="19"/>
              </w:rPr>
              <w:t> 0</w:t>
            </w:r>
          </w:p>
        </w:tc>
      </w:tr>
      <w:tr w:rsidR="003E7F67">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第二十条第（九）项</w:t>
            </w:r>
          </w:p>
        </w:tc>
      </w:tr>
      <w:tr w:rsidR="003E7F67">
        <w:trPr>
          <w:trHeight w:val="58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采购项目数量</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采购总金额</w:t>
            </w:r>
          </w:p>
        </w:tc>
      </w:tr>
      <w:tr w:rsidR="003E7F67">
        <w:trPr>
          <w:trHeight w:val="540"/>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政府集中采购</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t xml:space="preserve">　</w:t>
            </w:r>
            <w:r>
              <w:rPr>
                <w:rFonts w:ascii="Times New Roman" w:hAnsi="Times New Roman"/>
                <w:color w:val="000000"/>
                <w:sz w:val="19"/>
                <w:szCs w:val="19"/>
              </w:rPr>
              <w:t>3</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3E7F67" w:rsidRDefault="00FA5E91" w:rsidP="00717067">
            <w:pPr>
              <w:pStyle w:val="a3"/>
              <w:widowControl/>
              <w:spacing w:beforeAutospacing="0" w:after="225" w:afterAutospacing="0" w:line="26" w:lineRule="atLeast"/>
              <w:jc w:val="center"/>
            </w:pPr>
            <w:r w:rsidRPr="00717067">
              <w:rPr>
                <w:rFonts w:ascii="Times New Roman" w:hAnsi="Times New Roman"/>
                <w:color w:val="000000"/>
                <w:sz w:val="19"/>
                <w:szCs w:val="19"/>
              </w:rPr>
              <w:t>141</w:t>
            </w:r>
            <w:r w:rsidRPr="00717067">
              <w:rPr>
                <w:rFonts w:ascii="Times New Roman" w:hAnsi="Times New Roman" w:hint="eastAsia"/>
                <w:color w:val="000000"/>
                <w:sz w:val="19"/>
                <w:szCs w:val="19"/>
              </w:rPr>
              <w:t>万元</w:t>
            </w:r>
          </w:p>
        </w:tc>
      </w:tr>
    </w:tbl>
    <w:p w:rsidR="003E7F67" w:rsidRDefault="00FA5E91">
      <w:pPr>
        <w:pStyle w:val="a3"/>
        <w:widowControl/>
        <w:spacing w:beforeAutospacing="0" w:after="226" w:afterAutospacing="0" w:line="26" w:lineRule="atLeast"/>
      </w:pPr>
      <w:r>
        <w:rPr>
          <w:rFonts w:ascii="黑体" w:eastAsia="黑体" w:hAnsi="宋体" w:cs="黑体" w:hint="eastAsia"/>
          <w:color w:val="000000"/>
          <w:sz w:val="31"/>
          <w:szCs w:val="31"/>
          <w:shd w:val="clear" w:color="auto" w:fill="FFFFFF"/>
        </w:rPr>
        <w:t> </w:t>
      </w:r>
      <w:r>
        <w:rPr>
          <w:rFonts w:ascii="黑体" w:eastAsia="黑体" w:hAnsi="宋体" w:cs="黑体" w:hint="eastAsia"/>
          <w:color w:val="000000"/>
          <w:sz w:val="31"/>
          <w:szCs w:val="31"/>
          <w:shd w:val="clear" w:color="auto" w:fill="FFFFFF"/>
        </w:rPr>
        <w:t xml:space="preserve"> </w:t>
      </w:r>
      <w:r>
        <w:rPr>
          <w:rFonts w:ascii="黑体" w:eastAsia="黑体" w:hAnsi="宋体" w:cs="黑体" w:hint="eastAsia"/>
          <w:color w:val="000000"/>
          <w:sz w:val="31"/>
          <w:szCs w:val="31"/>
          <w:shd w:val="clear" w:color="auto" w:fill="FFFFFF"/>
        </w:rPr>
        <w:t> </w:t>
      </w:r>
      <w:r>
        <w:rPr>
          <w:rFonts w:ascii="黑体" w:eastAsia="黑体" w:hAnsi="宋体" w:cs="黑体" w:hint="eastAsia"/>
          <w:color w:val="000000"/>
          <w:sz w:val="31"/>
          <w:szCs w:val="31"/>
          <w:shd w:val="clear" w:color="auto" w:fill="FFFFFF"/>
        </w:rPr>
        <w:t xml:space="preserve"> 三、收到和处理政府信息公开申请情况</w:t>
      </w:r>
    </w:p>
    <w:tbl>
      <w:tblPr>
        <w:tblW w:w="9135" w:type="dxa"/>
        <w:tblCellMar>
          <w:top w:w="15" w:type="dxa"/>
          <w:left w:w="15" w:type="dxa"/>
          <w:bottom w:w="15" w:type="dxa"/>
          <w:right w:w="15" w:type="dxa"/>
        </w:tblCellMar>
        <w:tblLook w:val="04A0" w:firstRow="1" w:lastRow="0" w:firstColumn="1" w:lastColumn="0" w:noHBand="0" w:noVBand="1"/>
      </w:tblPr>
      <w:tblGrid>
        <w:gridCol w:w="615"/>
        <w:gridCol w:w="825"/>
        <w:gridCol w:w="2265"/>
        <w:gridCol w:w="720"/>
        <w:gridCol w:w="750"/>
        <w:gridCol w:w="750"/>
        <w:gridCol w:w="885"/>
        <w:gridCol w:w="900"/>
        <w:gridCol w:w="720"/>
        <w:gridCol w:w="705"/>
      </w:tblGrid>
      <w:tr w:rsidR="003E7F67">
        <w:trPr>
          <w:trHeight w:val="345"/>
        </w:trPr>
        <w:tc>
          <w:tcPr>
            <w:tcW w:w="3705"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（本列数据的勾稽关系为：第一项加第二项之和，等于第三项加第四项之和）</w:t>
            </w:r>
          </w:p>
        </w:tc>
        <w:tc>
          <w:tcPr>
            <w:tcW w:w="5430" w:type="dxa"/>
            <w:gridSpan w:val="7"/>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申请人情况</w:t>
            </w:r>
          </w:p>
        </w:tc>
      </w:tr>
      <w:tr w:rsidR="003E7F67">
        <w:trPr>
          <w:trHeight w:val="360"/>
        </w:trPr>
        <w:tc>
          <w:tcPr>
            <w:tcW w:w="3705" w:type="dxa"/>
            <w:gridSpan w:val="3"/>
            <w:vMerge/>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72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自然人</w:t>
            </w:r>
          </w:p>
        </w:tc>
        <w:tc>
          <w:tcPr>
            <w:tcW w:w="400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法人或其他组织</w:t>
            </w:r>
          </w:p>
        </w:tc>
        <w:tc>
          <w:tcPr>
            <w:tcW w:w="69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总计</w:t>
            </w:r>
          </w:p>
        </w:tc>
      </w:tr>
      <w:tr w:rsidR="003E7F67">
        <w:trPr>
          <w:trHeight w:val="690"/>
        </w:trPr>
        <w:tc>
          <w:tcPr>
            <w:tcW w:w="3705" w:type="dxa"/>
            <w:gridSpan w:val="3"/>
            <w:vMerge/>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72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商业企业</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科研机构</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社会公益组织</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法律服务机构</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其他</w:t>
            </w:r>
          </w:p>
        </w:tc>
        <w:tc>
          <w:tcPr>
            <w:tcW w:w="69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r>
      <w:tr w:rsidR="003E7F67">
        <w:trPr>
          <w:trHeight w:val="345"/>
        </w:trPr>
        <w:tc>
          <w:tcPr>
            <w:tcW w:w="370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sz w:val="19"/>
                <w:szCs w:val="19"/>
              </w:rPr>
              <w:t>一、本年新收政府信息公开申请数量</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45"/>
        </w:trPr>
        <w:tc>
          <w:tcPr>
            <w:tcW w:w="370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sz w:val="19"/>
                <w:szCs w:val="19"/>
              </w:rPr>
              <w:t>二、上年结转政府信息公开申请数量</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45"/>
        </w:trPr>
        <w:tc>
          <w:tcPr>
            <w:tcW w:w="61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三、本年度办理结果</w:t>
            </w:r>
          </w:p>
        </w:tc>
        <w:tc>
          <w:tcPr>
            <w:tcW w:w="30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楷体" w:eastAsia="楷体" w:hAnsi="楷体" w:cs="楷体"/>
                <w:sz w:val="19"/>
                <w:szCs w:val="19"/>
              </w:rPr>
              <w:t>（一）予以公开</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widowControl/>
              <w:jc w:val="left"/>
            </w:pPr>
          </w:p>
        </w:tc>
      </w:tr>
      <w:tr w:rsidR="003E7F67">
        <w:trPr>
          <w:trHeight w:val="705"/>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30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楷体" w:eastAsia="楷体" w:hAnsi="楷体" w:cs="楷体" w:hint="eastAsia"/>
                <w:sz w:val="19"/>
                <w:szCs w:val="19"/>
              </w:rPr>
              <w:t>（二）部分公开（区分处理的，只计这一情形，不计其他情形）</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6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楷体" w:eastAsia="楷体" w:hAnsi="楷体" w:cs="楷体" w:hint="eastAsia"/>
                <w:sz w:val="19"/>
                <w:szCs w:val="19"/>
              </w:rPr>
              <w:t>（三）不予公开</w:t>
            </w: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1.</w:t>
            </w:r>
            <w:r>
              <w:rPr>
                <w:rFonts w:ascii="楷体" w:eastAsia="楷体" w:hAnsi="楷体" w:cs="楷体" w:hint="eastAsia"/>
                <w:sz w:val="19"/>
                <w:szCs w:val="19"/>
              </w:rPr>
              <w:t>属于国家秘密</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69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2.</w:t>
            </w:r>
            <w:r>
              <w:rPr>
                <w:rFonts w:ascii="楷体" w:eastAsia="楷体" w:hAnsi="楷体" w:cs="楷体" w:hint="eastAsia"/>
                <w:sz w:val="19"/>
                <w:szCs w:val="19"/>
              </w:rPr>
              <w:t>其他法律行政法规禁止公开</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6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3.</w:t>
            </w:r>
            <w:r>
              <w:rPr>
                <w:rFonts w:ascii="楷体" w:eastAsia="楷体" w:hAnsi="楷体" w:cs="楷体" w:hint="eastAsia"/>
                <w:sz w:val="19"/>
                <w:szCs w:val="19"/>
              </w:rPr>
              <w:t>危及</w:t>
            </w:r>
            <w:r>
              <w:rPr>
                <w:rFonts w:ascii="Times New Roman" w:hAnsi="Times New Roman"/>
                <w:sz w:val="19"/>
                <w:szCs w:val="19"/>
              </w:rPr>
              <w:t>“</w:t>
            </w:r>
            <w:r>
              <w:rPr>
                <w:rFonts w:ascii="楷体" w:eastAsia="楷体" w:hAnsi="楷体" w:cs="楷体" w:hint="eastAsia"/>
                <w:sz w:val="19"/>
                <w:szCs w:val="19"/>
              </w:rPr>
              <w:t>三安全一稳定</w:t>
            </w:r>
            <w:r>
              <w:rPr>
                <w:rFonts w:ascii="Times New Roman" w:hAnsi="Times New Roman"/>
                <w:sz w:val="19"/>
                <w:szCs w:val="19"/>
              </w:rPr>
              <w:t>”</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45"/>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4.</w:t>
            </w:r>
            <w:r>
              <w:rPr>
                <w:rFonts w:ascii="楷体" w:eastAsia="楷体" w:hAnsi="楷体" w:cs="楷体" w:hint="eastAsia"/>
                <w:sz w:val="19"/>
                <w:szCs w:val="19"/>
              </w:rPr>
              <w:t>保护第三方合法权益</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69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5.</w:t>
            </w:r>
            <w:r>
              <w:rPr>
                <w:rFonts w:ascii="楷体" w:eastAsia="楷体" w:hAnsi="楷体" w:cs="楷体" w:hint="eastAsia"/>
                <w:sz w:val="19"/>
                <w:szCs w:val="19"/>
              </w:rPr>
              <w:t>属于三类内部事务信息</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6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6.</w:t>
            </w:r>
            <w:r>
              <w:rPr>
                <w:rFonts w:ascii="楷体" w:eastAsia="楷体" w:hAnsi="楷体" w:cs="楷体" w:hint="eastAsia"/>
                <w:sz w:val="19"/>
                <w:szCs w:val="19"/>
              </w:rPr>
              <w:t>属于四类过程性信息</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45"/>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7.</w:t>
            </w:r>
            <w:r>
              <w:rPr>
                <w:rFonts w:ascii="楷体" w:eastAsia="楷体" w:hAnsi="楷体" w:cs="楷体" w:hint="eastAsia"/>
                <w:sz w:val="19"/>
                <w:szCs w:val="19"/>
              </w:rPr>
              <w:t>属于行政执法案卷</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r>
      <w:tr w:rsidR="003E7F67">
        <w:trPr>
          <w:trHeight w:val="36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8.</w:t>
            </w:r>
            <w:r>
              <w:rPr>
                <w:rFonts w:ascii="楷体" w:eastAsia="楷体" w:hAnsi="楷体" w:cs="楷体" w:hint="eastAsia"/>
                <w:sz w:val="19"/>
                <w:szCs w:val="19"/>
              </w:rPr>
              <w:t>属于行政查询事项</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705"/>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楷体" w:eastAsia="楷体" w:hAnsi="楷体" w:cs="楷体" w:hint="eastAsia"/>
                <w:sz w:val="19"/>
                <w:szCs w:val="19"/>
              </w:rPr>
              <w:t>（四）无法提供</w:t>
            </w: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1.</w:t>
            </w:r>
            <w:r>
              <w:rPr>
                <w:rFonts w:ascii="楷体" w:eastAsia="楷体" w:hAnsi="楷体" w:cs="楷体" w:hint="eastAsia"/>
                <w:sz w:val="19"/>
                <w:szCs w:val="19"/>
              </w:rPr>
              <w:t>本机关不掌握相关政府信息</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r>
      <w:tr w:rsidR="003E7F67">
        <w:trPr>
          <w:trHeight w:val="69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2.</w:t>
            </w:r>
            <w:r>
              <w:rPr>
                <w:rFonts w:ascii="楷体" w:eastAsia="楷体" w:hAnsi="楷体" w:cs="楷体" w:hint="eastAsia"/>
                <w:sz w:val="19"/>
                <w:szCs w:val="19"/>
              </w:rPr>
              <w:t>没有现成信息需要另行制作</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705"/>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3.</w:t>
            </w:r>
            <w:r>
              <w:rPr>
                <w:rFonts w:ascii="楷体" w:eastAsia="楷体" w:hAnsi="楷体" w:cs="楷体" w:hint="eastAsia"/>
                <w:sz w:val="19"/>
                <w:szCs w:val="19"/>
              </w:rPr>
              <w:t>补正后申请内容仍不明确</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45"/>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楷体" w:eastAsia="楷体" w:hAnsi="楷体" w:cs="楷体" w:hint="eastAsia"/>
                <w:sz w:val="19"/>
                <w:szCs w:val="19"/>
              </w:rPr>
              <w:t>（五）不予处理</w:t>
            </w: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1.</w:t>
            </w:r>
            <w:r>
              <w:rPr>
                <w:rFonts w:ascii="楷体" w:eastAsia="楷体" w:hAnsi="楷体" w:cs="楷体" w:hint="eastAsia"/>
                <w:sz w:val="19"/>
                <w:szCs w:val="19"/>
              </w:rPr>
              <w:t>信访举报投诉类申请</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6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2.</w:t>
            </w:r>
            <w:r>
              <w:rPr>
                <w:rFonts w:ascii="楷体" w:eastAsia="楷体" w:hAnsi="楷体" w:cs="楷体" w:hint="eastAsia"/>
                <w:sz w:val="19"/>
                <w:szCs w:val="19"/>
              </w:rPr>
              <w:t>重复申请</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6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3.</w:t>
            </w:r>
            <w:r>
              <w:rPr>
                <w:rFonts w:ascii="楷体" w:eastAsia="楷体" w:hAnsi="楷体" w:cs="楷体" w:hint="eastAsia"/>
                <w:sz w:val="19"/>
                <w:szCs w:val="19"/>
              </w:rPr>
              <w:t>要求提供公开出版物</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r>
      <w:tr w:rsidR="003E7F67">
        <w:trPr>
          <w:trHeight w:val="705"/>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4.</w:t>
            </w:r>
            <w:r>
              <w:rPr>
                <w:rFonts w:ascii="楷体" w:eastAsia="楷体" w:hAnsi="楷体" w:cs="楷体" w:hint="eastAsia"/>
                <w:sz w:val="19"/>
                <w:szCs w:val="19"/>
              </w:rPr>
              <w:t>无正当理由大量反复申请</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r>
      <w:tr w:rsidR="003E7F67">
        <w:trPr>
          <w:trHeight w:val="69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82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sz w:val="19"/>
                <w:szCs w:val="19"/>
              </w:rPr>
              <w:t>5.</w:t>
            </w:r>
            <w:r>
              <w:rPr>
                <w:rFonts w:ascii="楷体" w:eastAsia="楷体" w:hAnsi="楷体" w:cs="楷体" w:hint="eastAsia"/>
                <w:sz w:val="19"/>
                <w:szCs w:val="19"/>
              </w:rPr>
              <w:t>要求行政机关确认或重新出具已获取信息</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36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30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楷体" w:eastAsia="楷体" w:hAnsi="楷体" w:cs="楷体" w:hint="eastAsia"/>
                <w:sz w:val="19"/>
                <w:szCs w:val="19"/>
              </w:rPr>
              <w:t>（六）其他处理</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widowControl/>
              <w:jc w:val="left"/>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r>
      <w:tr w:rsidR="003E7F67">
        <w:trPr>
          <w:trHeight w:val="360"/>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30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楷体" w:eastAsia="楷体" w:hAnsi="楷体" w:cs="楷体" w:hint="eastAsia"/>
                <w:sz w:val="19"/>
                <w:szCs w:val="19"/>
              </w:rPr>
              <w:t>（七）总计</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widowControl/>
              <w:jc w:val="left"/>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0 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sz w:val="19"/>
                <w:szCs w:val="19"/>
              </w:rPr>
              <w:t> 0</w:t>
            </w:r>
          </w:p>
        </w:tc>
      </w:tr>
      <w:tr w:rsidR="003E7F67">
        <w:trPr>
          <w:trHeight w:val="480"/>
        </w:trPr>
        <w:tc>
          <w:tcPr>
            <w:tcW w:w="370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宋体" w:eastAsia="宋体" w:hAnsi="宋体" w:cs="宋体" w:hint="eastAsia"/>
                <w:color w:val="000000"/>
                <w:sz w:val="19"/>
                <w:szCs w:val="19"/>
              </w:rPr>
              <w:t>四、结转下年度继续办理</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color w:val="000000"/>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color w:val="000000"/>
                <w:sz w:val="19"/>
                <w:szCs w:val="19"/>
              </w:rPr>
              <w:t> 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color w:val="000000"/>
                <w:sz w:val="19"/>
                <w:szCs w:val="19"/>
              </w:rPr>
              <w:t> 0</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color w:val="000000"/>
                <w:sz w:val="19"/>
                <w:szCs w:val="19"/>
              </w:rPr>
              <w:t> 0</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color w:val="000000"/>
                <w:sz w:val="19"/>
                <w:szCs w:val="19"/>
              </w:rPr>
              <w:t> 0</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color w:val="000000"/>
                <w:sz w:val="19"/>
                <w:szCs w:val="19"/>
              </w:rPr>
              <w:t>0</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pPr>
            <w:r>
              <w:rPr>
                <w:rFonts w:ascii="Times New Roman" w:hAnsi="Times New Roman"/>
                <w:color w:val="000000"/>
                <w:sz w:val="19"/>
                <w:szCs w:val="19"/>
              </w:rPr>
              <w:t>0</w:t>
            </w:r>
          </w:p>
        </w:tc>
      </w:tr>
    </w:tbl>
    <w:p w:rsidR="003E7F67" w:rsidRDefault="003E7F67">
      <w:pPr>
        <w:widowControl/>
        <w:shd w:val="clear" w:color="auto" w:fill="FFFFFF"/>
        <w:jc w:val="left"/>
        <w:rPr>
          <w:rFonts w:ascii="å¾®è½¯é›…é»‘" w:eastAsia="å¾®è½¯é›…é»‘" w:hAnsi="å¾®è½¯é›…é»‘" w:cs="å¾®è½¯é›…é»‘"/>
          <w:color w:val="000000"/>
          <w:sz w:val="24"/>
        </w:rPr>
      </w:pPr>
    </w:p>
    <w:p w:rsidR="003E7F67" w:rsidRDefault="00FA5E91">
      <w:pPr>
        <w:pStyle w:val="a3"/>
        <w:widowControl/>
        <w:spacing w:beforeAutospacing="0" w:after="226" w:afterAutospacing="0" w:line="26" w:lineRule="atLeast"/>
      </w:pPr>
      <w:r>
        <w:rPr>
          <w:rFonts w:ascii="黑体" w:eastAsia="黑体" w:hAnsi="宋体" w:cs="黑体" w:hint="eastAsia"/>
          <w:color w:val="000000"/>
          <w:sz w:val="31"/>
          <w:szCs w:val="31"/>
          <w:shd w:val="clear" w:color="auto" w:fill="FFFFFF"/>
        </w:rPr>
        <w:t> </w:t>
      </w:r>
      <w:r>
        <w:rPr>
          <w:rFonts w:ascii="黑体" w:eastAsia="黑体" w:hAnsi="宋体" w:cs="黑体" w:hint="eastAsia"/>
          <w:color w:val="000000"/>
          <w:sz w:val="31"/>
          <w:szCs w:val="31"/>
          <w:shd w:val="clear" w:color="auto" w:fill="FFFFFF"/>
        </w:rPr>
        <w:t xml:space="preserve"> </w:t>
      </w:r>
      <w:r>
        <w:rPr>
          <w:rFonts w:ascii="黑体" w:eastAsia="黑体" w:hAnsi="宋体" w:cs="黑体" w:hint="eastAsia"/>
          <w:color w:val="000000"/>
          <w:sz w:val="31"/>
          <w:szCs w:val="31"/>
          <w:shd w:val="clear" w:color="auto" w:fill="FFFFFF"/>
        </w:rPr>
        <w:t> </w:t>
      </w:r>
      <w:r>
        <w:rPr>
          <w:rFonts w:ascii="黑体" w:eastAsia="黑体" w:hAnsi="宋体" w:cs="黑体" w:hint="eastAsia"/>
          <w:color w:val="000000"/>
          <w:sz w:val="31"/>
          <w:szCs w:val="31"/>
          <w:shd w:val="clear" w:color="auto" w:fill="FFFFFF"/>
        </w:rPr>
        <w:t xml:space="preserve"> 四、政府信息公开行政复议、行政诉讼情况</w:t>
      </w:r>
    </w:p>
    <w:tbl>
      <w:tblPr>
        <w:tblW w:w="9075" w:type="dxa"/>
        <w:tblCellMar>
          <w:top w:w="15" w:type="dxa"/>
          <w:left w:w="15" w:type="dxa"/>
          <w:bottom w:w="15" w:type="dxa"/>
          <w:right w:w="15"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3E7F67">
        <w:tc>
          <w:tcPr>
            <w:tcW w:w="307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行政复议</w:t>
            </w:r>
          </w:p>
        </w:tc>
        <w:tc>
          <w:tcPr>
            <w:tcW w:w="6000" w:type="dxa"/>
            <w:gridSpan w:val="10"/>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行政诉讼</w:t>
            </w:r>
          </w:p>
        </w:tc>
      </w:tr>
      <w:tr w:rsidR="003E7F67">
        <w:tc>
          <w:tcPr>
            <w:tcW w:w="6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结果维持</w:t>
            </w:r>
          </w:p>
        </w:tc>
        <w:tc>
          <w:tcPr>
            <w:tcW w:w="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结果纠正</w:t>
            </w:r>
          </w:p>
        </w:tc>
        <w:tc>
          <w:tcPr>
            <w:tcW w:w="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其他结果</w:t>
            </w:r>
          </w:p>
        </w:tc>
        <w:tc>
          <w:tcPr>
            <w:tcW w:w="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尚未审结</w:t>
            </w:r>
          </w:p>
        </w:tc>
        <w:tc>
          <w:tcPr>
            <w:tcW w:w="6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总计</w:t>
            </w:r>
          </w:p>
        </w:tc>
        <w:tc>
          <w:tcPr>
            <w:tcW w:w="297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未经复议直接起诉</w:t>
            </w:r>
          </w:p>
        </w:tc>
        <w:tc>
          <w:tcPr>
            <w:tcW w:w="303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复议后起诉</w:t>
            </w:r>
          </w:p>
        </w:tc>
      </w:tr>
      <w:tr w:rsidR="003E7F67">
        <w:tc>
          <w:tcPr>
            <w:tcW w:w="60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60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60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60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66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3E7F67">
            <w:pPr>
              <w:rPr>
                <w:rFonts w:ascii="宋体"/>
                <w:sz w:val="24"/>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结果维</w:t>
            </w:r>
            <w:r>
              <w:rPr>
                <w:rFonts w:ascii="宋体" w:eastAsia="宋体" w:hAnsi="宋体" w:cs="宋体" w:hint="eastAsia"/>
                <w:sz w:val="19"/>
                <w:szCs w:val="19"/>
              </w:rPr>
              <w:lastRenderedPageBreak/>
              <w:t>持</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lastRenderedPageBreak/>
              <w:t>结果纠正</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其他结果</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尚未审结</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总计</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结果维持</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结果纠正</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其他结果</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sz w:val="19"/>
                <w:szCs w:val="19"/>
              </w:rPr>
              <w:t>尚未审结</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宋体" w:eastAsia="宋体" w:hAnsi="宋体" w:cs="宋体" w:hint="eastAsia"/>
                <w:color w:val="000000"/>
                <w:sz w:val="19"/>
                <w:szCs w:val="19"/>
              </w:rPr>
              <w:t>总计</w:t>
            </w:r>
          </w:p>
        </w:tc>
      </w:tr>
      <w:tr w:rsidR="003E7F67">
        <w:trPr>
          <w:trHeight w:val="945"/>
        </w:trPr>
        <w:tc>
          <w:tcPr>
            <w:tcW w:w="6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E7F67" w:rsidRDefault="00FA5E91">
            <w:pPr>
              <w:pStyle w:val="a3"/>
              <w:widowControl/>
              <w:spacing w:beforeAutospacing="0" w:after="225" w:afterAutospacing="0" w:line="26" w:lineRule="atLeast"/>
              <w:jc w:val="center"/>
            </w:pPr>
            <w:r>
              <w:rPr>
                <w:rFonts w:ascii="Times New Roman" w:hAnsi="Times New Roman"/>
              </w:rPr>
              <w:t>0</w:t>
            </w:r>
          </w:p>
        </w:tc>
      </w:tr>
    </w:tbl>
    <w:p w:rsidR="003E7F67" w:rsidRDefault="00FA5E91">
      <w:pPr>
        <w:pStyle w:val="a3"/>
        <w:widowControl/>
        <w:spacing w:beforeAutospacing="0" w:after="226" w:afterAutospacing="0" w:line="600" w:lineRule="atLeast"/>
      </w:pPr>
      <w:r>
        <w:rPr>
          <w:rFonts w:ascii="黑体" w:eastAsia="黑体" w:hAnsi="宋体" w:cs="黑体" w:hint="eastAsia"/>
          <w:color w:val="000000"/>
          <w:sz w:val="31"/>
          <w:szCs w:val="31"/>
          <w:shd w:val="clear" w:color="auto" w:fill="FFFFFF"/>
        </w:rPr>
        <w:t> </w:t>
      </w:r>
      <w:r>
        <w:rPr>
          <w:rFonts w:ascii="黑体" w:eastAsia="黑体" w:hAnsi="宋体" w:cs="黑体" w:hint="eastAsia"/>
          <w:color w:val="000000"/>
          <w:sz w:val="31"/>
          <w:szCs w:val="31"/>
          <w:shd w:val="clear" w:color="auto" w:fill="FFFFFF"/>
        </w:rPr>
        <w:t xml:space="preserve"> </w:t>
      </w:r>
      <w:r>
        <w:rPr>
          <w:rFonts w:ascii="黑体" w:eastAsia="黑体" w:hAnsi="宋体" w:cs="黑体" w:hint="eastAsia"/>
          <w:color w:val="000000"/>
          <w:sz w:val="31"/>
          <w:szCs w:val="31"/>
          <w:shd w:val="clear" w:color="auto" w:fill="FFFFFF"/>
        </w:rPr>
        <w:t> </w:t>
      </w:r>
      <w:r>
        <w:rPr>
          <w:rFonts w:ascii="黑体" w:eastAsia="黑体" w:hAnsi="宋体" w:cs="黑体" w:hint="eastAsia"/>
          <w:color w:val="000000"/>
          <w:sz w:val="31"/>
          <w:szCs w:val="31"/>
          <w:shd w:val="clear" w:color="auto" w:fill="FFFFFF"/>
        </w:rPr>
        <w:t xml:space="preserve"> 五、存在的主要问题及改进情况</w:t>
      </w:r>
    </w:p>
    <w:p w:rsidR="003E7F67" w:rsidRDefault="00FA5E91">
      <w:pPr>
        <w:pStyle w:val="a3"/>
        <w:widowControl/>
        <w:spacing w:beforeAutospacing="0" w:after="226" w:afterAutospacing="0" w:line="600" w:lineRule="atLeast"/>
        <w:ind w:firstLine="645"/>
      </w:pPr>
      <w:r>
        <w:rPr>
          <w:rFonts w:ascii="仿宋_GB2312" w:eastAsia="仿宋_GB2312" w:hAnsi="å¾®è½¯é›…é»‘" w:cs="仿宋_GB2312" w:hint="eastAsia"/>
          <w:color w:val="000000"/>
          <w:sz w:val="31"/>
          <w:szCs w:val="31"/>
          <w:shd w:val="clear" w:color="auto" w:fill="FFFFFF"/>
        </w:rPr>
        <w:t>我局公开政府信息的意识还需要进一步提高，政府信息公开工作的配套制度和工作机制还需要进一步完善，方便公众获取政府信息的形式还需要进一步改进。2021年，我局将采取以下措施加以改进：</w:t>
      </w:r>
    </w:p>
    <w:p w:rsidR="003E7F67" w:rsidRDefault="00FA5E91">
      <w:pPr>
        <w:pStyle w:val="a3"/>
        <w:widowControl/>
        <w:spacing w:beforeAutospacing="0" w:after="226" w:afterAutospacing="0" w:line="600" w:lineRule="atLeast"/>
        <w:ind w:firstLine="645"/>
      </w:pPr>
      <w:r>
        <w:rPr>
          <w:rFonts w:ascii="仿宋_GB2312" w:eastAsia="仿宋_GB2312" w:hAnsi="å¾®è½¯é›…é»‘" w:cs="仿宋_GB2312" w:hint="eastAsia"/>
          <w:color w:val="000000"/>
          <w:sz w:val="31"/>
          <w:szCs w:val="31"/>
          <w:shd w:val="clear" w:color="auto" w:fill="FFFFFF"/>
        </w:rPr>
        <w:t>一是进一步增强本办工作人员的信息公开意识，规范公开程序，提高信息公开工作水平。</w:t>
      </w:r>
    </w:p>
    <w:p w:rsidR="003E7F67" w:rsidRDefault="00FA5E91">
      <w:pPr>
        <w:pStyle w:val="a3"/>
        <w:widowControl/>
        <w:spacing w:beforeAutospacing="0" w:after="226" w:afterAutospacing="0" w:line="600" w:lineRule="atLeast"/>
        <w:ind w:firstLine="645"/>
      </w:pPr>
      <w:r>
        <w:rPr>
          <w:rFonts w:ascii="仿宋_GB2312" w:eastAsia="仿宋_GB2312" w:hAnsi="å¾®è½¯é›…é»‘" w:cs="仿宋_GB2312" w:hint="eastAsia"/>
          <w:color w:val="000000"/>
          <w:sz w:val="31"/>
          <w:szCs w:val="31"/>
          <w:shd w:val="clear" w:color="auto" w:fill="FFFFFF"/>
        </w:rPr>
        <w:t>二是强化管理，将政府信息公开工作和业务工作紧密结合，进一步充实信息公开内容，突出重点、难点问题。以社会需求为导向，选择民众关注度高的信息作为突破口，不断丰富信息公开的内容，继续强化信息内容更新。</w:t>
      </w:r>
    </w:p>
    <w:p w:rsidR="003E7F67" w:rsidRDefault="00FA5E91">
      <w:pPr>
        <w:pStyle w:val="a3"/>
        <w:widowControl/>
        <w:spacing w:beforeAutospacing="0" w:after="226" w:afterAutospacing="0" w:line="600" w:lineRule="atLeast"/>
        <w:ind w:firstLine="645"/>
      </w:pPr>
      <w:r>
        <w:rPr>
          <w:rFonts w:ascii="仿宋_GB2312" w:eastAsia="仿宋_GB2312" w:hAnsi="å¾®è½¯é›…é»‘" w:cs="仿宋_GB2312" w:hint="eastAsia"/>
          <w:color w:val="000000"/>
          <w:sz w:val="31"/>
          <w:szCs w:val="31"/>
          <w:shd w:val="clear" w:color="auto" w:fill="FFFFFF"/>
        </w:rPr>
        <w:t>三是进一步完善信息公开制度建设，建立健全信息公开工作长效机制，把政务信息公开工作作为长期的动态工作落到实处，确保公开信息的及时性、准确性和有效性，为深化政务信息公开提供强有力的组织保证。</w:t>
      </w:r>
    </w:p>
    <w:p w:rsidR="003E7F67" w:rsidRDefault="00FA5E91">
      <w:pPr>
        <w:pStyle w:val="a3"/>
        <w:widowControl/>
        <w:spacing w:beforeAutospacing="0" w:after="226" w:afterAutospacing="0" w:line="600" w:lineRule="atLeast"/>
        <w:ind w:firstLine="645"/>
      </w:pPr>
      <w:r>
        <w:rPr>
          <w:rFonts w:ascii="黑体" w:eastAsia="黑体" w:hAnsi="宋体" w:cs="黑体" w:hint="eastAsia"/>
          <w:color w:val="000000"/>
          <w:sz w:val="31"/>
          <w:szCs w:val="31"/>
          <w:shd w:val="clear" w:color="auto" w:fill="FFFFFF"/>
        </w:rPr>
        <w:t>六、其他需要报告的事项</w:t>
      </w:r>
    </w:p>
    <w:p w:rsidR="003E7F67" w:rsidRDefault="00FA5E91" w:rsidP="00FA5E91">
      <w:pPr>
        <w:widowControl/>
        <w:spacing w:line="700" w:lineRule="exact"/>
        <w:ind w:firstLineChars="200" w:firstLine="640"/>
        <w:rPr>
          <w:sz w:val="32"/>
          <w:szCs w:val="32"/>
        </w:rPr>
      </w:pPr>
      <w:r>
        <w:rPr>
          <w:rFonts w:ascii="仿宋_GB2312" w:eastAsia="仿宋_GB2312" w:hAnsi="宋体" w:cs="仿宋_GB2312"/>
          <w:color w:val="000000"/>
          <w:kern w:val="0"/>
          <w:sz w:val="32"/>
          <w:szCs w:val="32"/>
          <w:lang w:bidi="ar"/>
        </w:rPr>
        <w:lastRenderedPageBreak/>
        <w:t>如对本年度政府信息公开工作年度报告有疑问，请与枣庄高新区</w:t>
      </w:r>
      <w:r>
        <w:rPr>
          <w:rFonts w:ascii="仿宋_GB2312" w:eastAsia="仿宋_GB2312" w:hAnsi="宋体" w:cs="仿宋_GB2312" w:hint="eastAsia"/>
          <w:color w:val="000000"/>
          <w:kern w:val="0"/>
          <w:sz w:val="32"/>
          <w:szCs w:val="32"/>
          <w:lang w:bidi="ar"/>
        </w:rPr>
        <w:t>财政金融局联系（联系电话:0632-8690966，电子邮箱: gxqczjrj@163.com)</w:t>
      </w:r>
    </w:p>
    <w:sectPr w:rsidR="003E7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å¾®è½¯é›…é»‘">
    <w:altName w:val="Segoe Print"/>
    <w:charset w:val="00"/>
    <w:family w:val="auto"/>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F67"/>
    <w:rsid w:val="003E7F67"/>
    <w:rsid w:val="00717067"/>
    <w:rsid w:val="00C614AC"/>
    <w:rsid w:val="00E25299"/>
    <w:rsid w:val="00FA5E91"/>
    <w:rsid w:val="0A9C143C"/>
    <w:rsid w:val="37D946DE"/>
    <w:rsid w:val="3E914961"/>
    <w:rsid w:val="4B1F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A9D1A"/>
  <w15:docId w15:val="{57790412-A909-41DE-9ADE-F5271A6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2021-12-04T06:14:00Z</dcterms:created>
  <dcterms:modified xsi:type="dcterms:W3CDTF">2021-12-06T08:33:00Z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650CEF0C18D9493D96D94081642E56ED</vt:lpwstr>
  </property>
</Properties>
</file>