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高新区</w:t>
      </w:r>
      <w:r>
        <w:rPr>
          <w:rFonts w:hint="eastAsia" w:ascii="方正小标宋简体" w:hAnsi="方正小标宋简体" w:eastAsia="方正小标宋简体" w:cs="方正小标宋简体"/>
          <w:sz w:val="44"/>
          <w:szCs w:val="44"/>
          <w:u w:val="single"/>
          <w:lang w:val="en-US" w:eastAsia="zh-CN"/>
        </w:rPr>
        <w:t xml:space="preserve"> 产业西区运营公司 </w:t>
      </w:r>
      <w:r>
        <w:rPr>
          <w:rFonts w:hint="eastAsia" w:ascii="方正小标宋简体" w:hAnsi="方正小标宋简体" w:eastAsia="方正小标宋简体" w:cs="方正小标宋简体"/>
          <w:sz w:val="44"/>
          <w:szCs w:val="44"/>
        </w:rPr>
        <w:t>2020年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国务院办公厅政府信息与政务公开办公室关于政府信息公开年度报告有关事项的通知》规定，按照省、市、区《关于报送2020年政府信息公开年度报告的通知》要求，结合产业西区工作实际情况，特向社会公开枣庄高新产业西区运营有限公司2020年度政府信息公开工作年度报告。全文包括：总体情况；主动公开政府信息情况；收到和处理政府信息公开申请情况；政府信息公开行政复议、行政诉讼的情况；政府信息公开工作存在的主要问题及改进情况；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sz w:val="24"/>
          <w:szCs w:val="24"/>
        </w:rPr>
      </w:pPr>
      <w:r>
        <w:rPr>
          <w:rFonts w:hint="eastAsia" w:ascii="仿宋_GB2312" w:hAnsi="仿宋_GB2312" w:eastAsia="仿宋_GB2312" w:cs="仿宋_GB2312"/>
          <w:color w:val="000000"/>
          <w:kern w:val="0"/>
          <w:sz w:val="32"/>
          <w:szCs w:val="32"/>
        </w:rPr>
        <w:t>2020年，产业</w:t>
      </w:r>
      <w:r>
        <w:rPr>
          <w:rFonts w:hint="eastAsia" w:ascii="仿宋_GB2312" w:hAnsi="仿宋_GB2312" w:eastAsia="仿宋_GB2312" w:cs="仿宋_GB2312"/>
          <w:color w:val="000000"/>
          <w:kern w:val="0"/>
          <w:sz w:val="32"/>
          <w:szCs w:val="32"/>
          <w:lang w:eastAsia="zh-CN"/>
        </w:rPr>
        <w:t>西</w:t>
      </w:r>
      <w:r>
        <w:rPr>
          <w:rFonts w:hint="eastAsia" w:ascii="仿宋_GB2312" w:hAnsi="仿宋_GB2312" w:eastAsia="仿宋_GB2312" w:cs="仿宋_GB2312"/>
          <w:color w:val="000000"/>
          <w:kern w:val="0"/>
          <w:sz w:val="32"/>
          <w:szCs w:val="32"/>
        </w:rPr>
        <w:t>区运营公司严格按照《中华人民共和国政府信息公开条例》和省、市、区各级政府对政府信息公开工作的具体实施要求，加强对信息公开工作的宣传力度，完善工作机制，以政务公开为重点，进一步规范公开的内容和程序，促进政府信息公开工作顺利运行。</w:t>
      </w:r>
      <w:r>
        <w:rPr>
          <w:rFonts w:hint="eastAsia" w:ascii="仿宋_GB2312" w:hAnsi="仿宋_GB2312" w:eastAsia="仿宋_GB2312" w:cs="仿宋_GB2312"/>
          <w:b/>
          <w:bCs/>
          <w:color w:val="000000"/>
          <w:kern w:val="0"/>
          <w:sz w:val="32"/>
          <w:szCs w:val="32"/>
        </w:rPr>
        <w:t>一是</w:t>
      </w:r>
      <w:r>
        <w:rPr>
          <w:rFonts w:hint="eastAsia" w:ascii="仿宋_GB2312" w:hAnsi="仿宋_GB2312" w:eastAsia="仿宋_GB2312" w:cs="仿宋_GB2312"/>
          <w:color w:val="000000"/>
          <w:kern w:val="0"/>
          <w:sz w:val="32"/>
          <w:szCs w:val="32"/>
        </w:rPr>
        <w:t>切实加强组织领导，明确工作机构，配齐工作人员，健全完善相关制度，政府信息公开工作保障水平进一步提升；</w:t>
      </w:r>
      <w:r>
        <w:rPr>
          <w:rFonts w:hint="eastAsia" w:ascii="仿宋_GB2312" w:hAnsi="仿宋_GB2312" w:eastAsia="仿宋_GB2312" w:cs="仿宋_GB2312"/>
          <w:b/>
          <w:bCs/>
          <w:color w:val="000000"/>
          <w:kern w:val="0"/>
          <w:sz w:val="32"/>
          <w:szCs w:val="32"/>
        </w:rPr>
        <w:t>二是</w:t>
      </w:r>
      <w:r>
        <w:rPr>
          <w:rFonts w:hint="eastAsia" w:ascii="仿宋_GB2312" w:hAnsi="仿宋_GB2312" w:eastAsia="仿宋_GB2312" w:cs="仿宋_GB2312"/>
          <w:color w:val="000000"/>
          <w:kern w:val="0"/>
          <w:sz w:val="32"/>
          <w:szCs w:val="32"/>
        </w:rPr>
        <w:t>不断加大主动公开力度，围绕双招双引、产业发展、重大建设项目等重点领域信息公开；</w:t>
      </w:r>
      <w:r>
        <w:rPr>
          <w:rFonts w:hint="eastAsia" w:ascii="仿宋_GB2312" w:hAnsi="仿宋_GB2312" w:eastAsia="仿宋_GB2312" w:cs="仿宋_GB2312"/>
          <w:b/>
          <w:bCs/>
          <w:color w:val="000000"/>
          <w:kern w:val="0"/>
          <w:sz w:val="32"/>
          <w:szCs w:val="32"/>
        </w:rPr>
        <w:t>三是</w:t>
      </w:r>
      <w:r>
        <w:rPr>
          <w:rFonts w:hint="eastAsia" w:ascii="仿宋_GB2312" w:hAnsi="仿宋_GB2312" w:eastAsia="仿宋_GB2312" w:cs="仿宋_GB2312"/>
          <w:color w:val="000000"/>
          <w:kern w:val="0"/>
          <w:sz w:val="32"/>
          <w:szCs w:val="32"/>
        </w:rPr>
        <w:t>紧贴公众需求和社会关切，主动开展政策解读和舆情回应，改善群众公开体验；</w:t>
      </w:r>
      <w:r>
        <w:rPr>
          <w:rFonts w:hint="eastAsia" w:ascii="仿宋_GB2312" w:hAnsi="仿宋_GB2312" w:eastAsia="仿宋_GB2312" w:cs="仿宋_GB2312"/>
          <w:b/>
          <w:bCs/>
          <w:color w:val="000000"/>
          <w:kern w:val="0"/>
          <w:sz w:val="32"/>
          <w:szCs w:val="32"/>
        </w:rPr>
        <w:t>四是</w:t>
      </w:r>
      <w:r>
        <w:rPr>
          <w:rFonts w:hint="eastAsia" w:ascii="仿宋_GB2312" w:hAnsi="仿宋_GB2312" w:eastAsia="仿宋_GB2312" w:cs="仿宋_GB2312"/>
          <w:color w:val="000000"/>
          <w:kern w:val="0"/>
          <w:sz w:val="32"/>
          <w:szCs w:val="32"/>
        </w:rPr>
        <w:t>主动公开的园区运营公司日常工作动态，并及时更新政府信息公开目录、完善公开指南的编制。</w:t>
      </w:r>
    </w:p>
    <w:p>
      <w:pPr>
        <w:keepNext w:val="0"/>
        <w:keepLines w:val="0"/>
        <w:pageBreakBefore w:val="0"/>
        <w:widowControl w:val="0"/>
        <w:kinsoku/>
        <w:wordWrap/>
        <w:overflowPunct/>
        <w:topLinePunct w:val="0"/>
        <w:autoSpaceDE/>
        <w:autoSpaceDN/>
        <w:bidi w:val="0"/>
        <w:adjustRightInd/>
        <w:snapToGrid/>
        <w:spacing w:line="600" w:lineRule="exact"/>
        <w:ind w:firstLine="620" w:firstLineChars="200"/>
        <w:textAlignment w:val="auto"/>
        <w:rPr>
          <w:rFonts w:hint="eastAsia" w:ascii="仿宋_GB2312" w:hAnsi="宋体" w:eastAsia="仿宋_GB2312" w:cs="仿宋_GB2312"/>
          <w:i w:val="0"/>
          <w:caps w:val="0"/>
          <w:color w:val="000000"/>
          <w:spacing w:val="0"/>
          <w:sz w:val="31"/>
          <w:szCs w:val="31"/>
          <w:shd w:val="clear" w:color="auto" w:fill="FFFFFF"/>
        </w:rPr>
      </w:pPr>
      <w:r>
        <w:rPr>
          <w:rFonts w:ascii="仿宋_GB2312" w:hAnsi="宋体" w:eastAsia="仿宋_GB2312" w:cs="仿宋_GB2312"/>
          <w:i w:val="0"/>
          <w:caps w:val="0"/>
          <w:color w:val="000000"/>
          <w:spacing w:val="0"/>
          <w:sz w:val="31"/>
          <w:szCs w:val="31"/>
          <w:shd w:val="clear" w:color="auto" w:fill="FFFFFF"/>
        </w:rPr>
        <w:t>2020年</w:t>
      </w:r>
      <w:r>
        <w:rPr>
          <w:rFonts w:hint="eastAsia" w:ascii="仿宋_GB2312" w:hAnsi="宋体" w:eastAsia="仿宋_GB2312" w:cs="仿宋_GB2312"/>
          <w:i w:val="0"/>
          <w:caps w:val="0"/>
          <w:color w:val="000000"/>
          <w:spacing w:val="0"/>
          <w:sz w:val="31"/>
          <w:szCs w:val="31"/>
          <w:shd w:val="clear" w:color="auto" w:fill="FFFFFF"/>
        </w:rPr>
        <w:t>产业西区运营公司通过区管委会政府公开网站共发表相关信息</w:t>
      </w:r>
      <w:r>
        <w:rPr>
          <w:rFonts w:hint="eastAsia" w:ascii="仿宋_GB2312" w:hAnsi="宋体" w:eastAsia="仿宋_GB2312" w:cs="仿宋_GB2312"/>
          <w:i w:val="0"/>
          <w:caps w:val="0"/>
          <w:color w:val="000000"/>
          <w:spacing w:val="0"/>
          <w:sz w:val="31"/>
          <w:szCs w:val="31"/>
          <w:shd w:val="clear" w:color="auto" w:fill="FFFFFF"/>
          <w:lang w:val="en-US" w:eastAsia="zh-CN"/>
        </w:rPr>
        <w:t>85</w:t>
      </w:r>
      <w:r>
        <w:rPr>
          <w:rFonts w:hint="eastAsia" w:ascii="仿宋_GB2312" w:hAnsi="宋体" w:eastAsia="仿宋_GB2312" w:cs="仿宋_GB2312"/>
          <w:i w:val="0"/>
          <w:caps w:val="0"/>
          <w:color w:val="000000"/>
          <w:spacing w:val="0"/>
          <w:sz w:val="31"/>
          <w:szCs w:val="31"/>
          <w:shd w:val="clear" w:color="auto" w:fill="FFFFFF"/>
        </w:rPr>
        <w:t>篇，其中机构职能1篇、办事指南1篇、部门街道业务工作35篇、重点项目12篇、双招双引19篇，产业发展14篇，政务信息3篇等；收到申请数0件；没有发生针对政府信息公开事务的行政复议申请、申诉和行政诉讼案件以及被举报情况。</w:t>
      </w:r>
    </w:p>
    <w:p>
      <w:pPr>
        <w:pStyle w:val="2"/>
        <w:rPr>
          <w:rFonts w:hint="eastAsia"/>
          <w:lang w:eastAsia="zh-CN"/>
        </w:rPr>
      </w:pPr>
      <w:r>
        <w:drawing>
          <wp:inline distT="0" distB="0" distL="114300" distR="114300">
            <wp:extent cx="4572000" cy="2743200"/>
            <wp:effectExtent l="4445" t="4445" r="14605" b="52705"/>
            <wp:docPr id="2" name="图表 1"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主动公开政府信息情况</w:t>
      </w:r>
    </w:p>
    <w:tbl>
      <w:tblPr>
        <w:tblStyle w:val="6"/>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13"/>
        <w:gridCol w:w="1875"/>
        <w:gridCol w:w="1271"/>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3152"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0</w:t>
            </w:r>
          </w:p>
        </w:tc>
        <w:tc>
          <w:tcPr>
            <w:tcW w:w="3152"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Times New Roman" w:hAnsi="Times New Roman" w:eastAsia="宋体" w:cs="Times New Roman"/>
                <w:kern w:val="0"/>
                <w:sz w:val="24"/>
                <w:szCs w:val="24"/>
                <w:lang w:val="en-US" w:eastAsia="zh-CN" w:bidi="ar-SA"/>
              </w:rPr>
            </w:pPr>
            <w:r>
              <w:rPr>
                <w:rFonts w:hint="eastAsia"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Theme="minorHAnsi" w:hAnsiTheme="minorHAnsi" w:eastAsiaTheme="minorEastAsia" w:cstheme="minorBidi"/>
                <w:kern w:val="2"/>
                <w:sz w:val="21"/>
                <w:szCs w:val="24"/>
                <w:lang w:val="en-US" w:eastAsia="zh-CN" w:bidi="ar-SA"/>
              </w:rPr>
            </w:pPr>
            <w:r>
              <w:rPr>
                <w:rFonts w:hint="eastAsia" w:ascii="Calibri" w:hAnsi="Calibri" w:cs="Calibri"/>
                <w:kern w:val="0"/>
                <w:sz w:val="20"/>
                <w:szCs w:val="20"/>
                <w:lang w:val="en-US" w:eastAsia="zh-CN" w:bidi="ar"/>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四、政府信息公开行政复议、行政诉讼情况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Times New Roman" w:hAnsi="Times New Roman" w:cs="Times New Roman"/>
                <w:kern w:val="0"/>
                <w:sz w:val="24"/>
                <w:szCs w:val="24"/>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sz w:val="24"/>
                <w:szCs w:val="24"/>
              </w:rPr>
            </w:pPr>
            <w:r>
              <w:rPr>
                <w:rFonts w:hint="eastAsia" w:ascii="Times New Roman" w:hAnsi="Times New Roman" w:cs="Times New Roman"/>
                <w:kern w:val="0"/>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333333"/>
          <w:spacing w:val="0"/>
          <w:sz w:val="32"/>
          <w:szCs w:val="32"/>
          <w:shd w:val="clear" w:fill="FFFFFF"/>
        </w:rPr>
      </w:pPr>
      <w:bookmarkStart w:id="0" w:name="_GoBack"/>
      <w:bookmarkEnd w:id="0"/>
      <w:r>
        <w:rPr>
          <w:rFonts w:hint="eastAsia" w:ascii="黑体" w:hAnsi="黑体" w:eastAsia="黑体" w:cs="黑体"/>
          <w:b w:val="0"/>
          <w:bCs w:val="0"/>
          <w:i w:val="0"/>
          <w:iCs w:val="0"/>
          <w:caps w:val="0"/>
          <w:color w:val="333333"/>
          <w:spacing w:val="0"/>
          <w:sz w:val="32"/>
          <w:szCs w:val="32"/>
          <w:shd w:val="clear" w:fill="FFFFFF"/>
        </w:rPr>
        <w:t>五、存在的主要问题及改进情况</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虽然产业</w:t>
      </w:r>
      <w:r>
        <w:rPr>
          <w:rFonts w:hint="eastAsia" w:ascii="仿宋_GB2312" w:hAnsi="仿宋_GB2312" w:eastAsia="仿宋_GB2312" w:cs="仿宋_GB2312"/>
          <w:color w:val="000000"/>
          <w:kern w:val="0"/>
          <w:sz w:val="32"/>
          <w:szCs w:val="32"/>
          <w:lang w:eastAsia="zh-CN"/>
        </w:rPr>
        <w:t>西</w:t>
      </w:r>
      <w:r>
        <w:rPr>
          <w:rFonts w:hint="eastAsia" w:ascii="仿宋_GB2312" w:hAnsi="仿宋_GB2312" w:eastAsia="仿宋_GB2312" w:cs="仿宋_GB2312"/>
          <w:color w:val="000000"/>
          <w:kern w:val="0"/>
          <w:sz w:val="32"/>
          <w:szCs w:val="32"/>
        </w:rPr>
        <w:t>区运营公司在政府信息公开工作取得了一定效果，但与全面贯彻《中华人民共和国政府信息公开条例》和社会公众的需求相比，还存在一些不足，主要表现在:一是对政府信息公开工作的认识还需进一步增强，政务公开工作还没有达到精细化、个性化、特色化效果;二是信息采集不够丰富，与公众的需求还存在一些距离，听取公众意见方面需要进一步加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仿宋_GB2312" w:hAnsi="仿宋_GB2312" w:eastAsia="仿宋_GB2312" w:cs="仿宋_GB2312"/>
          <w:sz w:val="32"/>
          <w:szCs w:val="32"/>
        </w:rPr>
        <w:t>针对上述存在的问题，为使信息公开工作得到进一步完善，促进高新区政府信息公开特色化、完整化，下步工作中，</w:t>
      </w:r>
      <w:r>
        <w:rPr>
          <w:rFonts w:hint="eastAsia" w:ascii="仿宋_GB2312" w:hAnsi="仿宋_GB2312" w:eastAsia="仿宋_GB2312" w:cs="仿宋_GB2312"/>
          <w:sz w:val="32"/>
          <w:szCs w:val="32"/>
          <w:lang w:eastAsia="zh-CN"/>
        </w:rPr>
        <w:t>产业西区</w:t>
      </w:r>
      <w:r>
        <w:rPr>
          <w:rFonts w:hint="eastAsia" w:ascii="仿宋_GB2312" w:hAnsi="仿宋_GB2312" w:eastAsia="仿宋_GB2312" w:cs="仿宋_GB2312"/>
          <w:sz w:val="32"/>
          <w:szCs w:val="32"/>
        </w:rPr>
        <w:t>将从以下</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方面抓好落实：一是深化工作推进部署。制定年度工作推进计划，定期召开部署会议，调度工作开展情况，合理调整、部署工作方向。二是强化月调度推进机制。紧紧围绕重点工作、重大项目信息发布情况及信息发布时效性情况进行调度，以制度推进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如对本年度政府信息公开工作年度报告有疑问，请与枣庄高新区</w:t>
      </w:r>
      <w:r>
        <w:rPr>
          <w:rFonts w:hint="eastAsia" w:ascii="仿宋_GB2312" w:hAnsi="仿宋_GB2312" w:eastAsia="仿宋_GB2312" w:cs="仿宋_GB2312"/>
          <w:sz w:val="32"/>
          <w:szCs w:val="32"/>
          <w:lang w:val="en-US" w:eastAsia="zh-CN"/>
        </w:rPr>
        <w:t>产业西区运营公司</w:t>
      </w:r>
      <w:r>
        <w:rPr>
          <w:rFonts w:hint="eastAsia" w:ascii="仿宋_GB2312" w:hAnsi="仿宋_GB2312" w:eastAsia="仿宋_GB2312" w:cs="仿宋_GB2312"/>
          <w:sz w:val="32"/>
          <w:szCs w:val="32"/>
        </w:rPr>
        <w:t>联系（联系电话:0632-</w:t>
      </w:r>
      <w:r>
        <w:rPr>
          <w:rFonts w:hint="eastAsia" w:ascii="仿宋_GB2312" w:hAnsi="仿宋_GB2312" w:eastAsia="仿宋_GB2312" w:cs="仿宋_GB2312"/>
          <w:sz w:val="32"/>
          <w:szCs w:val="32"/>
          <w:lang w:val="en-US" w:eastAsia="zh-CN"/>
        </w:rPr>
        <w:t>8992990</w:t>
      </w:r>
      <w:r>
        <w:rPr>
          <w:rFonts w:hint="eastAsia" w:ascii="仿宋_GB2312" w:hAnsi="仿宋_GB2312" w:eastAsia="仿宋_GB2312" w:cs="仿宋_GB2312"/>
          <w:sz w:val="32"/>
          <w:szCs w:val="32"/>
        </w:rPr>
        <w:t>，电子邮箱:</w:t>
      </w:r>
      <w:r>
        <w:rPr>
          <w:rFonts w:hint="eastAsia" w:ascii="仿宋_GB2312" w:hAnsi="仿宋_GB2312" w:eastAsia="仿宋_GB2312" w:cs="仿宋_GB2312"/>
          <w:sz w:val="32"/>
          <w:szCs w:val="32"/>
          <w:lang w:val="en-US" w:eastAsia="zh-CN"/>
        </w:rPr>
        <w:t>gxqcyxq@163.com</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57218"/>
    <w:rsid w:val="0A9D666F"/>
    <w:rsid w:val="13EB1164"/>
    <w:rsid w:val="30B55C11"/>
    <w:rsid w:val="3E537939"/>
    <w:rsid w:val="3E874C97"/>
    <w:rsid w:val="413673E6"/>
    <w:rsid w:val="6BA35A2B"/>
    <w:rsid w:val="6C9E3F3E"/>
    <w:rsid w:val="75E9432F"/>
    <w:rsid w:val="78107B45"/>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D:\&#26700;&#38754;\&#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'[新建 XLS 工作表.xls]Sheet1'!$C$1</c:f>
              <c:strCache>
                <c:ptCount val="1"/>
                <c:pt idx="0">
                  <c:v>数量</c:v>
                </c:pt>
              </c:strCache>
            </c:strRef>
          </c:tx>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Pt>
            <c:idx val="3"/>
            <c:bubble3D val="0"/>
            <c:spPr>
              <a:solidFill>
                <a:srgbClr val="DD5F71"/>
              </a:solidFill>
              <a:ln w="31750">
                <a:solidFill>
                  <a:schemeClr val="bg1">
                    <a:alpha val="42000"/>
                  </a:schemeClr>
                </a:solidFill>
              </a:ln>
              <a:effectLst/>
            </c:spPr>
          </c:dPt>
          <c:dPt>
            <c:idx val="4"/>
            <c:bubble3D val="0"/>
            <c:spPr>
              <a:solidFill>
                <a:srgbClr val="F68B6B"/>
              </a:solidFill>
              <a:ln w="31750">
                <a:solidFill>
                  <a:schemeClr val="bg1">
                    <a:alpha val="42000"/>
                  </a:schemeClr>
                </a:solidFill>
              </a:ln>
              <a:effectLst/>
            </c:spPr>
          </c:dPt>
          <c:dPt>
            <c:idx val="5"/>
            <c:bubble3D val="0"/>
            <c:spPr>
              <a:solidFill>
                <a:srgbClr val="859949"/>
              </a:solidFill>
              <a:ln w="31750">
                <a:solidFill>
                  <a:schemeClr val="bg1">
                    <a:alpha val="42000"/>
                  </a:schemeClr>
                </a:solidFill>
              </a:ln>
              <a:effectLst/>
            </c:spPr>
          </c:dPt>
          <c:dPt>
            <c:idx val="6"/>
            <c:bubble3D val="0"/>
            <c:spPr>
              <a:solidFill>
                <a:srgbClr val="859949"/>
              </a:solidFill>
              <a:ln w="31750">
                <a:solidFill>
                  <a:schemeClr val="bg1">
                    <a:alpha val="42000"/>
                  </a:schemeClr>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'[新建 XLS 工作表.xls]Sheet1'!$A$2:$B$8</c:f>
              <c:multiLvlStrCache>
                <c:ptCount val="7"/>
                <c:lvl>
                  <c:pt idx="0">
                    <c:v>机构职能</c:v>
                  </c:pt>
                  <c:pt idx="1">
                    <c:v>办事指南</c:v>
                  </c:pt>
                  <c:pt idx="2">
                    <c:v>部门街道业务工作</c:v>
                  </c:pt>
                  <c:pt idx="3">
                    <c:v>重点项目</c:v>
                  </c:pt>
                  <c:pt idx="4">
                    <c:v>双招双引</c:v>
                  </c:pt>
                  <c:pt idx="5">
                    <c:v>产业发展</c:v>
                  </c:pt>
                  <c:pt idx="6">
                    <c:v>政务信息</c:v>
                  </c:pt>
                </c:lvl>
                <c:lvl>
                  <c:pt idx="0">
                    <c:v>1</c:v>
                  </c:pt>
                  <c:pt idx="1">
                    <c:v>2</c:v>
                  </c:pt>
                  <c:pt idx="2">
                    <c:v>3</c:v>
                  </c:pt>
                  <c:pt idx="3">
                    <c:v>4</c:v>
                  </c:pt>
                  <c:pt idx="4">
                    <c:v>5</c:v>
                  </c:pt>
                  <c:pt idx="5">
                    <c:v>6</c:v>
                  </c:pt>
                  <c:pt idx="6">
                    <c:v>7</c:v>
                  </c:pt>
                </c:lvl>
              </c:multiLvlStrCache>
            </c:multiLvlStrRef>
          </c:cat>
          <c:val>
            <c:numRef>
              <c:f>'[新建 XLS 工作表.xls]Sheet1'!$C$2:$C$8</c:f>
              <c:numCache>
                <c:formatCode>General</c:formatCode>
                <c:ptCount val="7"/>
                <c:pt idx="0">
                  <c:v>1</c:v>
                </c:pt>
                <c:pt idx="1">
                  <c:v>1</c:v>
                </c:pt>
                <c:pt idx="2">
                  <c:v>35</c:v>
                </c:pt>
                <c:pt idx="3">
                  <c:v>12</c:v>
                </c:pt>
                <c:pt idx="4">
                  <c:v>19</c:v>
                </c:pt>
                <c:pt idx="5">
                  <c:v>14</c:v>
                </c:pt>
                <c:pt idx="6">
                  <c:v>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1978</Words>
  <Characters>2041</Characters>
  <Lines>0</Lines>
  <Paragraphs>0</Paragraphs>
  <TotalTime>4</TotalTime>
  <ScaleCrop>false</ScaleCrop>
  <LinksUpToDate>false</LinksUpToDate>
  <CharactersWithSpaces>2043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2021-12-02T02:15:00Z</dcterms:created>
  <dc:creator>Administrator</dc:creator>
  <cp:lastModifiedBy>翟胜敏</cp:lastModifiedBy>
  <dcterms:modified xsi:type="dcterms:W3CDTF">2021-12-03T03:08:22Z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F1C36C0ABE71413A8E56DE874DC16277</vt:lpwstr>
  </property>
</Properties>
</file>