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sz w:val="32"/>
          <w:szCs w:val="32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高新区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  <w:t>公安分局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2020年政府信息公开工作年度报告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bdr w:val="none" w:color="auto" w:sz="0" w:space="0"/>
        </w:rPr>
        <w:t>根据《中华人民共和国政府信息公开条例》《国办政府信息公开年度报告有关事项通知》《山东省政府信息公开办法》要求，现向社会公开枣庄高新区党政综合办公室2020年政府信息公开工作年度报告。年报由总体情况、主动公开政府信息情况、收到和处理政府信息公开申请情况、政府信息公开行政复议和行政诉讼情况、存在的主要问题及改进情况、其他需要报告的事项六个部分组成。所列数据的统计期限为2020年1月1日至2020年12月31日。报告电子版可在枣庄高新技术产业开发区官网（http://www.zzctp.gov.cn/）“政务信息公开&gt;政府信息公开年报”栏目下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bdr w:val="none" w:color="auto" w:sz="0" w:space="0"/>
        </w:rPr>
        <w:t> </w:t>
      </w:r>
      <w:r>
        <w:rPr>
          <w:rFonts w:hint="eastAsia" w:ascii="黑体" w:hAnsi="黑体" w:eastAsia="黑体" w:cs="黑体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bdr w:val="none" w:color="auto" w:sz="0" w:space="0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bdr w:val="none" w:color="auto" w:sz="0" w:space="0"/>
        </w:rPr>
        <w:t> </w:t>
      </w:r>
      <w:r>
        <w:rPr>
          <w:rFonts w:hint="eastAsia" w:ascii="Times New Roman" w:hAnsi="Times New Roman" w:eastAsia="仿宋" w:cs="Times New Roman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2020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年高新区公安分局按照市委、市政府、高新区党工委、管委及市公安局关于政府信息公开相关工作要求，扎实开展信息公开工作。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(一)强化组织领导，完善公开制度。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我局将政府信息公开工作列入单位工作的重要议事日程，根据实际情况和局领导工作分工，建立健全政府信息公开工作制度，规范信息公开流程制度，为推动信息公开工作深入开展提供了坚强的组织保障。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64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（二）健全工作机制，依法有序公开。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按照“谁公开、谁负责”和“先审查、后公开”原则，对拟公开信息的内容、格式、涉及法律法规等事项进行审签，确保公开内容准确、表述规范，不涉密、不泄密的公开，做到全程留痕、有据可查。同时，严格遵循公正、公平、合法、便民原则，结合综合执法工作实际，及时向社会发布充分保障公众对我局工作的知情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firstLine="64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（三）主动公开政府信息情况。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2020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2020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12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31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日公安分局在政务公开网站中主动发布信息80条，行政许可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52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条，行政处罚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76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条，行政强制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19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条，行政诉讼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1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000000"/>
          <w:spacing w:val="0"/>
          <w:sz w:val="32"/>
          <w:szCs w:val="32"/>
        </w:rPr>
        <w:t>条。主动公开信息内容主要有政府工作方案、政策规章、机构人事职能、政府公告公示、部门工作动态等，进一步畅通了政府与人民群众的联系渠道，切实保障了人民群众的知情权、参与权和监督权。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7" w:lineRule="atLeast"/>
        <w:ind w:left="0" w:right="0"/>
        <w:jc w:val="both"/>
        <w:rPr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7" w:lineRule="atLeast"/>
        <w:ind w:left="0" w:right="0"/>
        <w:jc w:val="center"/>
        <w:rPr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7" w:lineRule="atLeast"/>
        <w:ind w:left="0" w:right="0"/>
        <w:jc w:val="center"/>
        <w:rPr>
          <w:sz w:val="16"/>
          <w:szCs w:val="16"/>
        </w:rPr>
      </w:pPr>
      <w:r>
        <w:rPr>
          <w:rFonts w:hint="eastAsia" w:eastAsiaTheme="minorEastAsia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080000" cy="3810000"/>
            <wp:effectExtent l="4445" t="4445" r="8255" b="8255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7" w:lineRule="atLeast"/>
        <w:ind w:left="0" w:right="0"/>
        <w:jc w:val="both"/>
        <w:rPr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7" w:lineRule="atLeast"/>
        <w:ind w:left="0" w:righ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仿宋_GB2312" w:eastAsia="仿宋_GB2312" w:cs="仿宋_GB2312"/>
          <w:sz w:val="21"/>
          <w:szCs w:val="21"/>
          <w:bdr w:val="none" w:color="auto" w:sz="0" w:space="0"/>
        </w:rPr>
        <w:t>  </w:t>
      </w:r>
      <w:r>
        <w:rPr>
          <w:rFonts w:hint="eastAsia" w:ascii="黑体" w:hAnsi="黑体" w:eastAsia="黑体" w:cs="黑体"/>
          <w:sz w:val="32"/>
          <w:szCs w:val="32"/>
          <w:bdr w:val="none" w:color="auto" w:sz="0" w:space="0"/>
        </w:rPr>
        <w:t>  二、主动公开政府信息情况</w:t>
      </w:r>
    </w:p>
    <w:tbl>
      <w:tblPr>
        <w:tblW w:w="542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4"/>
        <w:gridCol w:w="1142"/>
        <w:gridCol w:w="730"/>
        <w:gridCol w:w="157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0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信息内容</w:t>
            </w:r>
          </w:p>
        </w:tc>
        <w:tc>
          <w:tcPr>
            <w:tcW w:w="111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制作数量</w:t>
            </w:r>
          </w:p>
        </w:tc>
        <w:tc>
          <w:tcPr>
            <w:tcW w:w="71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本年新</w:t>
            </w: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公开数量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对外公开总数量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规章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规范性文件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0" w:type="dxa"/>
            <w:gridSpan w:val="4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信息内容</w:t>
            </w:r>
          </w:p>
        </w:tc>
        <w:tc>
          <w:tcPr>
            <w:tcW w:w="111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上一年项目数量</w:t>
            </w:r>
          </w:p>
        </w:tc>
        <w:tc>
          <w:tcPr>
            <w:tcW w:w="71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本年增</w:t>
            </w: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/减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行政许可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51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+52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103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其他对外管理服务事项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0" w:type="dxa"/>
            <w:gridSpan w:val="4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信息内容</w:t>
            </w:r>
          </w:p>
        </w:tc>
        <w:tc>
          <w:tcPr>
            <w:tcW w:w="111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上一年项目数量</w:t>
            </w:r>
          </w:p>
        </w:tc>
        <w:tc>
          <w:tcPr>
            <w:tcW w:w="71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本年增</w:t>
            </w: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/减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行政处罚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84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+76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160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行政强制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+19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37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0" w:type="dxa"/>
            <w:gridSpan w:val="4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信息内容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上一年项目数量</w:t>
            </w:r>
          </w:p>
        </w:tc>
        <w:tc>
          <w:tcPr>
            <w:tcW w:w="1950" w:type="dxa"/>
            <w:gridSpan w:val="2"/>
            <w:tcBorders>
              <w:top w:val="single" w:color="00000A" w:sz="8" w:space="0"/>
              <w:left w:val="nil"/>
              <w:bottom w:val="single" w:color="00000A" w:sz="8" w:space="0"/>
              <w:right w:val="single" w:color="000001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本年增</w:t>
            </w: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/减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行政事业性收费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1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70" w:type="dxa"/>
            <w:gridSpan w:val="4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第二十条第（九）项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信息内容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采购项目数量</w:t>
            </w:r>
          </w:p>
        </w:tc>
        <w:tc>
          <w:tcPr>
            <w:tcW w:w="1950" w:type="dxa"/>
            <w:gridSpan w:val="2"/>
            <w:tcBorders>
              <w:top w:val="single" w:color="00000A" w:sz="8" w:space="0"/>
              <w:left w:val="nil"/>
              <w:bottom w:val="single" w:color="00000A" w:sz="8" w:space="0"/>
              <w:right w:val="single" w:color="000001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采购总金额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2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政府集中采购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1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rFonts w:hint="eastAsia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60" w:lineRule="atLeast"/>
        <w:ind w:left="0" w:right="0"/>
        <w:jc w:val="left"/>
        <w:rPr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7" w:lineRule="atLeast"/>
        <w:ind w:left="0" w:right="0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21"/>
          <w:szCs w:val="21"/>
          <w:bdr w:val="none" w:color="auto" w:sz="0" w:space="0"/>
        </w:rPr>
        <w:t>  </w:t>
      </w:r>
      <w:r>
        <w:rPr>
          <w:rFonts w:hint="eastAsia" w:ascii="黑体" w:hAnsi="宋体" w:eastAsia="黑体" w:cs="黑体"/>
          <w:color w:val="000000"/>
          <w:sz w:val="32"/>
          <w:szCs w:val="32"/>
          <w:bdr w:val="none" w:color="auto" w:sz="0" w:space="0"/>
        </w:rPr>
        <w:t>  </w:t>
      </w:r>
      <w:r>
        <w:rPr>
          <w:rFonts w:hint="eastAsia" w:ascii="黑体" w:hAnsi="宋体" w:eastAsia="黑体" w:cs="黑体"/>
          <w:sz w:val="32"/>
          <w:szCs w:val="32"/>
          <w:bdr w:val="none" w:color="auto" w:sz="0" w:space="0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02"/>
        <w:jc w:val="center"/>
        <w:rPr>
          <w:sz w:val="16"/>
          <w:szCs w:val="16"/>
        </w:rPr>
      </w:pPr>
      <w:r>
        <w:rPr>
          <w:rFonts w:hint="eastAsia" w:ascii="黑体" w:hAnsi="宋体" w:eastAsia="黑体" w:cs="黑体"/>
          <w:color w:val="000000"/>
          <w:sz w:val="18"/>
          <w:szCs w:val="18"/>
          <w:bdr w:val="none" w:color="auto" w:sz="0" w:space="0"/>
        </w:rPr>
        <w:drawing>
          <wp:inline distT="0" distB="0" distL="114300" distR="114300">
            <wp:extent cx="5486400" cy="8486775"/>
            <wp:effectExtent l="0" t="0" r="0" b="9525"/>
            <wp:docPr id="2" name="图片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7" w:lineRule="atLeast"/>
        <w:ind w:left="0" w:right="0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21"/>
          <w:szCs w:val="21"/>
          <w:bdr w:val="none" w:color="auto" w:sz="0" w:space="0"/>
        </w:rPr>
        <w:t> </w:t>
      </w:r>
      <w:r>
        <w:rPr>
          <w:rFonts w:hint="eastAsia" w:ascii="黑体" w:hAnsi="宋体" w:eastAsia="黑体" w:cs="黑体"/>
          <w:sz w:val="21"/>
          <w:szCs w:val="21"/>
          <w:bdr w:val="none" w:color="auto" w:sz="0" w:space="0"/>
        </w:rPr>
        <w:t>  </w:t>
      </w:r>
      <w:r>
        <w:rPr>
          <w:rFonts w:hint="eastAsia" w:ascii="黑体" w:hAnsi="宋体" w:eastAsia="黑体" w:cs="黑体"/>
          <w:sz w:val="32"/>
          <w:szCs w:val="32"/>
          <w:bdr w:val="none" w:color="auto" w:sz="0" w:space="0"/>
        </w:rPr>
        <w:t> 四、政府信息公开行政复议、行政诉讼情况</w:t>
      </w:r>
    </w:p>
    <w:tbl>
      <w:tblPr>
        <w:tblW w:w="589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"/>
        <w:gridCol w:w="268"/>
        <w:gridCol w:w="268"/>
        <w:gridCol w:w="268"/>
        <w:gridCol w:w="309"/>
        <w:gridCol w:w="468"/>
        <w:gridCol w:w="268"/>
        <w:gridCol w:w="268"/>
        <w:gridCol w:w="268"/>
        <w:gridCol w:w="614"/>
        <w:gridCol w:w="268"/>
        <w:gridCol w:w="268"/>
        <w:gridCol w:w="268"/>
        <w:gridCol w:w="268"/>
        <w:gridCol w:w="145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gridSpan w:val="6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行政复议</w:t>
            </w:r>
          </w:p>
        </w:tc>
        <w:tc>
          <w:tcPr>
            <w:tcW w:w="3830" w:type="dxa"/>
            <w:gridSpan w:val="9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" w:type="dxa"/>
            <w:vMerge w:val="restart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结果维持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结果纠正</w:t>
            </w:r>
          </w:p>
        </w:tc>
        <w:tc>
          <w:tcPr>
            <w:tcW w:w="260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其他结果</w:t>
            </w:r>
          </w:p>
        </w:tc>
        <w:tc>
          <w:tcPr>
            <w:tcW w:w="260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尚未审结</w:t>
            </w:r>
          </w:p>
        </w:tc>
        <w:tc>
          <w:tcPr>
            <w:tcW w:w="300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总计</w:t>
            </w:r>
          </w:p>
        </w:tc>
        <w:tc>
          <w:tcPr>
            <w:tcW w:w="1830" w:type="dxa"/>
            <w:gridSpan w:val="5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未经复议直接起诉</w:t>
            </w:r>
          </w:p>
        </w:tc>
        <w:tc>
          <w:tcPr>
            <w:tcW w:w="1860" w:type="dxa"/>
            <w:gridSpan w:val="5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0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结果维持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结果纠正</w:t>
            </w:r>
          </w:p>
        </w:tc>
        <w:tc>
          <w:tcPr>
            <w:tcW w:w="26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其他结果</w:t>
            </w:r>
          </w:p>
        </w:tc>
        <w:tc>
          <w:tcPr>
            <w:tcW w:w="26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尚未审结</w:t>
            </w:r>
          </w:p>
        </w:tc>
        <w:tc>
          <w:tcPr>
            <w:tcW w:w="26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总计</w:t>
            </w:r>
          </w:p>
        </w:tc>
        <w:tc>
          <w:tcPr>
            <w:tcW w:w="26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结果维持</w:t>
            </w:r>
          </w:p>
        </w:tc>
        <w:tc>
          <w:tcPr>
            <w:tcW w:w="26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结果纠正</w:t>
            </w:r>
          </w:p>
        </w:tc>
        <w:tc>
          <w:tcPr>
            <w:tcW w:w="26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其他结果</w:t>
            </w:r>
          </w:p>
        </w:tc>
        <w:tc>
          <w:tcPr>
            <w:tcW w:w="26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尚未审结</w:t>
            </w:r>
          </w:p>
        </w:tc>
        <w:tc>
          <w:tcPr>
            <w:tcW w:w="25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2"/>
                <w:szCs w:val="12"/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2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2"/>
                <w:szCs w:val="12"/>
                <w:bdr w:val="none" w:color="auto" w:sz="0" w:space="0"/>
              </w:rPr>
              <w:t>0</w:t>
            </w:r>
          </w:p>
        </w:tc>
        <w:tc>
          <w:tcPr>
            <w:tcW w:w="2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/>
            <w:tcMar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Calibri" w:hAnsi="Calibri" w:cs="Calibri"/>
                <w:sz w:val="12"/>
                <w:szCs w:val="12"/>
                <w:bdr w:val="none" w:color="auto" w:sz="0" w:space="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bdr w:val="none" w:color="auto" w:sz="0" w:space="0"/>
        </w:rPr>
        <w:t> </w:t>
      </w:r>
      <w:r>
        <w:rPr>
          <w:rFonts w:hint="eastAsia" w:ascii="黑体" w:hAnsi="黑体" w:eastAsia="黑体" w:cs="黑体"/>
          <w:sz w:val="32"/>
          <w:szCs w:val="32"/>
          <w:bdr w:val="none" w:color="auto" w:sz="0" w:space="0"/>
        </w:rPr>
        <w:t> </w:t>
      </w: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存在问题：1.公开内容比较简单，公开面不够广，公开连续性不强，部门公开栏目更新较为迟缓。2.政务公开的重点不够突出、不够全面，信息质量有待提高。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改进措施：1.深化公开内容、注重实效，强化监督考核制度，发布相应考核细则，设立信息报送数量标准，加强信息内容审核从数量与质量两方面提升政务公开工作。2.创新公开形式，定期开展政务公开、条例、应诉能力等有关法律法规及文件的学习，累积经验，扩充政务公开的新形式、新途径、新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default" w:ascii="Times New Roman" w:hAnsi="Times New Roman" w:eastAsia="仿宋" w:cs="Times New Roman"/>
          <w:sz w:val="32"/>
          <w:szCs w:val="32"/>
        </w:rPr>
        <w:t>通过开展政务公开标准化工作，便捷了群众对其想知晓的政府信息的查找，加强了社会对政务公开工作的监督，规范了政府机关的权力运行，提高了工作效率，保障了工作顺利开展。下一步，公安分局将进一步提高政务公开信息发布数量、质量，规范信息发布标准，促进政务公开工作高质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E382C"/>
    <w:rsid w:val="042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主动公开政府信息</a:t>
            </a:r>
          </a:p>
        </c:rich>
      </c:tx>
      <c:layout>
        <c:manualLayout>
          <c:xMode val="edge"/>
          <c:yMode val="edge"/>
          <c:x val="0.376625"/>
          <c:y val="0.0533333333333333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026"/>
          <c:y val="0.131166666666667"/>
          <c:w val="0.945"/>
          <c:h val="0.76083333333333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主动公开政府信息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25400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/>
            </c:spPr>
          </c:dPt>
          <c:dLbls>
            <c:delete val="1"/>
          </c:dLbls>
          <c:cat>
            <c:strRef>
              <c:f>Sheet1!$A$2:$A$3</c:f>
              <c:strCache>
                <c:ptCount val="2"/>
                <c:pt idx="0">
                  <c:v>2020年度</c:v>
                </c:pt>
                <c:pt idx="1">
                  <c:v>2019年度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8.2</c:v>
                </c:pt>
                <c:pt idx="1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69375"/>
          <c:y val="0.922333333333333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2021-12-03T02:40:00Z</dcterms:created>
  <dc:creator>Administrator</dc:creator>
  <cp:lastModifiedBy>Administrator</cp:lastModifiedBy>
  <dcterms:modified xsi:type="dcterms:W3CDTF">2021-12-03T02:51:42Z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8127DCFCB8B14D898AFC84079D359FC9</vt:lpwstr>
  </property>
</Properties>
</file>