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办政府信息公开年度报告有关事项通知》《山东省政府信息公开办法》要求，现向社会公开枣庄高新区兴城街道办事处2020年政府信息公开工作年度报告。全文包括总体情况、主动公开政府信息情况、收到和处理政府信息公开申请情况、政府信息公开行政复议及行政诉讼情况、存在的主要问题及改进情况、其他需要报告的事项。本年度报告中所列数据统计时间为2020年1月1日至2020年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高新区认真贯彻落实《中华人民共和国政府信息公开条例》《国办政府信息公开年度报告有关事项通知》《山东省政府信息公开办法》规定的有关通知要求，紧紧围绕中心工作及公众关切，坚持“以公开为常态，不公开为例外”原则，全面落实政府信息公开条例，夯实主动公开工作基础，规范依申请公开办理流程，建立健全政府信息公开工作管理机制，提升政府信息公开平台建设，加大监督保障力度，全力推进政府信息公开工作。2020年兴城街道门户网站共公开各类信息163余条，主要涵盖通知公告、部门动态、文件解读、决策公开等栏目，包含疫情防控、安全生产、脱贫攻坚、镇域环境整治、食品安全、复工复产等领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（一）主动公开政府信息数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主动公开政府信息163余条。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（二）回应解读情况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回应公众关注热点或重大舆情1次，政府网站在线访谈0次，政策解读稿件发布2次，微博微信回应事件数0次。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(三)依申请公开情况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兴城街道办事处收到申请数0件。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(四)政府信息公开申请提起行政复议、行政诉讼、被举报投诉的情况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兴城街道办事处没有发生针对政府信息公开事务的行政复议申请、行政诉讼案件以及被举报投诉的情况。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(五)政府信息平台建设情况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街道党政办公室是政府信息公开工作的主管部门，负责推进、协调全街道信息公开工作。2020年街道召开信息公开专题会议2次，举办各类培训班2次，接受培训人数22人次。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（六）政府信息管理情况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政府信息公开工作主管部门统一部署，兴城街道办事处依靠高新区业务主管部门统一规范设置政府信息公开专栏，加强政府信息公开指南、年报、制度、法定主动公开内容等政府信息资源的梳理、归集，同时优化栏目页面设置，运用列表、超链接等方式展示相关内容。注重加强平台衔接，坚持数据同源，信息获取更加便捷、规范、权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（七）监督保障情况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1.加强日常监督机制。每月定期排查主动公开、办事服务、政策解读、互动交流、网站和政务新媒体运行等工作情况。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2.加大考核培训力度。积极参与上级举办网站与政务新媒体建设、政务公开与政府公报、政务信息工作培训班，进一步提升工作人员业务能力和水平。</w:t>
      </w:r>
    </w:p>
    <w:p>
      <w:pPr>
        <w:ind w:firstLine="420" w:firstLineChars="200"/>
        <w:rPr>
          <w:rFonts w:hint="eastAsia" w:ascii="黑体" w:hAnsi="黑体" w:eastAsia="黑体" w:cs="黑体"/>
          <w:sz w:val="32"/>
          <w:szCs w:val="32"/>
        </w:rPr>
      </w:pPr>
      <w:r>
        <w:drawing>
          <wp:inline distT="0" distB="0" distL="114935" distR="114935">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20"/>
        <w:gridCol w:w="1875"/>
        <w:gridCol w:w="12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Calibri" w:hAnsi="Calibri" w:cs="Calibri"/>
                <w:color w:val="00000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本年新</w:t>
            </w:r>
            <w:r>
              <w:rPr>
                <w:rFonts w:hint="default" w:ascii="Calibri" w:hAnsi="Calibri" w:cs="Calibri"/>
                <w:color w:val="000000"/>
                <w:sz w:val="24"/>
                <w:szCs w:val="24"/>
              </w:rPr>
              <w:br w:type="textWrapping"/>
            </w:r>
            <w:r>
              <w:rPr>
                <w:rFonts w:hint="default" w:ascii="Calibri" w:hAnsi="Calibri" w:cs="Calibri"/>
                <w:sz w:val="24"/>
                <w:szCs w:val="24"/>
              </w:rPr>
              <w:t>制作数量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本年新</w:t>
            </w:r>
            <w:r>
              <w:rPr>
                <w:rFonts w:hint="default" w:ascii="Calibri" w:hAnsi="Calibri" w:cs="Calibri"/>
                <w:color w:val="000000"/>
                <w:sz w:val="24"/>
                <w:szCs w:val="24"/>
              </w:rPr>
              <w:br w:type="textWrapping"/>
            </w:r>
            <w:r>
              <w:rPr>
                <w:rFonts w:hint="default" w:ascii="Calibri" w:hAnsi="Calibri" w:cs="Calibri"/>
                <w:sz w:val="24"/>
                <w:szCs w:val="24"/>
              </w:rPr>
              <w:t>公开数量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color w:val="000000"/>
                <w:sz w:val="24"/>
                <w:szCs w:val="24"/>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eastAsia" w:eastAsiaTheme="minorEastAsia"/>
                <w:sz w:val="24"/>
                <w:szCs w:val="24"/>
                <w:lang w:val="en-US" w:eastAsia="zh-CN"/>
              </w:rPr>
            </w:pPr>
            <w:r>
              <w:rPr>
                <w:rFonts w:hint="eastAsia"/>
                <w:sz w:val="24"/>
                <w:szCs w:val="24"/>
                <w:lang w:val="en-US" w:eastAsia="zh-CN"/>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eastAsia" w:eastAsiaTheme="minorEastAsia"/>
                <w:sz w:val="24"/>
                <w:szCs w:val="24"/>
                <w:lang w:val="en-US" w:eastAsia="zh-CN"/>
              </w:rPr>
            </w:pPr>
            <w:r>
              <w:rPr>
                <w:rFonts w:hint="eastAsia"/>
                <w:sz w:val="24"/>
                <w:szCs w:val="24"/>
                <w:lang w:val="en-US" w:eastAsia="zh-CN"/>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color w:val="000000"/>
                <w:sz w:val="24"/>
                <w:szCs w:val="24"/>
              </w:rPr>
              <w:t>规范性文件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default" w:eastAsiaTheme="minorEastAsia"/>
                <w:sz w:val="24"/>
                <w:szCs w:val="24"/>
                <w:lang w:val="en-US" w:eastAsia="zh-CN"/>
              </w:rPr>
            </w:pPr>
            <w:r>
              <w:rPr>
                <w:rFonts w:hint="eastAsia"/>
                <w:sz w:val="24"/>
                <w:szCs w:val="24"/>
                <w:lang w:val="en-US" w:eastAsia="zh-CN"/>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eastAsia" w:eastAsiaTheme="minorEastAsia"/>
                <w:sz w:val="24"/>
                <w:szCs w:val="24"/>
                <w:lang w:val="en-US" w:eastAsia="zh-CN"/>
              </w:rPr>
            </w:pPr>
            <w:r>
              <w:rPr>
                <w:rFonts w:hint="eastAsia"/>
                <w:sz w:val="24"/>
                <w:szCs w:val="24"/>
                <w:lang w:val="en-US" w:eastAsia="zh-CN"/>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本年增</w:t>
            </w:r>
            <w:r>
              <w:rPr>
                <w:color w:val="000000"/>
                <w:sz w:val="24"/>
                <w:szCs w:val="24"/>
              </w:rPr>
              <w:t>/</w:t>
            </w:r>
            <w:r>
              <w:rPr>
                <w:rFonts w:hint="eastAsia" w:ascii="宋体" w:hAnsi="宋体" w:eastAsia="宋体" w:cs="宋体"/>
                <w:color w:val="000000"/>
                <w:sz w:val="24"/>
                <w:szCs w:val="24"/>
              </w:rPr>
              <w:t>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color w:val="000000"/>
                <w:sz w:val="24"/>
                <w:szCs w:val="24"/>
              </w:rPr>
              <w:t>行政许可</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color w:val="000000"/>
                <w:sz w:val="24"/>
                <w:szCs w:val="24"/>
              </w:rPr>
              <w:t>其他对外管理服务事项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本年增</w:t>
            </w:r>
            <w:r>
              <w:rPr>
                <w:color w:val="000000"/>
                <w:sz w:val="24"/>
                <w:szCs w:val="24"/>
              </w:rPr>
              <w:t>/</w:t>
            </w:r>
            <w:r>
              <w:rPr>
                <w:rFonts w:hint="eastAsia" w:ascii="宋体" w:hAnsi="宋体" w:eastAsia="宋体" w:cs="宋体"/>
                <w:color w:val="000000"/>
                <w:sz w:val="24"/>
                <w:szCs w:val="24"/>
              </w:rPr>
              <w:t>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color w:val="000000"/>
                <w:sz w:val="24"/>
                <w:szCs w:val="24"/>
              </w:rPr>
              <w:t>行政处罚</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color w:val="000000"/>
                <w:sz w:val="24"/>
                <w:szCs w:val="24"/>
              </w:rPr>
              <w:t>行政强制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color w:val="000000"/>
                <w:sz w:val="24"/>
                <w:szCs w:val="24"/>
              </w:rPr>
              <w:t>上一年项目数量</w:t>
            </w:r>
          </w:p>
        </w:tc>
        <w:tc>
          <w:tcPr>
            <w:tcW w:w="315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本年增</w:t>
            </w:r>
            <w:r>
              <w:rPr>
                <w:color w:val="000000"/>
                <w:sz w:val="24"/>
                <w:szCs w:val="24"/>
              </w:rPr>
              <w:t>/</w:t>
            </w:r>
            <w:r>
              <w:rPr>
                <w:rFonts w:hint="eastAsia" w:ascii="宋体" w:hAnsi="宋体" w:eastAsia="宋体" w:cs="宋体"/>
                <w:color w:val="000000"/>
                <w:sz w:val="24"/>
                <w:szCs w:val="24"/>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4"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color w:val="000000"/>
                <w:sz w:val="24"/>
                <w:szCs w:val="24"/>
              </w:rPr>
              <w:t>行政事业性收费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严格遵守相关工作规定</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color w:val="000000"/>
                <w:sz w:val="19"/>
                <w:szCs w:val="19"/>
              </w:rPr>
              <w:t>严格遵守相关工作规定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采购项目数量</w:t>
            </w:r>
          </w:p>
        </w:tc>
        <w:tc>
          <w:tcPr>
            <w:tcW w:w="315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color w:val="000000"/>
                <w:sz w:val="24"/>
                <w:szCs w:val="24"/>
              </w:rPr>
              <w:t>政府集中采购</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eastAsia" w:ascii="宋体" w:hAnsi="宋体" w:eastAsia="宋体" w:cs="宋体"/>
                <w:color w:val="000000"/>
                <w:sz w:val="19"/>
                <w:szCs w:val="19"/>
              </w:rPr>
              <w:t>严格遵守相关工作规定</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sz w:val="24"/>
                <w:szCs w:val="24"/>
              </w:rPr>
              <w:t>　</w:t>
            </w:r>
            <w:r>
              <w:rPr>
                <w:rFonts w:hint="eastAsia" w:ascii="宋体" w:hAnsi="宋体" w:eastAsia="宋体" w:cs="宋体"/>
                <w:color w:val="000000"/>
                <w:sz w:val="19"/>
                <w:szCs w:val="19"/>
              </w:rPr>
              <w:t>严格遵守相关工作规定</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90"/>
        <w:gridCol w:w="930"/>
        <w:gridCol w:w="2182"/>
        <w:gridCol w:w="707"/>
        <w:gridCol w:w="735"/>
        <w:gridCol w:w="735"/>
        <w:gridCol w:w="864"/>
        <w:gridCol w:w="878"/>
        <w:gridCol w:w="707"/>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70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（本列数据的勾稽关系为：第一项加第二项之和，等于第三项加第四项之和）</w:t>
            </w:r>
          </w:p>
        </w:tc>
        <w:tc>
          <w:tcPr>
            <w:tcW w:w="5430"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70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自然人</w:t>
            </w:r>
          </w:p>
        </w:tc>
        <w:tc>
          <w:tcPr>
            <w:tcW w:w="400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法人或其他组织</w:t>
            </w:r>
          </w:p>
        </w:tc>
        <w:tc>
          <w:tcPr>
            <w:tcW w:w="69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370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商业企业</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科研机构</w:t>
            </w:r>
          </w:p>
        </w:tc>
        <w:tc>
          <w:tcPr>
            <w:tcW w:w="8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社会公益组织</w:t>
            </w:r>
          </w:p>
        </w:tc>
        <w:tc>
          <w:tcPr>
            <w:tcW w:w="9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法律服务机构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其他</w:t>
            </w: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70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一、本年新收政府信息公开申请数量</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70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二、上年结转政府信息公开申请数量</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三、本年度办理结果</w:t>
            </w:r>
          </w:p>
        </w:tc>
        <w:tc>
          <w:tcPr>
            <w:tcW w:w="309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（一）予以公开</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09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（二）部分公开（区分处理的，只计这一情形，不计其他情形）</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（三）不予公开</w:t>
            </w: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1.</w:t>
            </w:r>
            <w:r>
              <w:rPr>
                <w:rFonts w:ascii="楷体" w:hAnsi="楷体" w:eastAsia="楷体" w:cs="楷体"/>
                <w:sz w:val="24"/>
                <w:szCs w:val="24"/>
              </w:rPr>
              <w:t>属于国家秘密</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2.</w:t>
            </w:r>
            <w:r>
              <w:rPr>
                <w:rFonts w:hint="eastAsia" w:ascii="楷体" w:hAnsi="楷体" w:eastAsia="楷体" w:cs="楷体"/>
                <w:sz w:val="24"/>
                <w:szCs w:val="24"/>
              </w:rPr>
              <w:t>其他法律行政法规禁止公开</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3.</w:t>
            </w:r>
            <w:r>
              <w:rPr>
                <w:rFonts w:hint="eastAsia" w:ascii="楷体" w:hAnsi="楷体" w:eastAsia="楷体" w:cs="楷体"/>
                <w:sz w:val="24"/>
                <w:szCs w:val="24"/>
              </w:rPr>
              <w:t>危及</w:t>
            </w:r>
            <w:r>
              <w:rPr>
                <w:sz w:val="24"/>
                <w:szCs w:val="24"/>
              </w:rPr>
              <w:t>“</w:t>
            </w:r>
            <w:r>
              <w:rPr>
                <w:rFonts w:hint="eastAsia" w:ascii="楷体" w:hAnsi="楷体" w:eastAsia="楷体" w:cs="楷体"/>
                <w:sz w:val="24"/>
                <w:szCs w:val="24"/>
              </w:rPr>
              <w:t>三安全一稳定</w:t>
            </w:r>
            <w:r>
              <w:rPr>
                <w:sz w:val="24"/>
                <w:szCs w:val="24"/>
              </w:rPr>
              <w:t>”</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4.</w:t>
            </w:r>
            <w:r>
              <w:rPr>
                <w:rFonts w:hint="eastAsia" w:ascii="楷体" w:hAnsi="楷体" w:eastAsia="楷体" w:cs="楷体"/>
                <w:sz w:val="24"/>
                <w:szCs w:val="24"/>
              </w:rPr>
              <w:t>保护第三方合法权益</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5.</w:t>
            </w:r>
            <w:r>
              <w:rPr>
                <w:rFonts w:hint="eastAsia" w:ascii="楷体" w:hAnsi="楷体" w:eastAsia="楷体" w:cs="楷体"/>
                <w:sz w:val="24"/>
                <w:szCs w:val="24"/>
              </w:rPr>
              <w:t>属于三类内部事务信息</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6.</w:t>
            </w:r>
            <w:r>
              <w:rPr>
                <w:rFonts w:hint="eastAsia" w:ascii="楷体" w:hAnsi="楷体" w:eastAsia="楷体" w:cs="楷体"/>
                <w:sz w:val="24"/>
                <w:szCs w:val="24"/>
              </w:rPr>
              <w:t>属于四类过程性信息</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7.</w:t>
            </w:r>
            <w:r>
              <w:rPr>
                <w:rFonts w:hint="eastAsia" w:ascii="楷体" w:hAnsi="楷体" w:eastAsia="楷体" w:cs="楷体"/>
                <w:sz w:val="24"/>
                <w:szCs w:val="24"/>
              </w:rPr>
              <w:t>属于行政执法案卷</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8.</w:t>
            </w:r>
            <w:r>
              <w:rPr>
                <w:rFonts w:hint="eastAsia" w:ascii="楷体" w:hAnsi="楷体" w:eastAsia="楷体" w:cs="楷体"/>
                <w:sz w:val="24"/>
                <w:szCs w:val="24"/>
              </w:rPr>
              <w:t>属于行政查询事项</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（四）无法提供</w:t>
            </w: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1.</w:t>
            </w:r>
            <w:r>
              <w:rPr>
                <w:rFonts w:hint="eastAsia" w:ascii="楷体" w:hAnsi="楷体" w:eastAsia="楷体" w:cs="楷体"/>
                <w:sz w:val="24"/>
                <w:szCs w:val="24"/>
              </w:rPr>
              <w:t>本机关不掌握相关政府信息</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2.</w:t>
            </w:r>
            <w:r>
              <w:rPr>
                <w:rFonts w:hint="eastAsia" w:ascii="楷体" w:hAnsi="楷体" w:eastAsia="楷体" w:cs="楷体"/>
                <w:sz w:val="24"/>
                <w:szCs w:val="24"/>
              </w:rPr>
              <w:t>没有现成信息需要另行制作</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3.</w:t>
            </w:r>
            <w:r>
              <w:rPr>
                <w:rFonts w:hint="eastAsia" w:ascii="楷体" w:hAnsi="楷体" w:eastAsia="楷体" w:cs="楷体"/>
                <w:sz w:val="24"/>
                <w:szCs w:val="24"/>
              </w:rPr>
              <w:t>补正后申请内容仍不明确</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（五）不予处理</w:t>
            </w: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1.</w:t>
            </w:r>
            <w:r>
              <w:rPr>
                <w:rFonts w:hint="eastAsia" w:ascii="楷体" w:hAnsi="楷体" w:eastAsia="楷体" w:cs="楷体"/>
                <w:sz w:val="24"/>
                <w:szCs w:val="24"/>
              </w:rPr>
              <w:t>信访举报投诉类申请</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2.</w:t>
            </w:r>
            <w:r>
              <w:rPr>
                <w:rFonts w:hint="eastAsia" w:ascii="楷体" w:hAnsi="楷体" w:eastAsia="楷体" w:cs="楷体"/>
                <w:sz w:val="24"/>
                <w:szCs w:val="24"/>
              </w:rPr>
              <w:t>重复申请</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3.</w:t>
            </w:r>
            <w:r>
              <w:rPr>
                <w:rFonts w:hint="eastAsia" w:ascii="楷体" w:hAnsi="楷体" w:eastAsia="楷体" w:cs="楷体"/>
                <w:sz w:val="24"/>
                <w:szCs w:val="24"/>
              </w:rPr>
              <w:t>要求提供公开出版物</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4.</w:t>
            </w:r>
            <w:r>
              <w:rPr>
                <w:rFonts w:hint="eastAsia" w:ascii="楷体" w:hAnsi="楷体" w:eastAsia="楷体" w:cs="楷体"/>
                <w:sz w:val="24"/>
                <w:szCs w:val="24"/>
              </w:rPr>
              <w:t>无正当理由大量反复申请</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5.</w:t>
            </w:r>
            <w:r>
              <w:rPr>
                <w:rFonts w:hint="eastAsia" w:ascii="楷体" w:hAnsi="楷体" w:eastAsia="楷体" w:cs="楷体"/>
                <w:sz w:val="24"/>
                <w:szCs w:val="24"/>
              </w:rPr>
              <w:t>要求行政机关确认或重新出具已获取信息</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09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（六）其他处理</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09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cs="Calibri"/>
                <w:sz w:val="24"/>
                <w:szCs w:val="24"/>
              </w:rPr>
              <w:t>（七）总计</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70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80" w:firstLineChars="200"/>
              <w:jc w:val="left"/>
              <w:rPr>
                <w:sz w:val="24"/>
                <w:szCs w:val="24"/>
              </w:rPr>
            </w:pPr>
            <w:r>
              <w:rPr>
                <w:rFonts w:hint="default" w:ascii="Calibri" w:hAnsi="Calibri" w:cs="Calibri"/>
                <w:color w:val="000000"/>
                <w:sz w:val="24"/>
                <w:szCs w:val="24"/>
              </w:rPr>
              <w:t>四、结转下年度继续办理</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15"/>
        <w:jc w:val="left"/>
        <w:rPr>
          <w:rFonts w:hint="eastAsia" w:ascii="黑体" w:hAnsi="黑体" w:eastAsia="黑体" w:cs="黑体"/>
          <w:b w:val="0"/>
          <w:bCs w:val="0"/>
          <w:i w:val="0"/>
          <w:iCs w:val="0"/>
          <w:caps w:val="0"/>
          <w:color w:val="000000"/>
          <w:spacing w:val="0"/>
          <w:sz w:val="31"/>
          <w:szCs w:val="31"/>
          <w:shd w:val="clear" w:fill="FFFFFF"/>
        </w:rPr>
      </w:pPr>
      <w:r>
        <w:rPr>
          <w:rFonts w:hint="eastAsia" w:ascii="黑体" w:hAnsi="黑体" w:eastAsia="黑体" w:cs="黑体"/>
          <w:b w:val="0"/>
          <w:bCs w:val="0"/>
          <w:i w:val="0"/>
          <w:iCs w:val="0"/>
          <w:caps w:val="0"/>
          <w:color w:val="000000"/>
          <w:spacing w:val="0"/>
          <w:sz w:val="31"/>
          <w:szCs w:val="31"/>
          <w:shd w:val="clear" w:fill="FFFFFF"/>
        </w:rPr>
        <w:t>四、政府信息公开行政复议、行政诉讼情况</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9" w:hRule="atLeast"/>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left"/>
              <w:rPr>
                <w:sz w:val="24"/>
                <w:szCs w:val="24"/>
              </w:rPr>
            </w:pPr>
            <w:r>
              <w:rPr>
                <w:rFonts w:hint="eastAsia" w:ascii="微软雅黑" w:hAnsi="微软雅黑" w:eastAsia="微软雅黑" w:cs="微软雅黑"/>
                <w:i w:val="0"/>
                <w:iCs w:val="0"/>
                <w:color w:val="000000"/>
                <w:spacing w:val="0"/>
                <w:sz w:val="24"/>
                <w:szCs w:val="24"/>
                <w:shd w:val="clear" w:fill="FFFFFF"/>
              </w:rPr>
              <w:t> </w:t>
            </w:r>
            <w:r>
              <w:rPr>
                <w:rFonts w:hint="eastAsia" w:ascii="微软雅黑" w:hAnsi="微软雅黑" w:eastAsia="微软雅黑" w:cs="微软雅黑"/>
                <w:i w:val="0"/>
                <w:iCs w:val="0"/>
                <w:color w:val="000000"/>
                <w:spacing w:val="0"/>
                <w:sz w:val="24"/>
                <w:szCs w:val="24"/>
                <w:shd w:val="clear" w:fill="FFFFFF"/>
                <w:lang w:val="en-US" w:eastAsia="zh-CN"/>
              </w:rPr>
              <w:t xml:space="preserve">       </w:t>
            </w:r>
            <w:r>
              <w:rPr>
                <w:rFonts w:hint="default" w:ascii="Calibri" w:hAnsi="Calibri" w:cs="Calibri"/>
                <w:sz w:val="24"/>
                <w:szCs w:val="24"/>
                <w:shd w:val="clear" w:fill="FFFFFF"/>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尚未审结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3" w:hRule="atLeast"/>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尚未审结</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sz w:val="24"/>
                <w:szCs w:val="24"/>
              </w:rP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cs="Calibri"/>
                <w:color w:val="00000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sz w:val="24"/>
                <w:szCs w:val="24"/>
              </w:rPr>
              <w:t>0</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我街道高度重视政府信息公开工作，形成了自上而下的统一认识和工作布局，在2020年取得了一定进步，但仍存在不足：政府信息公开体制机制建设有待完善，政府信息公开队伍建设还需加强。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下一步，我们将进一步完善政府信息公开制度，从内容、形式、程序和时限上对公开公正加以规范。</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增强信息公开意识。加强信息联络人员与各部门、有关单位的衔接与沟通，努力将信息收集与公开同步进行，确保信息的及时、准确、全面。</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提升信息公开效果。加强对</w:t>
      </w:r>
      <w:bookmarkStart w:id="0" w:name="_GoBack"/>
      <w:bookmarkEnd w:id="0"/>
      <w:r>
        <w:rPr>
          <w:rFonts w:hint="eastAsia" w:ascii="仿宋_GB2312" w:hAnsi="仿宋_GB2312" w:eastAsia="仿宋_GB2312" w:cs="仿宋_GB2312"/>
          <w:sz w:val="32"/>
          <w:szCs w:val="32"/>
        </w:rPr>
        <w:t>信息联络人员的培训，开展多种形式的交流，开阔工作人员视野，加强信息内容提炼和升华。</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扩展信息公开形式。进一步丰富政府信息公开渠道，积极探索新措施、新方法，丰富形式、创新手段。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如对本年度政府信息公开工作年度报告有疑问，请与枣庄高新区兴城街道联系（联系电话:0632-8673018，电子邮箱:xingchengjiedao@163.com）。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47A0B"/>
    <w:rsid w:val="02936A01"/>
    <w:rsid w:val="06841479"/>
    <w:rsid w:val="09EB1BE5"/>
    <w:rsid w:val="0A095DC2"/>
    <w:rsid w:val="0DE93979"/>
    <w:rsid w:val="0E8518F4"/>
    <w:rsid w:val="0EE53289"/>
    <w:rsid w:val="108D683E"/>
    <w:rsid w:val="10926398"/>
    <w:rsid w:val="138833BA"/>
    <w:rsid w:val="1390362E"/>
    <w:rsid w:val="14250D0E"/>
    <w:rsid w:val="165C0979"/>
    <w:rsid w:val="16E60E90"/>
    <w:rsid w:val="1888431A"/>
    <w:rsid w:val="18BD1C8B"/>
    <w:rsid w:val="19B60BB4"/>
    <w:rsid w:val="1B4F0565"/>
    <w:rsid w:val="1BB27C97"/>
    <w:rsid w:val="1C0673C2"/>
    <w:rsid w:val="1DE260E5"/>
    <w:rsid w:val="1DF95513"/>
    <w:rsid w:val="1FD64E32"/>
    <w:rsid w:val="1FD91AA0"/>
    <w:rsid w:val="216003F7"/>
    <w:rsid w:val="243D75AA"/>
    <w:rsid w:val="262E5001"/>
    <w:rsid w:val="26B1325B"/>
    <w:rsid w:val="286F2FA1"/>
    <w:rsid w:val="296164E2"/>
    <w:rsid w:val="29CB3B48"/>
    <w:rsid w:val="2A5C369E"/>
    <w:rsid w:val="2B611338"/>
    <w:rsid w:val="2D300825"/>
    <w:rsid w:val="2E0C1292"/>
    <w:rsid w:val="34A25304"/>
    <w:rsid w:val="34C55A1B"/>
    <w:rsid w:val="34EB1FF9"/>
    <w:rsid w:val="360337E4"/>
    <w:rsid w:val="386B22FF"/>
    <w:rsid w:val="3903383B"/>
    <w:rsid w:val="3CAD0F7B"/>
    <w:rsid w:val="3D846FB4"/>
    <w:rsid w:val="3DB47627"/>
    <w:rsid w:val="3EB35FE9"/>
    <w:rsid w:val="41622E95"/>
    <w:rsid w:val="41843216"/>
    <w:rsid w:val="441539E7"/>
    <w:rsid w:val="44733D74"/>
    <w:rsid w:val="45171269"/>
    <w:rsid w:val="45EA7CB3"/>
    <w:rsid w:val="47D91D8D"/>
    <w:rsid w:val="48F74BC1"/>
    <w:rsid w:val="4A7123E0"/>
    <w:rsid w:val="4B204D29"/>
    <w:rsid w:val="4BF8047C"/>
    <w:rsid w:val="4D3D4A3E"/>
    <w:rsid w:val="4DDA26BB"/>
    <w:rsid w:val="4F87691F"/>
    <w:rsid w:val="50344461"/>
    <w:rsid w:val="55A424D3"/>
    <w:rsid w:val="578104B7"/>
    <w:rsid w:val="578C6CBC"/>
    <w:rsid w:val="58DD69AE"/>
    <w:rsid w:val="5A2F2F5F"/>
    <w:rsid w:val="5ABA27D2"/>
    <w:rsid w:val="5CC26E3C"/>
    <w:rsid w:val="5E9079F2"/>
    <w:rsid w:val="5F5E28DD"/>
    <w:rsid w:val="5F942D12"/>
    <w:rsid w:val="631F0FB7"/>
    <w:rsid w:val="645A442F"/>
    <w:rsid w:val="67386679"/>
    <w:rsid w:val="67D97411"/>
    <w:rsid w:val="68DC329C"/>
    <w:rsid w:val="68FE3099"/>
    <w:rsid w:val="6E52203A"/>
    <w:rsid w:val="6F1057E5"/>
    <w:rsid w:val="6FC05917"/>
    <w:rsid w:val="70D222BB"/>
    <w:rsid w:val="71983DFE"/>
    <w:rsid w:val="73033CFF"/>
    <w:rsid w:val="74163F76"/>
    <w:rsid w:val="77BE04D4"/>
    <w:rsid w:val="7A096744"/>
    <w:rsid w:val="7ADD5362"/>
    <w:rsid w:val="7DD00F61"/>
    <w:rsid w:val="7E21356B"/>
    <w:rsid w:val="7E28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2019年度</c:v>
                </c:pt>
                <c:pt idx="1">
                  <c:v>2020年度</c:v>
                </c:pt>
              </c:strCache>
            </c:strRef>
          </c:cat>
          <c:val>
            <c:numRef>
              <c:f>[工作簿1]Sheet1!$B$1:$B$2</c:f>
              <c:numCache>
                <c:formatCode>General</c:formatCode>
                <c:ptCount val="2"/>
                <c:pt idx="0">
                  <c:v>142</c:v>
                </c:pt>
                <c:pt idx="1">
                  <c:v>163</c:v>
                </c:pt>
              </c:numCache>
            </c:numRef>
          </c:val>
        </c:ser>
        <c:dLbls>
          <c:showLegendKey val="0"/>
          <c:showVal val="0"/>
          <c:showCatName val="0"/>
          <c:showSerName val="0"/>
          <c:showPercent val="0"/>
          <c:showBubbleSize val="0"/>
        </c:dLbls>
        <c:gapWidth val="219"/>
        <c:overlap val="-27"/>
        <c:axId val="816875382"/>
        <c:axId val="729138889"/>
      </c:barChart>
      <c:catAx>
        <c:axId val="816875382"/>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138889"/>
        <c:crosses val="autoZero"/>
        <c:auto val="1"/>
        <c:lblAlgn val="ctr"/>
        <c:lblOffset val="100"/>
        <c:noMultiLvlLbl val="0"/>
      </c:catAx>
      <c:valAx>
        <c:axId val="72913888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条</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8753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2321</Words>
  <Characters>2399</Characters>
  <Lines>0</Lines>
  <Paragraphs>0</Paragraphs>
  <TotalTime>26</TotalTime>
  <ScaleCrop>false</ScaleCrop>
  <LinksUpToDate>false</LinksUpToDate>
  <CharactersWithSpaces>2408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2021-01-18T03:11:00Z</dcterms:created>
  <dc:creator>Administrator</dc:creator>
  <cp:lastModifiedBy>Admin</cp:lastModifiedBy>
  <cp:lastPrinted>2021-04-29T06:23:00Z</cp:lastPrinted>
  <dcterms:modified xsi:type="dcterms:W3CDTF">2021-12-03T01:11:44Z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7D7068472726419EB87E0AAAC9428935</vt:lpwstr>
  </property>
</Properties>
</file>