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枣庄高新区2019年度政府信息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公开工作报告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ind w:firstLine="540" w:firstLineChars="200"/>
        <w:rPr>
          <w:rFonts w:hint="eastAsia" w:ascii="宋体" w:hAnsi="宋体" w:eastAsia="宋体" w:cs="宋体"/>
          <w:i w:val="0"/>
          <w:iCs w:val="0"/>
          <w:caps w:val="0"/>
          <w:color w:val="000000"/>
          <w:spacing w:val="0"/>
          <w:kern w:val="0"/>
          <w:sz w:val="27"/>
          <w:szCs w:val="27"/>
          <w:lang w:val="en-US" w:eastAsia="zh-CN" w:bidi="ar"/>
        </w:rPr>
      </w:pPr>
      <w:r>
        <w:rPr>
          <w:rFonts w:hint="eastAsia" w:ascii="宋体" w:hAnsi="宋体" w:eastAsia="宋体" w:cs="宋体"/>
          <w:i w:val="0"/>
          <w:iCs w:val="0"/>
          <w:caps w:val="0"/>
          <w:color w:val="000000"/>
          <w:spacing w:val="0"/>
          <w:kern w:val="0"/>
          <w:sz w:val="27"/>
          <w:szCs w:val="27"/>
          <w:lang w:val="en-US" w:eastAsia="zh-CN" w:bidi="ar"/>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枣庄高新区2019年度政府信息公开年度报告。本报告包括总体情况、主动公开政府信息情况、收到和处理政府信息公开申请情况、政府信息公开行政复议行政诉讼情况、政府信息公开工作存在的主要问题及改进情况等。本年度报告中所列数据的统计期限自2020年1月1日起至2020年12月31日止。</w:t>
      </w:r>
    </w:p>
    <w:p>
      <w:pPr>
        <w:pStyle w:val="2"/>
        <w:keepNext w:val="0"/>
        <w:keepLines w:val="0"/>
        <w:widowControl/>
        <w:suppressLineNumbers w:val="0"/>
        <w:spacing w:before="0" w:beforeAutospacing="1" w:after="0" w:afterAutospacing="0" w:line="605" w:lineRule="atLeast"/>
        <w:ind w:left="0" w:right="0" w:firstLine="634"/>
        <w:jc w:val="left"/>
        <w:rPr>
          <w:rStyle w:val="5"/>
          <w:rFonts w:hint="default" w:ascii="黑体" w:hAnsi="宋体" w:eastAsia="黑体" w:cs="黑体"/>
          <w:i w:val="0"/>
          <w:iCs w:val="0"/>
          <w:caps w:val="0"/>
          <w:color w:val="000000"/>
          <w:spacing w:val="0"/>
          <w:sz w:val="27"/>
          <w:szCs w:val="27"/>
          <w:lang w:val="en-US" w:eastAsia="zh-CN"/>
        </w:rPr>
      </w:pPr>
      <w:r>
        <w:rPr>
          <w:rStyle w:val="5"/>
          <w:rFonts w:hint="eastAsia" w:ascii="黑体" w:hAnsi="宋体" w:eastAsia="黑体" w:cs="黑体"/>
          <w:i w:val="0"/>
          <w:iCs w:val="0"/>
          <w:caps w:val="0"/>
          <w:color w:val="000000"/>
          <w:spacing w:val="0"/>
          <w:sz w:val="27"/>
          <w:szCs w:val="27"/>
          <w:lang w:val="en-US" w:eastAsia="zh-CN"/>
        </w:rPr>
        <w:t>一、总体情况</w:t>
      </w:r>
    </w:p>
    <w:p>
      <w:pPr>
        <w:pStyle w:val="2"/>
        <w:keepNext w:val="0"/>
        <w:keepLines w:val="0"/>
        <w:widowControl/>
        <w:suppressLineNumbers w:val="0"/>
        <w:spacing w:before="0" w:beforeAutospacing="1" w:after="0" w:afterAutospacing="0" w:line="605" w:lineRule="atLeast"/>
        <w:ind w:right="0" w:firstLine="540" w:firstLineChars="200"/>
        <w:jc w:val="both"/>
        <w:rPr>
          <w:rFonts w:hint="default" w:ascii="sans-serif" w:hAnsi="sans-serif" w:eastAsia="sans-serif" w:cs="sans-serif"/>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7"/>
          <w:szCs w:val="27"/>
        </w:rPr>
        <w:t>高新区认真贯彻落实《中华人民共和国政府信息公开条例》《国办政府信息公开年度报告有关事项通知》《山东省政府信息公开办法》规定的有关通知要求，</w:t>
      </w:r>
      <w:r>
        <w:rPr>
          <w:rFonts w:hint="eastAsia" w:ascii="宋体" w:hAnsi="宋体" w:eastAsia="宋体" w:cs="宋体"/>
          <w:i w:val="0"/>
          <w:iCs w:val="0"/>
          <w:caps w:val="0"/>
          <w:color w:val="000000"/>
          <w:spacing w:val="0"/>
          <w:sz w:val="28"/>
          <w:szCs w:val="28"/>
          <w:shd w:val="clear" w:fill="FFFFFF"/>
        </w:rPr>
        <w:t>政务公开政府信息公开工作紧紧围绕党和政府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依照新《条例》第二十条规定，2019年高新区门户网站共公开各类信息</w:t>
      </w:r>
      <w:r>
        <w:rPr>
          <w:rFonts w:hint="eastAsia" w:ascii="宋体" w:hAnsi="宋体" w:eastAsia="宋体" w:cs="宋体"/>
          <w:i w:val="0"/>
          <w:iCs w:val="0"/>
          <w:caps w:val="0"/>
          <w:color w:val="000000"/>
          <w:spacing w:val="0"/>
          <w:sz w:val="28"/>
          <w:szCs w:val="28"/>
        </w:rPr>
        <w:t>6609</w:t>
      </w:r>
      <w:r>
        <w:rPr>
          <w:rFonts w:hint="eastAsia" w:ascii="宋体" w:hAnsi="宋体" w:eastAsia="宋体" w:cs="宋体"/>
          <w:i w:val="0"/>
          <w:iCs w:val="0"/>
          <w:caps w:val="0"/>
          <w:color w:val="000000"/>
          <w:spacing w:val="0"/>
          <w:sz w:val="28"/>
          <w:szCs w:val="28"/>
          <w:shd w:val="clear" w:fill="FFFFFF"/>
        </w:rPr>
        <w:t>条，及时公布行政法规、规章和规范性文件，按期公布国民经济和社会发展规划、专项规划、区域规划及相关政策、国民经济和社会发展统计信息30条，发布2019年国民经济和社会发展统计公报。高新区体制机制改革后，更新机关职能、机构设置、办公地址、办公时间、联系方式、负责人姓名等信息60多条；及时公开高新区财政预决算、重大建设项目、公共资源配置及社会公益事业等重点领域信息，更新办事服务事项，做好公务员招考的职位、名额、报考条件等事项以及录用结果公示公告和重大决策意见征集。公开办理行政许可和其他对外管理服务事项的依据、条件、程序以及办理结果；关于实施行政处罚、行政强制的依据、条件、程序以及本行政机关认为具有一定社会影响的行政处罚决定及时通过网站向社会公开。全面、精准解读相关政策措施，切实做到政策性文件与解读方案、解读材料同步签审、同步部署；重点推进政策说明，深入推进决策和执行公开，在决策前向社会发布征求意见稿或草案，广泛征求社会各界的意见与建议，通过多种途径了解利益相关方和社会公众对决策实施的意见和建议。深化重点领域信息公开，发布政府集中采购项目的目录、标准及实施情况；重大建设项目的批准和实施情况；扶贫等方面的政策、措施及其实施情况；及时发布高新区突发公共事件的应急预案、预警信息及应对情况，环境保护、安全生产、食品、产品质量的监督检查情况。全面提升政府信息公开政务公开质量，以公开促监督，公开促效能，公开促服务，更好服务于我区经济社会的发展。</w:t>
      </w:r>
    </w:p>
    <w:p>
      <w:pPr>
        <w:pStyle w:val="2"/>
        <w:keepNext w:val="0"/>
        <w:keepLines w:val="0"/>
        <w:widowControl/>
        <w:suppressLineNumbers w:val="0"/>
        <w:spacing w:before="0" w:beforeAutospacing="1" w:after="0" w:afterAutospacing="0" w:line="605" w:lineRule="atLeast"/>
        <w:ind w:left="0" w:right="0" w:firstLine="634"/>
        <w:rPr>
          <w:rFonts w:hint="default" w:ascii="sans-serif" w:hAnsi="sans-serif" w:eastAsia="sans-serif" w:cs="sans-serif"/>
          <w:i w:val="0"/>
          <w:iCs w:val="0"/>
          <w:caps w:val="0"/>
          <w:color w:val="000000"/>
          <w:spacing w:val="0"/>
          <w:sz w:val="24"/>
          <w:szCs w:val="24"/>
        </w:rPr>
      </w:pPr>
      <w:r>
        <w:rPr>
          <w:rStyle w:val="5"/>
          <w:rFonts w:ascii="楷体_GB2312" w:hAnsi="sans-serif" w:eastAsia="楷体_GB2312" w:cs="楷体_GB2312"/>
          <w:i w:val="0"/>
          <w:iCs w:val="0"/>
          <w:caps w:val="0"/>
          <w:color w:val="000000"/>
          <w:spacing w:val="0"/>
          <w:sz w:val="27"/>
          <w:szCs w:val="27"/>
        </w:rPr>
        <w:t>（一）主动公开政府信息数</w:t>
      </w:r>
    </w:p>
    <w:p>
      <w:pPr>
        <w:pStyle w:val="2"/>
        <w:keepNext w:val="0"/>
        <w:keepLines w:val="0"/>
        <w:widowControl/>
        <w:suppressLineNumbers w:val="0"/>
        <w:spacing w:before="0" w:beforeAutospacing="1" w:after="0" w:afterAutospacing="0" w:line="605" w:lineRule="atLeast"/>
        <w:ind w:left="0" w:right="0" w:firstLine="634"/>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主动公开政府信息6609条。</w:t>
      </w:r>
    </w:p>
    <w:p>
      <w:pPr>
        <w:pStyle w:val="2"/>
        <w:keepNext w:val="0"/>
        <w:keepLines w:val="0"/>
        <w:widowControl/>
        <w:suppressLineNumbers w:val="0"/>
        <w:spacing w:before="0" w:beforeAutospacing="1" w:after="0" w:afterAutospacing="0" w:line="605" w:lineRule="atLeast"/>
        <w:ind w:left="0" w:right="0" w:firstLine="634"/>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27"/>
          <w:szCs w:val="27"/>
        </w:rPr>
        <w:t>（二）通过不同渠道和方式公开政府信息的情况</w:t>
      </w:r>
    </w:p>
    <w:p>
      <w:pPr>
        <w:pStyle w:val="2"/>
        <w:keepNext w:val="0"/>
        <w:keepLines w:val="0"/>
        <w:widowControl/>
        <w:suppressLineNumbers w:val="0"/>
        <w:spacing w:before="0" w:beforeAutospacing="1" w:after="0" w:afterAutospacing="0" w:line="605" w:lineRule="atLeast"/>
        <w:ind w:left="0" w:right="0" w:firstLine="648"/>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7"/>
          <w:szCs w:val="27"/>
        </w:rPr>
        <w:t>1、政府网站。</w:t>
      </w:r>
      <w:r>
        <w:rPr>
          <w:rFonts w:hint="eastAsia" w:ascii="宋体" w:hAnsi="宋体" w:eastAsia="宋体" w:cs="宋体"/>
          <w:i w:val="0"/>
          <w:iCs w:val="0"/>
          <w:caps w:val="0"/>
          <w:color w:val="000000"/>
          <w:spacing w:val="0"/>
          <w:sz w:val="27"/>
          <w:szCs w:val="27"/>
        </w:rPr>
        <w:t>通过政府门户网站公开政府信息3019条,占比45.68%。</w:t>
      </w:r>
    </w:p>
    <w:p>
      <w:pPr>
        <w:pStyle w:val="2"/>
        <w:keepNext w:val="0"/>
        <w:keepLines w:val="0"/>
        <w:widowControl/>
        <w:suppressLineNumbers w:val="0"/>
        <w:spacing w:before="0" w:beforeAutospacing="1" w:after="0" w:afterAutospacing="0" w:line="605" w:lineRule="atLeast"/>
        <w:ind w:left="0" w:right="0" w:firstLine="648"/>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7"/>
          <w:szCs w:val="27"/>
        </w:rPr>
        <w:t>2、政务微信。</w:t>
      </w:r>
      <w:r>
        <w:rPr>
          <w:rFonts w:hint="eastAsia" w:ascii="宋体" w:hAnsi="宋体" w:eastAsia="宋体" w:cs="宋体"/>
          <w:i w:val="0"/>
          <w:iCs w:val="0"/>
          <w:caps w:val="0"/>
          <w:color w:val="000000"/>
          <w:spacing w:val="0"/>
          <w:sz w:val="27"/>
          <w:szCs w:val="27"/>
        </w:rPr>
        <w:t>发布信息1689条，占比25.56%。</w:t>
      </w:r>
    </w:p>
    <w:p>
      <w:pPr>
        <w:pStyle w:val="2"/>
        <w:keepNext w:val="0"/>
        <w:keepLines w:val="0"/>
        <w:widowControl/>
        <w:suppressLineNumbers w:val="0"/>
        <w:spacing w:before="0" w:beforeAutospacing="1" w:after="0" w:afterAutospacing="0" w:line="605" w:lineRule="atLeast"/>
        <w:ind w:left="0" w:right="0" w:firstLine="648"/>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7"/>
          <w:szCs w:val="27"/>
        </w:rPr>
        <w:t>3、其他方式。</w:t>
      </w:r>
      <w:r>
        <w:rPr>
          <w:rFonts w:hint="eastAsia" w:ascii="宋体" w:hAnsi="宋体" w:eastAsia="宋体" w:cs="宋体"/>
          <w:i w:val="0"/>
          <w:iCs w:val="0"/>
          <w:caps w:val="0"/>
          <w:color w:val="000000"/>
          <w:spacing w:val="0"/>
          <w:sz w:val="27"/>
          <w:szCs w:val="27"/>
        </w:rPr>
        <w:t>公开各类政府信息1901条，占比28.76%%。</w:t>
      </w:r>
    </w:p>
    <w:p>
      <w:pPr>
        <w:pStyle w:val="2"/>
        <w:keepNext w:val="0"/>
        <w:keepLines w:val="0"/>
        <w:widowControl/>
        <w:suppressLineNumbers w:val="0"/>
        <w:spacing w:before="0" w:beforeAutospacing="1" w:after="0" w:afterAutospacing="0" w:line="605" w:lineRule="atLeast"/>
        <w:ind w:left="0" w:right="0" w:firstLine="648"/>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drawing>
          <wp:inline distT="0" distB="0" distL="114300" distR="114300">
            <wp:extent cx="4581525" cy="3048000"/>
            <wp:effectExtent l="0" t="0" r="952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4"/>
                    <a:stretch>
                      <a:fillRect/>
                    </a:stretch>
                  </pic:blipFill>
                  <pic:spPr>
                    <a:xfrm>
                      <a:off x="0" y="0"/>
                      <a:ext cx="4581525" cy="30480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0" w:line="605" w:lineRule="atLeast"/>
        <w:ind w:left="0" w:right="0" w:firstLine="648"/>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各种渠道公开数量占比图</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4627245" cy="3204845"/>
            <wp:effectExtent l="0" t="0" r="1905" b="14605"/>
            <wp:docPr id="2" name="图片 2" descr="2019jie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19jietu.jpg"/>
                    <pic:cNvPicPr>
                      <a:picLocks noChangeAspect="1"/>
                    </pic:cNvPicPr>
                  </pic:nvPicPr>
                  <pic:blipFill>
                    <a:blip r:embed="rId5"/>
                    <a:stretch>
                      <a:fillRect/>
                    </a:stretch>
                  </pic:blipFill>
                  <pic:spPr>
                    <a:xfrm>
                      <a:off x="0" y="0"/>
                      <a:ext cx="4627245" cy="320484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0" w:line="605" w:lineRule="atLeast"/>
        <w:ind w:right="0" w:firstLine="542" w:firstLineChars="200"/>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27"/>
          <w:szCs w:val="27"/>
        </w:rPr>
        <w:t>(三)回应解读情况</w:t>
      </w:r>
    </w:p>
    <w:p>
      <w:pPr>
        <w:pStyle w:val="2"/>
        <w:keepNext w:val="0"/>
        <w:keepLines w:val="0"/>
        <w:widowControl/>
        <w:suppressLineNumbers w:val="0"/>
        <w:spacing w:before="0" w:beforeAutospacing="1" w:after="0" w:afterAutospacing="0" w:line="605" w:lineRule="atLeast"/>
        <w:ind w:right="0" w:firstLine="54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回应公众关注热点或重大舆情10次，政府网站在线访谈6次，高新政务访谈8次，政策解读稿件发布14次，微博微信回应事件数55次，其他方式回应事件数70次。</w:t>
      </w:r>
    </w:p>
    <w:p>
      <w:pPr>
        <w:pStyle w:val="2"/>
        <w:keepNext w:val="0"/>
        <w:keepLines w:val="0"/>
        <w:widowControl/>
        <w:suppressLineNumbers w:val="0"/>
        <w:spacing w:before="0" w:beforeAutospacing="1" w:after="0" w:afterAutospacing="0" w:line="605" w:lineRule="atLeast"/>
        <w:ind w:right="0" w:firstLine="542" w:firstLineChars="200"/>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27"/>
          <w:szCs w:val="27"/>
        </w:rPr>
        <w:t>(四)依申请公开情况</w:t>
      </w:r>
    </w:p>
    <w:p>
      <w:pPr>
        <w:pStyle w:val="2"/>
        <w:keepNext w:val="0"/>
        <w:keepLines w:val="0"/>
        <w:widowControl/>
        <w:suppressLineNumbers w:val="0"/>
        <w:spacing w:before="0" w:beforeAutospacing="1" w:after="0" w:afterAutospacing="0" w:line="605" w:lineRule="atLeast"/>
        <w:ind w:right="0" w:firstLine="54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高新区收到申请数10件，其中，网络申请数8件，信函申请数2件，按时办结数10件。申请办结数10件，按时办结数10件，所有申请均已按时办结。申请答复数10件，同意公开答复数10件。</w:t>
      </w:r>
    </w:p>
    <w:p>
      <w:pPr>
        <w:pStyle w:val="2"/>
        <w:keepNext w:val="0"/>
        <w:keepLines w:val="0"/>
        <w:widowControl/>
        <w:suppressLineNumbers w:val="0"/>
        <w:spacing w:before="0" w:beforeAutospacing="1" w:after="0" w:afterAutospacing="0" w:line="605" w:lineRule="atLeast"/>
        <w:ind w:left="0" w:right="0" w:firstLine="634"/>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27"/>
          <w:szCs w:val="27"/>
        </w:rPr>
        <w:t>(五)政府信息公开申请提起行政复议、行政诉讼、被举报投诉的情况</w:t>
      </w:r>
    </w:p>
    <w:p>
      <w:pPr>
        <w:pStyle w:val="2"/>
        <w:keepNext w:val="0"/>
        <w:keepLines w:val="0"/>
        <w:widowControl/>
        <w:suppressLineNumbers w:val="0"/>
        <w:spacing w:before="0" w:beforeAutospacing="1" w:after="0" w:afterAutospacing="0" w:line="605" w:lineRule="atLeast"/>
        <w:ind w:right="0" w:firstLine="54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高新区没有发生针对政府信息公开事务的行政复议申请、申诉和行政诉讼案件以及被举报情况。</w:t>
      </w:r>
    </w:p>
    <w:p>
      <w:pPr>
        <w:pStyle w:val="2"/>
        <w:keepNext w:val="0"/>
        <w:keepLines w:val="0"/>
        <w:widowControl/>
        <w:suppressLineNumbers w:val="0"/>
        <w:spacing w:before="0" w:beforeAutospacing="1" w:after="0" w:afterAutospacing="0" w:line="605" w:lineRule="atLeast"/>
        <w:ind w:left="0" w:right="0" w:firstLine="634"/>
        <w:rPr>
          <w:rFonts w:hint="default" w:ascii="sans-serif" w:hAnsi="sans-serif" w:eastAsia="sans-serif" w:cs="sans-serif"/>
          <w:i w:val="0"/>
          <w:iCs w:val="0"/>
          <w:caps w:val="0"/>
          <w:color w:val="000000"/>
          <w:spacing w:val="0"/>
          <w:sz w:val="24"/>
          <w:szCs w:val="24"/>
        </w:rPr>
      </w:pPr>
      <w:r>
        <w:rPr>
          <w:rStyle w:val="5"/>
          <w:rFonts w:hint="eastAsia" w:ascii="楷体_GB2312" w:hAnsi="sans-serif" w:eastAsia="楷体_GB2312" w:cs="楷体_GB2312"/>
          <w:i w:val="0"/>
          <w:iCs w:val="0"/>
          <w:caps w:val="0"/>
          <w:color w:val="000000"/>
          <w:spacing w:val="0"/>
          <w:sz w:val="27"/>
          <w:szCs w:val="27"/>
        </w:rPr>
        <w:t>(六)政府信息平台建设情况</w:t>
      </w:r>
    </w:p>
    <w:p>
      <w:pPr>
        <w:pStyle w:val="2"/>
        <w:keepNext w:val="0"/>
        <w:keepLines w:val="0"/>
        <w:widowControl/>
        <w:suppressLineNumbers w:val="0"/>
        <w:spacing w:before="0" w:beforeAutospacing="1" w:after="0" w:afterAutospacing="0" w:line="605" w:lineRule="atLeast"/>
        <w:ind w:right="0" w:firstLine="540" w:firstLineChars="200"/>
        <w:jc w:val="both"/>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区党政综合办公室是政府信息公开工作的主管部门，负责推进、指导、协调、监督全区信息公开工作。全区各部门单位从事政府信息公开工作专（兼）职人员共计26人,19年全区召开信息公开专题会议6次，举办各类培训班2次，接受培训人数225人。向图书馆、档案馆等查阅场所报送信息数1256条，网站改版增设门户网站信息公开专栏3个，设置政府查阅点2个。</w:t>
      </w:r>
    </w:p>
    <w:p>
      <w:pPr>
        <w:pStyle w:val="2"/>
        <w:keepNext w:val="0"/>
        <w:keepLines w:val="0"/>
        <w:widowControl/>
        <w:suppressLineNumbers w:val="0"/>
        <w:spacing w:line="645" w:lineRule="atLeast"/>
        <w:ind w:left="0" w:firstLine="285"/>
        <w:rPr>
          <w:rFonts w:hint="default" w:ascii="sans-serif" w:hAnsi="sans-serif" w:eastAsia="sans-serif" w:cs="sans-serif"/>
          <w:i w:val="0"/>
          <w:iCs w:val="0"/>
          <w:caps w:val="0"/>
          <w:color w:val="000000"/>
          <w:spacing w:val="0"/>
          <w:sz w:val="27"/>
          <w:szCs w:val="27"/>
        </w:rPr>
      </w:pPr>
      <w:r>
        <w:rPr>
          <w:rStyle w:val="5"/>
          <w:rFonts w:hint="eastAsia" w:ascii="楷体_GB2312" w:hAnsi="sans-serif" w:eastAsia="楷体_GB2312" w:cs="楷体_GB2312"/>
          <w:i w:val="0"/>
          <w:iCs w:val="0"/>
          <w:caps w:val="0"/>
          <w:color w:val="000000"/>
          <w:spacing w:val="0"/>
          <w:sz w:val="27"/>
          <w:szCs w:val="27"/>
        </w:rPr>
        <w:t>（七）政府信息管理情况</w:t>
      </w:r>
    </w:p>
    <w:p>
      <w:pPr>
        <w:pStyle w:val="2"/>
        <w:keepNext w:val="0"/>
        <w:keepLines w:val="0"/>
        <w:widowControl/>
        <w:suppressLineNumbers w:val="0"/>
        <w:spacing w:line="645" w:lineRule="atLeast"/>
        <w:ind w:left="0" w:firstLine="55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按照国家政府信息公开工作主管部门统一部署，高新区统一规范设置政府信息公开专栏，加强政府信息公开指南、年报、制度、法定主动公开内容等政府信息资源的梳理、归集，同时优化栏目页面设置，运用列表、超链接等方式展示相关内容。注重加强平台衔接，坚持数据同源，整合土地征收、政务服务、公共资源交易等专业系统平台，信息获取更加便捷、规范、权威。</w:t>
      </w:r>
    </w:p>
    <w:p>
      <w:pPr>
        <w:pStyle w:val="2"/>
        <w:keepNext w:val="0"/>
        <w:keepLines w:val="0"/>
        <w:widowControl/>
        <w:suppressLineNumbers w:val="0"/>
        <w:spacing w:line="645" w:lineRule="atLeast"/>
        <w:ind w:left="0" w:firstLine="555"/>
        <w:rPr>
          <w:rFonts w:hint="default" w:ascii="sans-serif" w:hAnsi="sans-serif" w:eastAsia="sans-serif" w:cs="sans-serif"/>
          <w:i w:val="0"/>
          <w:iCs w:val="0"/>
          <w:caps w:val="0"/>
          <w:color w:val="000000"/>
          <w:spacing w:val="0"/>
          <w:sz w:val="27"/>
          <w:szCs w:val="27"/>
        </w:rPr>
      </w:pPr>
      <w:r>
        <w:rPr>
          <w:rStyle w:val="5"/>
          <w:rFonts w:ascii="楷体" w:hAnsi="楷体" w:eastAsia="楷体" w:cs="楷体"/>
          <w:i w:val="0"/>
          <w:iCs w:val="0"/>
          <w:caps w:val="0"/>
          <w:color w:val="000000"/>
          <w:spacing w:val="0"/>
          <w:sz w:val="28"/>
          <w:szCs w:val="28"/>
        </w:rPr>
        <w:t>（八）监督保障情况</w:t>
      </w:r>
    </w:p>
    <w:p>
      <w:pPr>
        <w:pStyle w:val="2"/>
        <w:keepNext w:val="0"/>
        <w:keepLines w:val="0"/>
        <w:widowControl/>
        <w:suppressLineNumbers w:val="0"/>
        <w:spacing w:line="645" w:lineRule="atLeast"/>
        <w:ind w:left="0" w:firstLine="55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1.加强日常监督指导。每月定期监测通报各部门主动公开、办事服务、政策解读、互动交流、网站和政务新媒体运行等工作情况。及时指出监督工作中的共性或个性问题，为各部门开展自我监督提供借鉴和指导。</w:t>
      </w:r>
    </w:p>
    <w:p>
      <w:pPr>
        <w:pStyle w:val="2"/>
        <w:keepNext w:val="0"/>
        <w:keepLines w:val="0"/>
        <w:widowControl/>
        <w:suppressLineNumbers w:val="0"/>
        <w:spacing w:line="645" w:lineRule="atLeast"/>
        <w:ind w:left="0" w:firstLine="555"/>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8"/>
          <w:szCs w:val="28"/>
        </w:rPr>
        <w:t>2.加大考核培训力度。举办网站与政务新媒体建设、政务公开与政府公报、政务信息工作培训班，进一步提升工作人员业务能力和水平。发挥考核“指挥棒”作用，促进公开工作规范有序开展，形成工作有部署、实施有检查、年终有考核、违规违纪有责任追究的工作机制，确保广大人民群众的知情权、参与权和监督。</w:t>
      </w:r>
    </w:p>
    <w:p>
      <w:pPr>
        <w:pStyle w:val="2"/>
        <w:keepNext w:val="0"/>
        <w:keepLines w:val="0"/>
        <w:widowControl/>
        <w:suppressLineNumbers w:val="0"/>
        <w:spacing w:before="0" w:beforeAutospacing="1" w:after="0" w:afterAutospacing="0" w:line="605" w:lineRule="atLeast"/>
        <w:ind w:right="0" w:firstLine="542" w:firstLineChars="200"/>
        <w:rPr>
          <w:rFonts w:hint="default" w:ascii="sans-serif" w:hAnsi="sans-serif" w:eastAsia="sans-serif" w:cs="sans-serif"/>
          <w:i w:val="0"/>
          <w:iCs w:val="0"/>
          <w:caps w:val="0"/>
          <w:color w:val="000000"/>
          <w:spacing w:val="0"/>
          <w:sz w:val="24"/>
          <w:szCs w:val="24"/>
        </w:rPr>
      </w:pPr>
      <w:r>
        <w:rPr>
          <w:rStyle w:val="5"/>
          <w:rFonts w:hint="eastAsia" w:ascii="黑体" w:hAnsi="宋体" w:eastAsia="黑体" w:cs="黑体"/>
          <w:i w:val="0"/>
          <w:iCs w:val="0"/>
          <w:caps w:val="0"/>
          <w:color w:val="000000"/>
          <w:spacing w:val="0"/>
          <w:sz w:val="27"/>
          <w:szCs w:val="27"/>
        </w:rPr>
        <w:t>二、主动公开政府信息情况</w:t>
      </w:r>
    </w:p>
    <w:tbl>
      <w:tblPr>
        <w:tblW w:w="87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925"/>
        <w:gridCol w:w="1956"/>
        <w:gridCol w:w="1586"/>
        <w:gridCol w:w="22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475"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信息内容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本年新制作数量</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24"/>
                <w:szCs w:val="24"/>
                <w:bdr w:val="none" w:color="auto" w:sz="0" w:space="0"/>
              </w:rPr>
              <w:t>本年新公开数量</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24"/>
                <w:szCs w:val="24"/>
                <w:bdr w:val="none" w:color="auto" w:sz="0" w:space="0"/>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规章</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规范性文件</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475"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信息内容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上一年项目数量</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24"/>
                <w:szCs w:val="24"/>
                <w:bdr w:val="none" w:color="auto" w:sz="0" w:space="0"/>
              </w:rPr>
              <w:t>本年增/减</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24"/>
                <w:szCs w:val="24"/>
                <w:bdr w:val="none" w:color="auto" w:sz="0" w:space="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行政许可</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80</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增加37</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117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其他对外管理服务事项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245</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增加29</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274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475"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信息内容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上一年项目数量</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本年增/减</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24"/>
                <w:szCs w:val="24"/>
                <w:bdr w:val="none" w:color="auto" w:sz="0" w:space="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行政处罚</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223</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增加1</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831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行政强制</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19</w:t>
            </w:r>
          </w:p>
        </w:tc>
        <w:tc>
          <w:tcPr>
            <w:tcW w:w="15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增加0</w:t>
            </w:r>
          </w:p>
        </w:tc>
        <w:tc>
          <w:tcPr>
            <w:tcW w:w="15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475"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信息内容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上一年项目数量</w:t>
            </w:r>
          </w:p>
        </w:tc>
        <w:tc>
          <w:tcPr>
            <w:tcW w:w="331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行政事业性收费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color w:val="000000"/>
                <w:sz w:val="24"/>
                <w:szCs w:val="24"/>
                <w:bdr w:val="none" w:color="auto" w:sz="0" w:space="0"/>
              </w:rPr>
              <w:t>27</w:t>
            </w:r>
          </w:p>
        </w:tc>
        <w:tc>
          <w:tcPr>
            <w:tcW w:w="331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color w:val="000000"/>
                <w:sz w:val="24"/>
                <w:szCs w:val="24"/>
                <w:bdr w:val="none" w:color="auto" w:sz="0" w:space="0"/>
              </w:rPr>
              <w:t>减少11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475" w:type="dxa"/>
            <w:gridSpan w:val="4"/>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74" w:beforeAutospacing="0" w:after="0" w:afterAutospacing="0" w:line="315" w:lineRule="atLeast"/>
              <w:ind w:left="0" w:right="0" w:firstLine="418"/>
              <w:jc w:val="center"/>
            </w:pPr>
            <w:r>
              <w:rPr>
                <w:rFonts w:hint="eastAsia"/>
              </w:rPr>
              <w:t>第二十条第（九）项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信息内容</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采购项目数量</w:t>
            </w:r>
          </w:p>
        </w:tc>
        <w:tc>
          <w:tcPr>
            <w:tcW w:w="331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采购总金额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r>
              <w:rPr>
                <w:rFonts w:hint="eastAsia" w:ascii="宋体" w:hAnsi="宋体" w:eastAsia="宋体" w:cs="宋体"/>
                <w:sz w:val="24"/>
                <w:szCs w:val="24"/>
                <w:bdr w:val="none" w:color="auto" w:sz="0" w:space="0"/>
              </w:rPr>
              <w:t>政府集中采购</w:t>
            </w: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331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8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19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c>
          <w:tcPr>
            <w:tcW w:w="331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18"/>
              <w:jc w:val="center"/>
              <w:rPr>
                <w:sz w:val="24"/>
                <w:szCs w:val="24"/>
              </w:rPr>
            </w:pPr>
          </w:p>
        </w:tc>
      </w:tr>
    </w:tbl>
    <w:p>
      <w:pPr>
        <w:pStyle w:val="2"/>
        <w:keepNext w:val="0"/>
        <w:keepLines w:val="0"/>
        <w:widowControl/>
        <w:suppressLineNumbers w:val="0"/>
        <w:spacing w:before="0" w:beforeAutospacing="1" w:after="0" w:afterAutospacing="0" w:line="605" w:lineRule="atLeast"/>
        <w:ind w:right="0" w:firstLine="542" w:firstLineChars="200"/>
        <w:jc w:val="left"/>
        <w:rPr>
          <w:rStyle w:val="5"/>
          <w:rFonts w:hint="default" w:ascii="黑体" w:hAnsi="宋体" w:eastAsia="黑体" w:cs="黑体"/>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rPr>
        <w:t>三、收到和处理政府信息公开申请情况</w:t>
      </w:r>
    </w:p>
    <w:tbl>
      <w:tblPr>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660"/>
        <w:gridCol w:w="1000"/>
        <w:gridCol w:w="2431"/>
        <w:gridCol w:w="480"/>
        <w:gridCol w:w="306"/>
        <w:gridCol w:w="306"/>
        <w:gridCol w:w="306"/>
        <w:gridCol w:w="306"/>
        <w:gridCol w:w="967"/>
        <w:gridCol w:w="1405"/>
        <w:gridCol w:w="3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155" w:type="dxa"/>
            <w:gridSpan w:val="3"/>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（本列数据的勾稽关系为：第一项加第二项之和，等于第三项加第四项之和）</w:t>
            </w:r>
          </w:p>
        </w:tc>
        <w:tc>
          <w:tcPr>
            <w:tcW w:w="3375" w:type="dxa"/>
            <w:gridSpan w:val="7"/>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申请人情况</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155" w:type="dxa"/>
            <w:gridSpan w:val="3"/>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6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自然人</w:t>
            </w:r>
          </w:p>
        </w:tc>
        <w:tc>
          <w:tcPr>
            <w:tcW w:w="2250" w:type="dxa"/>
            <w:gridSpan w:val="5"/>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法人或其他组织</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总计</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155" w:type="dxa"/>
            <w:gridSpan w:val="3"/>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6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24"/>
                <w:szCs w:val="24"/>
              </w:rPr>
            </w:pPr>
            <w:r>
              <w:rPr>
                <w:rFonts w:hint="eastAsia" w:ascii="宋体" w:hAnsi="宋体" w:eastAsia="宋体" w:cs="宋体"/>
                <w:sz w:val="18"/>
                <w:szCs w:val="18"/>
                <w:bdr w:val="none" w:color="auto" w:sz="0" w:space="0"/>
              </w:rPr>
              <w:t>商业企业</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24"/>
                <w:szCs w:val="24"/>
              </w:rPr>
            </w:pPr>
            <w:r>
              <w:rPr>
                <w:rFonts w:hint="eastAsia" w:ascii="宋体" w:hAnsi="宋体" w:eastAsia="宋体" w:cs="宋体"/>
                <w:sz w:val="18"/>
                <w:szCs w:val="18"/>
                <w:bdr w:val="none" w:color="auto" w:sz="0" w:space="0"/>
              </w:rPr>
              <w:t>科研机构</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24"/>
                <w:szCs w:val="24"/>
              </w:rPr>
            </w:pPr>
            <w:r>
              <w:rPr>
                <w:rFonts w:hint="eastAsia" w:ascii="宋体" w:hAnsi="宋体" w:eastAsia="宋体" w:cs="宋体"/>
                <w:sz w:val="18"/>
                <w:szCs w:val="18"/>
                <w:bdr w:val="none" w:color="auto" w:sz="0" w:space="0"/>
              </w:rPr>
              <w:t>社会公益组织</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24"/>
                <w:szCs w:val="24"/>
              </w:rPr>
            </w:pPr>
            <w:r>
              <w:rPr>
                <w:rFonts w:hint="eastAsia" w:ascii="宋体" w:hAnsi="宋体" w:eastAsia="宋体" w:cs="宋体"/>
                <w:sz w:val="18"/>
                <w:szCs w:val="18"/>
                <w:bdr w:val="none" w:color="auto" w:sz="0" w:space="0"/>
              </w:rPr>
              <w:t>法律服务机构</w:t>
            </w: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rPr>
                <w:sz w:val="24"/>
                <w:szCs w:val="24"/>
              </w:rPr>
            </w:pPr>
            <w:r>
              <w:rPr>
                <w:rFonts w:hint="eastAsia" w:ascii="宋体" w:hAnsi="宋体" w:eastAsia="宋体" w:cs="宋体"/>
                <w:sz w:val="18"/>
                <w:szCs w:val="18"/>
                <w:bdr w:val="none" w:color="auto" w:sz="0" w:space="0"/>
              </w:rPr>
              <w:t>其他</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155" w:type="dxa"/>
            <w:gridSpan w:val="3"/>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一、本年新收政府信息公开申请数量</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10</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10</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155" w:type="dxa"/>
            <w:gridSpan w:val="3"/>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二、上年结转政府信息公开申请数量</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三、本年度办理结果</w:t>
            </w:r>
          </w:p>
        </w:tc>
        <w:tc>
          <w:tcPr>
            <w:tcW w:w="370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（一）予以公开</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4</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4</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70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（二）部分公开（区分处理的，只计这一情形，不计其他情形）</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（三）不予公开</w:t>
            </w: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1.属于国家秘密</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2.其他法律行政法规禁止公开</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3.危及“三安全一稳定”</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4.保护第三方合法权益</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5.属于三类内部事务信息</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6.属于四类过程性信息</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7.属于行政执法案卷</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8.属于行政查询事项</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（四）无法提供</w:t>
            </w: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1.本机关不掌握相关政府信息</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2.没有现成信息需要另行制作</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3.补正后申请内容仍不明确</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（五）不予处理</w:t>
            </w: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1.信访举报投诉类申请</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2.重复申请</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3.要求提供公开出版物</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4.无正当理由大量反复申请</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103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5.要求行政机关确认或重新出具已获取信息</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70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（六）其他处理</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2</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2</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4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705"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楷体" w:hAnsi="楷体" w:eastAsia="楷体" w:cs="楷体"/>
                <w:sz w:val="18"/>
                <w:szCs w:val="18"/>
                <w:bdr w:val="none" w:color="auto" w:sz="0" w:space="0"/>
              </w:rPr>
              <w:t>（七）总计</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10</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10</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55" w:type="dxa"/>
            <w:gridSpan w:val="3"/>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r>
              <w:rPr>
                <w:rFonts w:hint="eastAsia" w:ascii="宋体" w:hAnsi="宋体" w:eastAsia="宋体" w:cs="宋体"/>
                <w:sz w:val="18"/>
                <w:szCs w:val="18"/>
                <w:bdr w:val="none" w:color="auto" w:sz="0" w:space="0"/>
              </w:rPr>
              <w:t>四、结转下年度继续办理</w:t>
            </w:r>
          </w:p>
        </w:tc>
        <w:tc>
          <w:tcPr>
            <w:tcW w:w="36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1</w:t>
            </w: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8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27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24"/>
                <w:szCs w:val="24"/>
                <w:bdr w:val="none" w:color="auto" w:sz="0" w:space="0"/>
              </w:rPr>
              <w:t>1</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p>
        </w:tc>
      </w:tr>
    </w:tbl>
    <w:p>
      <w:pPr>
        <w:pStyle w:val="2"/>
        <w:keepNext w:val="0"/>
        <w:keepLines w:val="0"/>
        <w:widowControl/>
        <w:suppressLineNumbers w:val="0"/>
        <w:spacing w:before="0" w:beforeAutospacing="1" w:after="0" w:afterAutospacing="0" w:line="605" w:lineRule="atLeast"/>
        <w:ind w:right="0" w:firstLine="542" w:firstLineChars="200"/>
        <w:jc w:val="left"/>
        <w:rPr>
          <w:rStyle w:val="5"/>
          <w:rFonts w:hint="default" w:ascii="黑体" w:hAnsi="宋体" w:eastAsia="黑体" w:cs="黑体"/>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rPr>
        <w:t>四、政府信息公开行政复议、行政诉讼情况</w:t>
      </w:r>
    </w:p>
    <w:tbl>
      <w:tblPr>
        <w:tblW w:w="907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420"/>
        <w:gridCol w:w="420"/>
        <w:gridCol w:w="420"/>
        <w:gridCol w:w="421"/>
        <w:gridCol w:w="1307"/>
        <w:gridCol w:w="421"/>
        <w:gridCol w:w="421"/>
        <w:gridCol w:w="421"/>
        <w:gridCol w:w="421"/>
        <w:gridCol w:w="1247"/>
        <w:gridCol w:w="421"/>
        <w:gridCol w:w="421"/>
        <w:gridCol w:w="421"/>
        <w:gridCol w:w="421"/>
        <w:gridCol w:w="14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2850" w:type="dxa"/>
            <w:gridSpan w:val="5"/>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行政复议</w:t>
            </w:r>
          </w:p>
        </w:tc>
        <w:tc>
          <w:tcPr>
            <w:tcW w:w="5790" w:type="dxa"/>
            <w:gridSpan w:val="10"/>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75"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24"/>
                <w:szCs w:val="24"/>
              </w:rPr>
            </w:pPr>
            <w:r>
              <w:rPr>
                <w:rFonts w:hint="eastAsia" w:ascii="宋体" w:hAnsi="宋体" w:eastAsia="宋体" w:cs="宋体"/>
                <w:sz w:val="18"/>
                <w:szCs w:val="18"/>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24"/>
                <w:szCs w:val="24"/>
              </w:rPr>
            </w:pPr>
            <w:r>
              <w:rPr>
                <w:rFonts w:hint="eastAsia" w:ascii="宋体" w:hAnsi="宋体" w:eastAsia="宋体" w:cs="宋体"/>
                <w:sz w:val="18"/>
                <w:szCs w:val="18"/>
                <w:bdr w:val="none" w:color="auto" w:sz="0" w:space="0"/>
              </w:rPr>
              <w:t>维持</w:t>
            </w:r>
          </w:p>
        </w:tc>
        <w:tc>
          <w:tcPr>
            <w:tcW w:w="39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firstLine="0"/>
              <w:jc w:val="center"/>
              <w:rPr>
                <w:sz w:val="24"/>
                <w:szCs w:val="24"/>
              </w:rPr>
            </w:pPr>
            <w:r>
              <w:rPr>
                <w:rFonts w:hint="eastAsia" w:ascii="宋体" w:hAnsi="宋体" w:eastAsia="宋体" w:cs="宋体"/>
                <w:sz w:val="18"/>
                <w:szCs w:val="18"/>
                <w:bdr w:val="none" w:color="auto" w:sz="0" w:space="0"/>
              </w:rPr>
              <w:t>结果纠正</w:t>
            </w:r>
          </w:p>
        </w:tc>
        <w:tc>
          <w:tcPr>
            <w:tcW w:w="39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101"/>
              <w:jc w:val="center"/>
              <w:rPr>
                <w:sz w:val="24"/>
                <w:szCs w:val="24"/>
              </w:rPr>
            </w:pPr>
            <w:r>
              <w:rPr>
                <w:rFonts w:hint="eastAsia" w:ascii="宋体" w:hAnsi="宋体" w:eastAsia="宋体" w:cs="宋体"/>
                <w:sz w:val="18"/>
                <w:szCs w:val="18"/>
                <w:bdr w:val="none" w:color="auto" w:sz="0" w:space="0"/>
              </w:rPr>
              <w:t>其他结果</w:t>
            </w:r>
          </w:p>
        </w:tc>
        <w:tc>
          <w:tcPr>
            <w:tcW w:w="39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24"/>
                <w:szCs w:val="24"/>
              </w:rPr>
            </w:pPr>
            <w:r>
              <w:rPr>
                <w:rFonts w:hint="eastAsia" w:ascii="宋体" w:hAnsi="宋体" w:eastAsia="宋体" w:cs="宋体"/>
                <w:sz w:val="18"/>
                <w:szCs w:val="18"/>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24"/>
                <w:szCs w:val="24"/>
              </w:rPr>
            </w:pPr>
            <w:r>
              <w:rPr>
                <w:rFonts w:hint="eastAsia" w:ascii="宋体" w:hAnsi="宋体" w:eastAsia="宋体" w:cs="宋体"/>
                <w:sz w:val="18"/>
                <w:szCs w:val="18"/>
                <w:bdr w:val="none" w:color="auto" w:sz="0" w:space="0"/>
              </w:rPr>
              <w:t>审结</w:t>
            </w:r>
          </w:p>
        </w:tc>
        <w:tc>
          <w:tcPr>
            <w:tcW w:w="450" w:type="dxa"/>
            <w:vMerge w:val="restart"/>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计</w:t>
            </w:r>
          </w:p>
        </w:tc>
        <w:tc>
          <w:tcPr>
            <w:tcW w:w="2760" w:type="dxa"/>
            <w:gridSpan w:val="5"/>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未经复议直接起诉</w:t>
            </w:r>
          </w:p>
        </w:tc>
        <w:tc>
          <w:tcPr>
            <w:tcW w:w="2820" w:type="dxa"/>
            <w:gridSpan w:val="5"/>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375"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9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9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9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450" w:type="dxa"/>
            <w:vMerge w:val="continue"/>
            <w:tcBorders>
              <w:top w:val="outset" w:color="auto" w:sz="6" w:space="0"/>
              <w:left w:val="outset" w:color="auto" w:sz="6" w:space="0"/>
              <w:bottom w:val="outset" w:color="auto" w:sz="6" w:space="0"/>
              <w:right w:val="outset" w:color="auto" w:sz="6" w:space="0"/>
            </w:tcBorders>
            <w:shd w:val="clear"/>
            <w:tcMar>
              <w:top w:w="75" w:type="dxa"/>
            </w:tcMar>
            <w:vAlign w:val="center"/>
          </w:tcPr>
          <w:p>
            <w:pPr>
              <w:rPr>
                <w:rFonts w:hint="eastAsia" w:ascii="宋体"/>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30"/>
              <w:jc w:val="center"/>
              <w:rPr>
                <w:sz w:val="24"/>
                <w:szCs w:val="24"/>
              </w:rPr>
            </w:pPr>
            <w:r>
              <w:rPr>
                <w:rFonts w:hint="eastAsia" w:ascii="宋体" w:hAnsi="宋体" w:eastAsia="宋体" w:cs="宋体"/>
                <w:sz w:val="18"/>
                <w:szCs w:val="18"/>
                <w:bdr w:val="none" w:color="auto" w:sz="0" w:space="0"/>
              </w:rPr>
              <w:t>结果维持</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rPr>
                <w:sz w:val="24"/>
                <w:szCs w:val="24"/>
              </w:rPr>
            </w:pPr>
            <w:r>
              <w:rPr>
                <w:rFonts w:hint="eastAsia" w:ascii="宋体" w:hAnsi="宋体" w:eastAsia="宋体" w:cs="宋体"/>
                <w:sz w:val="18"/>
                <w:szCs w:val="18"/>
                <w:bdr w:val="none" w:color="auto" w:sz="0" w:space="0"/>
              </w:rPr>
              <w:t>结果纠正</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24"/>
                <w:szCs w:val="24"/>
              </w:rPr>
            </w:pPr>
            <w:r>
              <w:rPr>
                <w:rFonts w:hint="eastAsia" w:ascii="宋体" w:hAnsi="宋体" w:eastAsia="宋体" w:cs="宋体"/>
                <w:sz w:val="18"/>
                <w:szCs w:val="18"/>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24"/>
                <w:szCs w:val="24"/>
              </w:rPr>
            </w:pPr>
            <w:r>
              <w:rPr>
                <w:rFonts w:hint="eastAsia" w:ascii="宋体" w:hAnsi="宋体" w:eastAsia="宋体" w:cs="宋体"/>
                <w:sz w:val="18"/>
                <w:szCs w:val="18"/>
                <w:bdr w:val="none" w:color="auto" w:sz="0" w:space="0"/>
              </w:rPr>
              <w:t>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24"/>
                <w:szCs w:val="24"/>
              </w:rPr>
            </w:pPr>
            <w:r>
              <w:rPr>
                <w:rFonts w:hint="eastAsia" w:ascii="宋体" w:hAnsi="宋体" w:eastAsia="宋体" w:cs="宋体"/>
                <w:sz w:val="18"/>
                <w:szCs w:val="18"/>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24"/>
                <w:szCs w:val="24"/>
              </w:rPr>
            </w:pPr>
            <w:r>
              <w:rPr>
                <w:rFonts w:hint="eastAsia" w:ascii="宋体" w:hAnsi="宋体" w:eastAsia="宋体" w:cs="宋体"/>
                <w:sz w:val="18"/>
                <w:szCs w:val="18"/>
                <w:bdr w:val="none" w:color="auto" w:sz="0" w:space="0"/>
              </w:rPr>
              <w:t>审结</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总计</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rPr>
                <w:sz w:val="24"/>
                <w:szCs w:val="24"/>
              </w:rPr>
            </w:pPr>
            <w:r>
              <w:rPr>
                <w:rFonts w:hint="eastAsia" w:ascii="宋体" w:hAnsi="宋体" w:eastAsia="宋体" w:cs="宋体"/>
                <w:sz w:val="18"/>
                <w:szCs w:val="18"/>
                <w:bdr w:val="none" w:color="auto" w:sz="0" w:space="0"/>
              </w:rPr>
              <w:t>结果维持</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24"/>
                <w:szCs w:val="24"/>
              </w:rPr>
            </w:pPr>
            <w:r>
              <w:rPr>
                <w:rFonts w:hint="eastAsia" w:ascii="宋体" w:hAnsi="宋体" w:eastAsia="宋体" w:cs="宋体"/>
                <w:sz w:val="18"/>
                <w:szCs w:val="18"/>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24"/>
                <w:szCs w:val="24"/>
              </w:rPr>
            </w:pPr>
            <w:r>
              <w:rPr>
                <w:rFonts w:hint="eastAsia" w:ascii="宋体" w:hAnsi="宋体" w:eastAsia="宋体" w:cs="宋体"/>
                <w:sz w:val="18"/>
                <w:szCs w:val="18"/>
                <w:bdr w:val="none" w:color="auto" w:sz="0" w:space="0"/>
              </w:rPr>
              <w:t>纠正</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24"/>
                <w:szCs w:val="24"/>
              </w:rPr>
            </w:pPr>
            <w:r>
              <w:rPr>
                <w:rFonts w:hint="eastAsia" w:ascii="宋体" w:hAnsi="宋体" w:eastAsia="宋体" w:cs="宋体"/>
                <w:sz w:val="18"/>
                <w:szCs w:val="18"/>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24"/>
                <w:szCs w:val="24"/>
              </w:rPr>
            </w:pPr>
            <w:r>
              <w:rPr>
                <w:rFonts w:hint="eastAsia" w:ascii="宋体" w:hAnsi="宋体" w:eastAsia="宋体" w:cs="宋体"/>
                <w:sz w:val="18"/>
                <w:szCs w:val="18"/>
                <w:bdr w:val="none" w:color="auto" w:sz="0" w:space="0"/>
              </w:rPr>
              <w:t>结果</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101" w:firstLine="0"/>
              <w:jc w:val="center"/>
              <w:rPr>
                <w:sz w:val="24"/>
                <w:szCs w:val="24"/>
              </w:rPr>
            </w:pPr>
            <w:r>
              <w:rPr>
                <w:rFonts w:hint="eastAsia" w:ascii="宋体" w:hAnsi="宋体" w:eastAsia="宋体" w:cs="宋体"/>
                <w:sz w:val="18"/>
                <w:szCs w:val="18"/>
                <w:bdr w:val="none" w:color="auto" w:sz="0" w:space="0"/>
              </w:rPr>
              <w:t>尚未审结</w:t>
            </w:r>
          </w:p>
        </w:tc>
        <w:tc>
          <w:tcPr>
            <w:tcW w:w="4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sz w:val="18"/>
                <w:szCs w:val="18"/>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7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45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4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39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sz w:val="24"/>
                <w:szCs w:val="24"/>
                <w:bdr w:val="none" w:color="auto" w:sz="0" w:space="0"/>
              </w:rPr>
              <w:t> </w:t>
            </w:r>
          </w:p>
        </w:tc>
        <w:tc>
          <w:tcPr>
            <w:tcW w:w="40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4"/>
                <w:szCs w:val="24"/>
              </w:rPr>
            </w:pPr>
          </w:p>
        </w:tc>
      </w:tr>
    </w:tbl>
    <w:p>
      <w:pPr>
        <w:pStyle w:val="2"/>
        <w:keepNext w:val="0"/>
        <w:keepLines w:val="0"/>
        <w:widowControl/>
        <w:suppressLineNumbers w:val="0"/>
        <w:spacing w:before="0" w:beforeAutospacing="1" w:after="0" w:afterAutospacing="0" w:line="605" w:lineRule="atLeast"/>
        <w:ind w:right="0" w:firstLine="542" w:firstLineChars="200"/>
        <w:jc w:val="left"/>
        <w:rPr>
          <w:rStyle w:val="5"/>
          <w:rFonts w:hint="default" w:ascii="黑体" w:hAnsi="宋体" w:eastAsia="黑体" w:cs="黑体"/>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rPr>
        <w:t>五、政府信息公开工作存在的主要问题及改进情况</w:t>
      </w:r>
    </w:p>
    <w:p>
      <w:pPr>
        <w:pStyle w:val="2"/>
        <w:keepNext w:val="0"/>
        <w:keepLines w:val="0"/>
        <w:widowControl/>
        <w:suppressLineNumbers w:val="0"/>
        <w:spacing w:before="0" w:beforeAutospacing="1" w:after="0" w:afterAutospacing="0" w:line="605" w:lineRule="atLeast"/>
        <w:ind w:right="0" w:firstLine="540" w:firstLineChars="20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7"/>
          <w:szCs w:val="27"/>
        </w:rPr>
        <w:t>高新区政府信息公开工作中仍存在一些困难和不足，主要表现为：政府信息公开工作业务量大、时限要求严、人员少，发布信息时效性有待进一步提高。针对上述存在的问题，为使高新区的政府信息公开工作得到进一步完善，促进高新区政府信息公开特色化、完整化，下步工作中，将从以下三个方面抓好落实：</w:t>
      </w:r>
      <w:r>
        <w:rPr>
          <w:rStyle w:val="5"/>
          <w:rFonts w:hint="eastAsia" w:ascii="宋体" w:hAnsi="宋体" w:eastAsia="宋体" w:cs="宋体"/>
          <w:i w:val="0"/>
          <w:iCs w:val="0"/>
          <w:caps w:val="0"/>
          <w:color w:val="000000"/>
          <w:spacing w:val="0"/>
          <w:sz w:val="27"/>
          <w:szCs w:val="27"/>
        </w:rPr>
        <w:t>一是深化工作推进部署。</w:t>
      </w:r>
      <w:r>
        <w:rPr>
          <w:rFonts w:hint="eastAsia" w:ascii="宋体" w:hAnsi="宋体" w:eastAsia="宋体" w:cs="宋体"/>
          <w:i w:val="0"/>
          <w:iCs w:val="0"/>
          <w:caps w:val="0"/>
          <w:color w:val="000000"/>
          <w:spacing w:val="0"/>
          <w:sz w:val="27"/>
          <w:szCs w:val="27"/>
        </w:rPr>
        <w:t>加快完成体制机制改革后网站栏目改版工作，街道、部门单位由原来35个整合为8个，新增职能栏目10个，新增专栏2个，不断提高政务信息公开质量，认真贯彻落实上级政策文件，制定年度工作推进计划，定期召开部署会议，调度工作开展情况，合理调整、部署工作方向。</w:t>
      </w:r>
      <w:r>
        <w:rPr>
          <w:rStyle w:val="5"/>
          <w:rFonts w:hint="eastAsia" w:ascii="宋体" w:hAnsi="宋体" w:eastAsia="宋体" w:cs="宋体"/>
          <w:i w:val="0"/>
          <w:iCs w:val="0"/>
          <w:caps w:val="0"/>
          <w:color w:val="000000"/>
          <w:spacing w:val="0"/>
          <w:sz w:val="27"/>
          <w:szCs w:val="27"/>
        </w:rPr>
        <w:t>二是强化月调度推进机制。</w:t>
      </w:r>
      <w:r>
        <w:rPr>
          <w:rFonts w:hint="eastAsia" w:ascii="宋体" w:hAnsi="宋体" w:eastAsia="宋体" w:cs="宋体"/>
          <w:i w:val="0"/>
          <w:iCs w:val="0"/>
          <w:caps w:val="0"/>
          <w:color w:val="000000"/>
          <w:spacing w:val="0"/>
          <w:sz w:val="27"/>
          <w:szCs w:val="27"/>
        </w:rPr>
        <w:t>制发《高新区2020年度月份门户网站工作进展通报》，紧紧围绕重点工作、重大项目信息发布情况及信息发布时效性情况进行通报，以制度推进落实。</w:t>
      </w:r>
      <w:r>
        <w:rPr>
          <w:rStyle w:val="5"/>
          <w:rFonts w:hint="eastAsia" w:ascii="宋体" w:hAnsi="宋体" w:eastAsia="宋体" w:cs="宋体"/>
          <w:i w:val="0"/>
          <w:iCs w:val="0"/>
          <w:caps w:val="0"/>
          <w:color w:val="000000"/>
          <w:spacing w:val="0"/>
          <w:sz w:val="27"/>
          <w:szCs w:val="27"/>
        </w:rPr>
        <w:t>三是加强培训推进建设。</w:t>
      </w:r>
      <w:r>
        <w:rPr>
          <w:rFonts w:hint="eastAsia" w:ascii="宋体" w:hAnsi="宋体" w:eastAsia="宋体" w:cs="宋体"/>
          <w:i w:val="0"/>
          <w:iCs w:val="0"/>
          <w:caps w:val="0"/>
          <w:color w:val="000000"/>
          <w:spacing w:val="0"/>
          <w:sz w:val="27"/>
          <w:szCs w:val="27"/>
        </w:rPr>
        <w:t>制定2020年政务公开培训计划，通过分级、分类培训、座谈交流会的方式，进一步提高思想认识，加大工作力度，创新工作方式，加强信息发布质量、数量、时效性，强化依申请公开、咨询答复回复规范性，把政府信息公开工作推向专业化、规范化。</w:t>
      </w:r>
    </w:p>
    <w:p>
      <w:pPr>
        <w:pStyle w:val="2"/>
        <w:keepNext w:val="0"/>
        <w:keepLines w:val="0"/>
        <w:widowControl/>
        <w:suppressLineNumbers w:val="0"/>
        <w:spacing w:before="0" w:beforeAutospacing="1" w:after="0" w:afterAutospacing="0" w:line="605" w:lineRule="atLeast"/>
        <w:ind w:right="0" w:firstLine="542" w:firstLineChars="200"/>
        <w:jc w:val="left"/>
        <w:rPr>
          <w:rStyle w:val="5"/>
          <w:rFonts w:hint="default" w:ascii="黑体" w:hAnsi="宋体" w:eastAsia="黑体" w:cs="黑体"/>
          <w:i w:val="0"/>
          <w:iCs w:val="0"/>
          <w:caps w:val="0"/>
          <w:color w:val="000000"/>
          <w:spacing w:val="0"/>
          <w:sz w:val="27"/>
          <w:szCs w:val="27"/>
        </w:rPr>
      </w:pPr>
      <w:r>
        <w:rPr>
          <w:rStyle w:val="5"/>
          <w:rFonts w:hint="eastAsia" w:ascii="黑体" w:hAnsi="宋体" w:eastAsia="黑体" w:cs="黑体"/>
          <w:i w:val="0"/>
          <w:iCs w:val="0"/>
          <w:caps w:val="0"/>
          <w:color w:val="000000"/>
          <w:spacing w:val="0"/>
          <w:sz w:val="27"/>
          <w:szCs w:val="27"/>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40" w:firstLineChars="200"/>
        <w:jc w:val="both"/>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bdr w:val="none" w:color="auto" w:sz="0" w:space="0"/>
        </w:rPr>
        <w:t>本报告的电子版可在枣庄高新区政务门户网站（http://www.zzctp.gov.cn/）下载。如对本年度政府信息公开工作年度报告有疑问，请与枣庄高新区信息和政务公开办公室联系（电话:0632-8626577，电子邮箱:tjf8626577@zz.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2021-12-02T09:37:30Z</dcterms:created>
  <dc:creator>Administrator</dc:creator>
  <cp:lastModifiedBy>Administrator</cp:lastModifiedBy>
  <dcterms:modified xsi:type="dcterms:W3CDTF">2021-12-02T09:42:35Z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B219DDDFF1B043C38A5FBD279A47A414</vt:lpwstr>
  </property>
</Properties>
</file>