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AF3E6">
      <w:pPr>
        <w:pStyle w:val="3"/>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附件</w:t>
      </w:r>
    </w:p>
    <w:p w14:paraId="39C21444">
      <w:pPr>
        <w:pStyle w:val="3"/>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枣庄高新区2025年度惠民实事</w:t>
      </w:r>
      <w:r>
        <w:rPr>
          <w:rFonts w:hint="eastAsia" w:ascii="Times New Roman" w:hAnsi="Times New Roman" w:eastAsia="方正小标宋简体" w:cs="Times New Roman"/>
          <w:sz w:val="44"/>
          <w:szCs w:val="44"/>
          <w:lang w:val="en-US" w:eastAsia="zh-CN"/>
        </w:rPr>
        <w:t>二</w:t>
      </w:r>
      <w:r>
        <w:rPr>
          <w:rFonts w:hint="default" w:ascii="Times New Roman" w:hAnsi="Times New Roman" w:eastAsia="方正小标宋简体" w:cs="Times New Roman"/>
          <w:sz w:val="44"/>
          <w:szCs w:val="44"/>
          <w:lang w:val="en-US" w:eastAsia="zh-CN"/>
        </w:rPr>
        <w:t>季度完成情况统计表</w:t>
      </w:r>
    </w:p>
    <w:p w14:paraId="4B64861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pacing w:val="0"/>
          <w:sz w:val="28"/>
          <w:szCs w:val="28"/>
          <w:lang w:val="en-US" w:eastAsia="zh-CN"/>
        </w:rPr>
        <w:t xml:space="preserve">填报单位：   </w:t>
      </w:r>
      <w:r>
        <w:rPr>
          <w:rFonts w:hint="eastAsia" w:ascii="Times New Roman" w:hAnsi="Times New Roman" w:eastAsia="楷体_GB2312" w:cs="Times New Roman"/>
          <w:spacing w:val="0"/>
          <w:sz w:val="28"/>
          <w:szCs w:val="28"/>
          <w:lang w:val="en-US" w:eastAsia="zh-CN"/>
        </w:rPr>
        <w:t>社会事务综合服务中心</w:t>
      </w:r>
      <w:r>
        <w:rPr>
          <w:rFonts w:hint="default" w:ascii="Times New Roman" w:hAnsi="Times New Roman" w:eastAsia="楷体_GB2312" w:cs="Times New Roman"/>
          <w:spacing w:val="0"/>
          <w:sz w:val="28"/>
          <w:szCs w:val="28"/>
          <w:lang w:val="en-US" w:eastAsia="zh-CN"/>
        </w:rPr>
        <w:t xml:space="preserve">            联系人： </w:t>
      </w:r>
      <w:r>
        <w:rPr>
          <w:rFonts w:hint="eastAsia" w:ascii="Times New Roman" w:hAnsi="Times New Roman" w:eastAsia="楷体_GB2312" w:cs="Times New Roman"/>
          <w:spacing w:val="0"/>
          <w:sz w:val="28"/>
          <w:szCs w:val="28"/>
          <w:lang w:val="en-US" w:eastAsia="zh-CN"/>
        </w:rPr>
        <w:t>田如月</w:t>
      </w:r>
      <w:r>
        <w:rPr>
          <w:rFonts w:hint="default" w:ascii="Times New Roman" w:hAnsi="Times New Roman" w:eastAsia="楷体_GB2312" w:cs="Times New Roman"/>
          <w:spacing w:val="0"/>
          <w:sz w:val="28"/>
          <w:szCs w:val="28"/>
          <w:lang w:val="en-US" w:eastAsia="zh-CN"/>
        </w:rPr>
        <w:t xml:space="preserve">          联系电话：</w:t>
      </w:r>
      <w:r>
        <w:rPr>
          <w:rFonts w:hint="eastAsia" w:ascii="Times New Roman" w:hAnsi="Times New Roman" w:eastAsia="楷体_GB2312" w:cs="Times New Roman"/>
          <w:spacing w:val="0"/>
          <w:sz w:val="28"/>
          <w:szCs w:val="28"/>
          <w:lang w:val="en-US" w:eastAsia="zh-CN"/>
        </w:rPr>
        <w:t>0632-8690316</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031"/>
        <w:gridCol w:w="2027"/>
        <w:gridCol w:w="1406"/>
        <w:gridCol w:w="3784"/>
        <w:gridCol w:w="1630"/>
        <w:gridCol w:w="2279"/>
      </w:tblGrid>
      <w:tr w14:paraId="0344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79" w:type="dxa"/>
            <w:noWrap w:val="0"/>
            <w:vAlign w:val="center"/>
          </w:tcPr>
          <w:p w14:paraId="0B42E1E3">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序号</w:t>
            </w:r>
          </w:p>
        </w:tc>
        <w:tc>
          <w:tcPr>
            <w:tcW w:w="2031" w:type="dxa"/>
            <w:noWrap w:val="0"/>
            <w:vAlign w:val="center"/>
          </w:tcPr>
          <w:p w14:paraId="48A849E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惠民事项</w:t>
            </w:r>
          </w:p>
        </w:tc>
        <w:tc>
          <w:tcPr>
            <w:tcW w:w="2027" w:type="dxa"/>
            <w:noWrap w:val="0"/>
            <w:vAlign w:val="center"/>
          </w:tcPr>
          <w:p w14:paraId="49233CB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具体内容</w:t>
            </w:r>
          </w:p>
        </w:tc>
        <w:tc>
          <w:tcPr>
            <w:tcW w:w="1406" w:type="dxa"/>
            <w:noWrap w:val="0"/>
            <w:vAlign w:val="center"/>
          </w:tcPr>
          <w:p w14:paraId="3F6577E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责任单位</w:t>
            </w:r>
          </w:p>
        </w:tc>
        <w:tc>
          <w:tcPr>
            <w:tcW w:w="3784" w:type="dxa"/>
            <w:noWrap w:val="0"/>
            <w:vAlign w:val="center"/>
          </w:tcPr>
          <w:p w14:paraId="642CBF7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sz w:val="28"/>
                <w:szCs w:val="28"/>
                <w:vertAlign w:val="baseline"/>
                <w:lang w:val="en-US" w:eastAsia="zh-CN"/>
              </w:rPr>
            </w:pPr>
            <w:r>
              <w:rPr>
                <w:rFonts w:hint="eastAsia" w:ascii="Times New Roman" w:hAnsi="Times New Roman" w:eastAsia="黑体" w:cs="Times New Roman"/>
                <w:sz w:val="28"/>
                <w:szCs w:val="28"/>
                <w:vertAlign w:val="baseline"/>
                <w:lang w:val="en-US" w:eastAsia="zh-CN"/>
              </w:rPr>
              <w:t>二</w:t>
            </w:r>
            <w:r>
              <w:rPr>
                <w:rFonts w:hint="default" w:ascii="Times New Roman" w:hAnsi="Times New Roman" w:eastAsia="黑体" w:cs="Times New Roman"/>
                <w:sz w:val="28"/>
                <w:szCs w:val="28"/>
                <w:vertAlign w:val="baseline"/>
                <w:lang w:val="en-US" w:eastAsia="zh-CN"/>
              </w:rPr>
              <w:t>季度工作进展情况</w:t>
            </w:r>
          </w:p>
        </w:tc>
        <w:tc>
          <w:tcPr>
            <w:tcW w:w="1630" w:type="dxa"/>
            <w:shd w:val="clear" w:color="auto" w:fill="auto"/>
            <w:noWrap w:val="0"/>
            <w:vAlign w:val="center"/>
          </w:tcPr>
          <w:p w14:paraId="35C28843">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kern w:val="2"/>
                <w:sz w:val="28"/>
                <w:szCs w:val="28"/>
                <w:vertAlign w:val="baseline"/>
                <w:lang w:val="en-US" w:eastAsia="zh-CN" w:bidi="ar-SA"/>
              </w:rPr>
            </w:pPr>
            <w:r>
              <w:rPr>
                <w:rFonts w:hint="default" w:ascii="Times New Roman" w:hAnsi="Times New Roman" w:eastAsia="黑体" w:cs="Times New Roman"/>
                <w:sz w:val="28"/>
                <w:szCs w:val="28"/>
                <w:vertAlign w:val="baseline"/>
                <w:lang w:eastAsia="zh-CN"/>
              </w:rPr>
              <w:t>存在问题</w:t>
            </w:r>
          </w:p>
        </w:tc>
        <w:tc>
          <w:tcPr>
            <w:tcW w:w="2279" w:type="dxa"/>
            <w:shd w:val="clear" w:color="auto" w:fill="auto"/>
            <w:noWrap w:val="0"/>
            <w:vAlign w:val="center"/>
          </w:tcPr>
          <w:p w14:paraId="3E9C0262">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kern w:val="2"/>
                <w:sz w:val="28"/>
                <w:szCs w:val="28"/>
                <w:vertAlign w:val="baseline"/>
                <w:lang w:val="en-US" w:eastAsia="zh-CN" w:bidi="ar-SA"/>
              </w:rPr>
            </w:pPr>
            <w:r>
              <w:rPr>
                <w:rFonts w:hint="default" w:ascii="Times New Roman" w:hAnsi="Times New Roman" w:eastAsia="黑体" w:cs="Times New Roman"/>
                <w:sz w:val="28"/>
                <w:szCs w:val="28"/>
                <w:vertAlign w:val="baseline"/>
                <w:lang w:eastAsia="zh-CN"/>
              </w:rPr>
              <w:t>下步措施</w:t>
            </w:r>
          </w:p>
        </w:tc>
      </w:tr>
      <w:tr w14:paraId="026C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0" w:hRule="atLeast"/>
          <w:jc w:val="center"/>
        </w:trPr>
        <w:tc>
          <w:tcPr>
            <w:tcW w:w="879" w:type="dxa"/>
            <w:noWrap w:val="0"/>
            <w:vAlign w:val="center"/>
          </w:tcPr>
          <w:p w14:paraId="4CC78CC3">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p>
        </w:tc>
        <w:tc>
          <w:tcPr>
            <w:tcW w:w="2031" w:type="dxa"/>
            <w:noWrap w:val="0"/>
            <w:vAlign w:val="center"/>
          </w:tcPr>
          <w:p w14:paraId="7B3BFC95">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b/>
                <w:bCs/>
                <w:kern w:val="0"/>
                <w:sz w:val="28"/>
                <w:szCs w:val="28"/>
                <w:lang w:val="en-US" w:eastAsia="zh-CN" w:bidi="ar"/>
              </w:rPr>
            </w:pPr>
            <w:r>
              <w:rPr>
                <w:rFonts w:hint="default" w:ascii="Times New Roman" w:hAnsi="Times New Roman" w:eastAsia="仿宋_GB2312" w:cs="Times New Roman"/>
                <w:b/>
                <w:bCs/>
                <w:kern w:val="0"/>
                <w:sz w:val="28"/>
                <w:szCs w:val="28"/>
                <w:lang w:val="en-US" w:eastAsia="zh-CN" w:bidi="ar"/>
              </w:rPr>
              <w:t>开展“四好农村路”建设</w:t>
            </w:r>
          </w:p>
        </w:tc>
        <w:tc>
          <w:tcPr>
            <w:tcW w:w="2027" w:type="dxa"/>
            <w:noWrap w:val="0"/>
            <w:vAlign w:val="center"/>
          </w:tcPr>
          <w:p w14:paraId="08A5DB6B">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修缮张范府前路6600平方米，完成农村公路养护里程120公里，</w:t>
            </w:r>
            <w:r>
              <w:rPr>
                <w:rFonts w:hint="default" w:ascii="Times New Roman" w:hAnsi="Times New Roman" w:eastAsia="仿宋_GB2312" w:cs="Times New Roman"/>
                <w:b w:val="0"/>
                <w:bCs w:val="0"/>
                <w:caps w:val="0"/>
                <w:kern w:val="2"/>
                <w:sz w:val="28"/>
                <w:szCs w:val="28"/>
                <w:lang w:val="en-US" w:eastAsia="zh-CN" w:bidi="ar-SA"/>
              </w:rPr>
              <w:t>路面状况改善8公里，持续</w:t>
            </w:r>
            <w:r>
              <w:rPr>
                <w:rFonts w:hint="default" w:ascii="Times New Roman" w:hAnsi="Times New Roman" w:eastAsia="仿宋_GB2312" w:cs="Times New Roman"/>
                <w:kern w:val="0"/>
                <w:sz w:val="28"/>
                <w:szCs w:val="28"/>
                <w:lang w:val="en-US" w:eastAsia="zh-CN" w:bidi="ar"/>
              </w:rPr>
              <w:t>推动农村道路提档升级。</w:t>
            </w:r>
          </w:p>
        </w:tc>
        <w:tc>
          <w:tcPr>
            <w:tcW w:w="1406" w:type="dxa"/>
            <w:noWrap w:val="0"/>
            <w:vAlign w:val="center"/>
          </w:tcPr>
          <w:p w14:paraId="4D0AB1A5">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社会事务中心</w:t>
            </w:r>
          </w:p>
          <w:p w14:paraId="4B463990">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sz w:val="28"/>
                <w:szCs w:val="28"/>
                <w:lang w:val="en-US" w:eastAsia="zh-CN"/>
              </w:rPr>
            </w:pPr>
            <w:r>
              <w:rPr>
                <w:rFonts w:hint="default" w:ascii="Times New Roman" w:hAnsi="Times New Roman" w:eastAsia="仿宋_GB2312" w:cs="Times New Roman"/>
                <w:sz w:val="28"/>
                <w:szCs w:val="28"/>
                <w:vertAlign w:val="baseline"/>
                <w:lang w:val="en-US" w:eastAsia="zh-CN"/>
              </w:rPr>
              <w:t>各街道</w:t>
            </w:r>
          </w:p>
        </w:tc>
        <w:tc>
          <w:tcPr>
            <w:tcW w:w="3784" w:type="dxa"/>
            <w:noWrap w:val="0"/>
            <w:vAlign w:val="center"/>
          </w:tcPr>
          <w:p w14:paraId="11D84B6D">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560" w:firstLineChars="200"/>
              <w:jc w:val="both"/>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kern w:val="0"/>
                <w:sz w:val="28"/>
                <w:szCs w:val="28"/>
                <w:lang w:val="en-US" w:eastAsia="zh-CN" w:bidi="ar"/>
              </w:rPr>
              <w:t>协调社会资本（中交二公局）投入混凝土21.5吨，</w:t>
            </w:r>
            <w:r>
              <w:rPr>
                <w:rFonts w:hint="default" w:ascii="Times New Roman" w:hAnsi="Times New Roman" w:eastAsia="仿宋_GB2312" w:cs="Times New Roman"/>
                <w:kern w:val="0"/>
                <w:sz w:val="28"/>
                <w:szCs w:val="28"/>
                <w:lang w:val="en-US" w:eastAsia="zh-CN" w:bidi="ar"/>
              </w:rPr>
              <w:t>完成府前路路面修补</w:t>
            </w:r>
            <w:r>
              <w:rPr>
                <w:rFonts w:hint="eastAsia" w:ascii="Times New Roman" w:hAnsi="Times New Roman" w:eastAsia="仿宋_GB2312" w:cs="Times New Roman"/>
                <w:kern w:val="0"/>
                <w:sz w:val="28"/>
                <w:szCs w:val="28"/>
                <w:lang w:val="en-US" w:eastAsia="zh-CN" w:bidi="ar"/>
              </w:rPr>
              <w:t>，修补面积达</w:t>
            </w:r>
            <w:r>
              <w:rPr>
                <w:rFonts w:hint="default" w:ascii="Times New Roman" w:hAnsi="Times New Roman" w:eastAsia="仿宋_GB2312" w:cs="Times New Roman"/>
                <w:kern w:val="0"/>
                <w:sz w:val="28"/>
                <w:szCs w:val="28"/>
                <w:lang w:val="en-US" w:eastAsia="zh-CN" w:bidi="ar"/>
              </w:rPr>
              <w:t>6600平方米</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各街道</w:t>
            </w:r>
            <w:r>
              <w:rPr>
                <w:rFonts w:hint="eastAsia" w:ascii="Times New Roman" w:hAnsi="Times New Roman" w:eastAsia="仿宋_GB2312" w:cs="Times New Roman"/>
                <w:kern w:val="0"/>
                <w:sz w:val="28"/>
                <w:szCs w:val="28"/>
                <w:lang w:val="en-US" w:eastAsia="zh-CN" w:bidi="ar"/>
              </w:rPr>
              <w:t>组织日常养护队伍37人，对全区120公里农村公路进行养护，保洁车、洒水车一日2次对道路路段及两侧绿化带进行冲洗，最大限度减少地面扬尘污染。日常保洁人员及时清扫路面垃圾，清除路面尘土和垃圾杂物，确保路面干净整洁无杂物，道路安全通畅。</w:t>
            </w:r>
          </w:p>
        </w:tc>
        <w:tc>
          <w:tcPr>
            <w:tcW w:w="1630" w:type="dxa"/>
            <w:noWrap w:val="0"/>
            <w:vAlign w:val="center"/>
          </w:tcPr>
          <w:p w14:paraId="6BE410A5">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无</w:t>
            </w:r>
          </w:p>
        </w:tc>
        <w:tc>
          <w:tcPr>
            <w:tcW w:w="2279" w:type="dxa"/>
            <w:noWrap w:val="0"/>
            <w:vAlign w:val="center"/>
          </w:tcPr>
          <w:p w14:paraId="58519D44">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both"/>
              <w:textAlignment w:val="auto"/>
              <w:rPr>
                <w:rFonts w:hint="default" w:ascii="Times New Roman" w:hAnsi="Times New Roman" w:eastAsia="仿宋_GB2312" w:cs="Times New Roman"/>
                <w:kern w:val="0"/>
                <w:sz w:val="28"/>
                <w:szCs w:val="28"/>
                <w:lang w:val="en-US" w:eastAsia="zh-CN" w:bidi="ar"/>
              </w:rPr>
            </w:pPr>
            <w:r>
              <w:rPr>
                <w:rFonts w:hint="eastAsia" w:ascii="Times New Roman" w:hAnsi="Times New Roman" w:eastAsia="仿宋_GB2312" w:cs="Times New Roman"/>
                <w:kern w:val="0"/>
                <w:sz w:val="28"/>
                <w:szCs w:val="28"/>
                <w:lang w:val="en-US" w:eastAsia="zh-CN" w:bidi="ar"/>
              </w:rPr>
              <w:t>督促各街道开展下半年农村公路日常养护工作。</w:t>
            </w:r>
          </w:p>
        </w:tc>
      </w:tr>
      <w:tr w14:paraId="3498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6" w:hRule="atLeast"/>
          <w:jc w:val="center"/>
        </w:trPr>
        <w:tc>
          <w:tcPr>
            <w:tcW w:w="879" w:type="dxa"/>
            <w:noWrap w:val="0"/>
            <w:vAlign w:val="center"/>
          </w:tcPr>
          <w:p w14:paraId="086A503C">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p>
        </w:tc>
        <w:tc>
          <w:tcPr>
            <w:tcW w:w="2031" w:type="dxa"/>
            <w:noWrap w:val="0"/>
            <w:vAlign w:val="center"/>
          </w:tcPr>
          <w:p w14:paraId="0FBAF736">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b/>
                <w:bCs/>
                <w:kern w:val="0"/>
                <w:sz w:val="28"/>
                <w:szCs w:val="28"/>
                <w:lang w:val="en-US" w:eastAsia="zh-CN" w:bidi="ar"/>
              </w:rPr>
            </w:pPr>
            <w:r>
              <w:rPr>
                <w:rFonts w:hint="default" w:ascii="Times New Roman" w:hAnsi="Times New Roman" w:eastAsia="仿宋_GB2312" w:cs="Times New Roman"/>
                <w:b/>
                <w:bCs/>
                <w:color w:val="000000"/>
                <w:kern w:val="2"/>
                <w:sz w:val="28"/>
                <w:szCs w:val="28"/>
                <w:u w:val="none" w:color="auto"/>
                <w:lang w:val="en-US" w:eastAsia="zh-CN" w:bidi="ar-SA"/>
              </w:rPr>
              <w:t>改善农村人居环境</w:t>
            </w:r>
          </w:p>
        </w:tc>
        <w:tc>
          <w:tcPr>
            <w:tcW w:w="2027" w:type="dxa"/>
            <w:noWrap w:val="0"/>
            <w:vAlign w:val="center"/>
          </w:tcPr>
          <w:p w14:paraId="5720FD88">
            <w:pPr>
              <w:pStyle w:val="7"/>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实施“三清一改”村庄清洁行动“四季战役”，修缮辛庄村、小屯村等村庄道路，提升农村人居环境舒适度，因地制宜打造曲柏前村等一批和美乡村示范村。</w:t>
            </w:r>
          </w:p>
        </w:tc>
        <w:tc>
          <w:tcPr>
            <w:tcW w:w="1406" w:type="dxa"/>
            <w:noWrap w:val="0"/>
            <w:vAlign w:val="center"/>
          </w:tcPr>
          <w:p w14:paraId="0E7AC673">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社会事务中心</w:t>
            </w:r>
          </w:p>
          <w:p w14:paraId="2E4B7269">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各街道</w:t>
            </w:r>
          </w:p>
        </w:tc>
        <w:tc>
          <w:tcPr>
            <w:tcW w:w="3784" w:type="dxa"/>
            <w:noWrap w:val="0"/>
            <w:vAlign w:val="center"/>
          </w:tcPr>
          <w:p w14:paraId="0FC54AD0">
            <w:pPr>
              <w:pStyle w:val="8"/>
              <w:keepNext w:val="0"/>
              <w:keepLines w:val="0"/>
              <w:pageBreakBefore w:val="0"/>
              <w:widowControl w:val="0"/>
              <w:tabs>
                <w:tab w:val="left" w:pos="471"/>
              </w:tabs>
              <w:kinsoku/>
              <w:wordWrap/>
              <w:overflowPunct/>
              <w:topLinePunct w:val="0"/>
              <w:autoSpaceDE/>
              <w:autoSpaceDN/>
              <w:bidi w:val="0"/>
              <w:adjustRightInd/>
              <w:snapToGrid/>
              <w:spacing w:after="0" w:afterLines="0" w:line="380" w:lineRule="exact"/>
              <w:ind w:left="0" w:leftChars="0" w:firstLine="0" w:firstLineChars="0"/>
              <w:jc w:val="left"/>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ab/>
            </w:r>
            <w:r>
              <w:rPr>
                <w:rFonts w:hint="eastAsia" w:ascii="Times New Roman" w:hAnsi="Times New Roman" w:eastAsia="仿宋_GB2312" w:cs="Times New Roman"/>
                <w:color w:val="auto"/>
                <w:sz w:val="28"/>
                <w:szCs w:val="28"/>
                <w:vertAlign w:val="baseline"/>
                <w:lang w:val="en-US" w:eastAsia="zh-CN"/>
              </w:rPr>
              <w:t>持续开展村庄清洁行动“ 四季战役”，与国土住建局、综合执法局开展改厕问题排查整改联合检查。完成辛庄村、黑石岭等6个村庄路面铺设。</w:t>
            </w:r>
          </w:p>
        </w:tc>
        <w:tc>
          <w:tcPr>
            <w:tcW w:w="1630" w:type="dxa"/>
            <w:noWrap w:val="0"/>
            <w:vAlign w:val="center"/>
          </w:tcPr>
          <w:p w14:paraId="08B185AF">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无</w:t>
            </w:r>
          </w:p>
        </w:tc>
        <w:tc>
          <w:tcPr>
            <w:tcW w:w="2279" w:type="dxa"/>
            <w:noWrap w:val="0"/>
            <w:vAlign w:val="center"/>
          </w:tcPr>
          <w:p w14:paraId="38CB2227">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无</w:t>
            </w:r>
          </w:p>
        </w:tc>
      </w:tr>
      <w:tr w14:paraId="541B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0" w:hRule="atLeast"/>
          <w:jc w:val="center"/>
        </w:trPr>
        <w:tc>
          <w:tcPr>
            <w:tcW w:w="879" w:type="dxa"/>
            <w:noWrap w:val="0"/>
            <w:vAlign w:val="center"/>
          </w:tcPr>
          <w:p w14:paraId="620C24E3">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p>
        </w:tc>
        <w:tc>
          <w:tcPr>
            <w:tcW w:w="2031" w:type="dxa"/>
            <w:noWrap w:val="0"/>
            <w:vAlign w:val="center"/>
          </w:tcPr>
          <w:p w14:paraId="04AB3452">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b/>
                <w:bCs/>
                <w:kern w:val="0"/>
                <w:sz w:val="28"/>
                <w:szCs w:val="28"/>
                <w:lang w:val="en-US" w:eastAsia="zh-CN" w:bidi="ar"/>
              </w:rPr>
            </w:pPr>
            <w:r>
              <w:rPr>
                <w:rFonts w:hint="default" w:ascii="Times New Roman" w:hAnsi="Times New Roman" w:eastAsia="仿宋_GB2312" w:cs="Times New Roman"/>
                <w:b/>
                <w:bCs/>
                <w:kern w:val="0"/>
                <w:sz w:val="28"/>
                <w:szCs w:val="28"/>
                <w:lang w:val="en-US" w:eastAsia="zh-CN" w:bidi="ar"/>
              </w:rPr>
              <w:t>优化教育资源配置</w:t>
            </w:r>
          </w:p>
        </w:tc>
        <w:tc>
          <w:tcPr>
            <w:tcW w:w="2027" w:type="dxa"/>
            <w:noWrap w:val="0"/>
            <w:vAlign w:val="center"/>
          </w:tcPr>
          <w:p w14:paraId="14927BB5">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sz w:val="28"/>
                <w:szCs w:val="28"/>
                <w:lang w:val="en-US" w:eastAsia="zh-CN"/>
              </w:rPr>
              <w:t>推进教育资源扩容提质，高标准规划建设枣庄高新实验学校，开设45个教学班，预设2100个学位，全力打造多功能新型校园，促进教育资源均衡布局。</w:t>
            </w:r>
          </w:p>
        </w:tc>
        <w:tc>
          <w:tcPr>
            <w:tcW w:w="1406" w:type="dxa"/>
            <w:noWrap w:val="0"/>
            <w:vAlign w:val="center"/>
          </w:tcPr>
          <w:p w14:paraId="0568613B">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社会事务中心</w:t>
            </w:r>
          </w:p>
          <w:p w14:paraId="490503F0">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置业集团</w:t>
            </w:r>
          </w:p>
        </w:tc>
        <w:tc>
          <w:tcPr>
            <w:tcW w:w="3784" w:type="dxa"/>
            <w:noWrap w:val="0"/>
            <w:vAlign w:val="center"/>
          </w:tcPr>
          <w:p w14:paraId="0D77B53C">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1、教学楼A、 B、C外墙</w:t>
            </w:r>
            <w:r>
              <w:rPr>
                <w:rFonts w:hint="eastAsia" w:ascii="Times New Roman" w:hAnsi="Times New Roman" w:eastAsia="仿宋_GB2312" w:cs="Times New Roman"/>
                <w:sz w:val="28"/>
                <w:szCs w:val="28"/>
                <w:lang w:val="en-US" w:eastAsia="zh-CN"/>
              </w:rPr>
              <w:t>漆</w:t>
            </w:r>
            <w:r>
              <w:rPr>
                <w:rFonts w:hint="default" w:ascii="Times New Roman" w:hAnsi="Times New Roman" w:eastAsia="仿宋_GB2312" w:cs="Times New Roman"/>
                <w:sz w:val="28"/>
                <w:szCs w:val="28"/>
                <w:lang w:val="en-US" w:eastAsia="zh-CN"/>
              </w:rPr>
              <w:t>施工，</w:t>
            </w:r>
            <w:r>
              <w:rPr>
                <w:rFonts w:hint="eastAsia" w:ascii="Times New Roman" w:hAnsi="Times New Roman" w:eastAsia="仿宋_GB2312" w:cs="Times New Roman"/>
                <w:sz w:val="28"/>
                <w:szCs w:val="28"/>
                <w:lang w:val="en-US" w:eastAsia="zh-CN"/>
              </w:rPr>
              <w:t>室内</w:t>
            </w:r>
            <w:r>
              <w:rPr>
                <w:rFonts w:hint="default" w:ascii="Times New Roman" w:hAnsi="Times New Roman" w:eastAsia="仿宋_GB2312" w:cs="Times New Roman"/>
                <w:sz w:val="28"/>
                <w:szCs w:val="28"/>
                <w:lang w:val="en-US" w:eastAsia="zh-CN"/>
              </w:rPr>
              <w:t>瓷砖铺贴施工，内墙漆施工、窗框、玻璃安装。外墙完成75%、窗户完成70%、内墙漆完成75%、屋面施工完成、安装完成50%</w:t>
            </w:r>
            <w:r>
              <w:rPr>
                <w:rFonts w:hint="eastAsia" w:ascii="Times New Roman" w:hAnsi="Times New Roman" w:eastAsia="仿宋_GB2312" w:cs="Times New Roman"/>
                <w:sz w:val="28"/>
                <w:szCs w:val="28"/>
                <w:lang w:val="en-US" w:eastAsia="zh-CN"/>
              </w:rPr>
              <w:t>。</w:t>
            </w:r>
          </w:p>
          <w:p w14:paraId="5815F895">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2、实验楼</w:t>
            </w:r>
            <w:r>
              <w:rPr>
                <w:rFonts w:hint="eastAsia" w:ascii="Times New Roman" w:hAnsi="Times New Roman" w:eastAsia="仿宋_GB2312" w:cs="Times New Roman"/>
                <w:sz w:val="28"/>
                <w:szCs w:val="28"/>
                <w:lang w:val="en-US" w:eastAsia="zh-CN"/>
              </w:rPr>
              <w:t>内墙</w:t>
            </w:r>
            <w:r>
              <w:rPr>
                <w:rFonts w:hint="default" w:ascii="Times New Roman" w:hAnsi="Times New Roman" w:eastAsia="仿宋_GB2312" w:cs="Times New Roman"/>
                <w:sz w:val="28"/>
                <w:szCs w:val="28"/>
                <w:lang w:val="en-US" w:eastAsia="zh-CN"/>
              </w:rPr>
              <w:t>喷浆挂网施工</w:t>
            </w:r>
            <w:r>
              <w:rPr>
                <w:rFonts w:hint="eastAsia" w:ascii="Times New Roman" w:hAnsi="Times New Roman" w:eastAsia="仿宋_GB2312" w:cs="Times New Roman"/>
                <w:sz w:val="28"/>
                <w:szCs w:val="28"/>
                <w:lang w:val="en-US" w:eastAsia="zh-CN"/>
              </w:rPr>
              <w:t>，实验楼墙体砌筑完成，内墙拍浆完成50%。</w:t>
            </w:r>
          </w:p>
          <w:p w14:paraId="0118BF4B">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val="en-US" w:eastAsia="zh-CN"/>
              </w:rPr>
              <w:t>艺体楼、</w:t>
            </w:r>
            <w:r>
              <w:rPr>
                <w:rFonts w:hint="default" w:ascii="Times New Roman" w:hAnsi="Times New Roman" w:eastAsia="仿宋_GB2312" w:cs="Times New Roman"/>
                <w:sz w:val="28"/>
                <w:szCs w:val="28"/>
                <w:lang w:val="en-US" w:eastAsia="zh-CN"/>
              </w:rPr>
              <w:t>综合信息楼</w:t>
            </w:r>
            <w:r>
              <w:rPr>
                <w:rFonts w:hint="eastAsia" w:ascii="Times New Roman" w:hAnsi="Times New Roman" w:eastAsia="仿宋_GB2312" w:cs="Times New Roman"/>
                <w:sz w:val="28"/>
                <w:szCs w:val="28"/>
                <w:lang w:val="en-US" w:eastAsia="zh-CN"/>
              </w:rPr>
              <w:t>二次结构</w:t>
            </w:r>
            <w:r>
              <w:rPr>
                <w:rFonts w:hint="default" w:ascii="Times New Roman" w:hAnsi="Times New Roman" w:eastAsia="仿宋_GB2312" w:cs="Times New Roman"/>
                <w:sz w:val="28"/>
                <w:szCs w:val="28"/>
                <w:lang w:val="en-US" w:eastAsia="zh-CN"/>
              </w:rPr>
              <w:t>砌体施工。艺体楼墙体砌筑完成65%</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综合信息楼墙体砌筑完成85%</w:t>
            </w:r>
            <w:r>
              <w:rPr>
                <w:rFonts w:hint="eastAsia" w:ascii="Times New Roman" w:hAnsi="Times New Roman" w:eastAsia="仿宋_GB2312" w:cs="Times New Roman"/>
                <w:sz w:val="28"/>
                <w:szCs w:val="28"/>
                <w:lang w:val="en-US" w:eastAsia="zh-CN"/>
              </w:rPr>
              <w:t>。</w:t>
            </w:r>
          </w:p>
          <w:p w14:paraId="608A377F">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、足球场基层平整</w:t>
            </w:r>
            <w:r>
              <w:rPr>
                <w:rFonts w:hint="eastAsia" w:ascii="Times New Roman" w:hAnsi="Times New Roman" w:eastAsia="仿宋_GB2312" w:cs="Times New Roman"/>
                <w:sz w:val="28"/>
                <w:szCs w:val="28"/>
                <w:lang w:val="en-US" w:eastAsia="zh-CN"/>
              </w:rPr>
              <w:t>，操场基层碾压完成</w:t>
            </w:r>
            <w:r>
              <w:rPr>
                <w:rFonts w:hint="default" w:ascii="Times New Roman" w:hAnsi="Times New Roman" w:eastAsia="仿宋_GB2312" w:cs="Times New Roman"/>
                <w:sz w:val="28"/>
                <w:szCs w:val="28"/>
                <w:lang w:val="en-US" w:eastAsia="zh-CN"/>
              </w:rPr>
              <w:t>。</w:t>
            </w:r>
          </w:p>
        </w:tc>
        <w:tc>
          <w:tcPr>
            <w:tcW w:w="1630" w:type="dxa"/>
            <w:noWrap w:val="0"/>
            <w:vAlign w:val="center"/>
          </w:tcPr>
          <w:p w14:paraId="7D477BE8">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无</w:t>
            </w:r>
          </w:p>
        </w:tc>
        <w:tc>
          <w:tcPr>
            <w:tcW w:w="2279" w:type="dxa"/>
            <w:noWrap w:val="0"/>
            <w:vAlign w:val="center"/>
          </w:tcPr>
          <w:p w14:paraId="14E6C93A">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加快教学楼、综合楼、信息楼、艺体楼装饰装修施工，推进室外配套管网、景观绿化施工。</w:t>
            </w:r>
          </w:p>
        </w:tc>
      </w:tr>
      <w:tr w14:paraId="6774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7" w:hRule="atLeast"/>
          <w:jc w:val="center"/>
        </w:trPr>
        <w:tc>
          <w:tcPr>
            <w:tcW w:w="879" w:type="dxa"/>
            <w:noWrap w:val="0"/>
            <w:vAlign w:val="center"/>
          </w:tcPr>
          <w:p w14:paraId="2EBD1475">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p>
        </w:tc>
        <w:tc>
          <w:tcPr>
            <w:tcW w:w="2031" w:type="dxa"/>
            <w:noWrap w:val="0"/>
            <w:vAlign w:val="center"/>
          </w:tcPr>
          <w:p w14:paraId="454EE719">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b/>
                <w:bCs/>
                <w:kern w:val="0"/>
                <w:sz w:val="28"/>
                <w:szCs w:val="28"/>
                <w:lang w:val="en-US" w:eastAsia="zh-CN" w:bidi="ar"/>
              </w:rPr>
            </w:pPr>
            <w:r>
              <w:rPr>
                <w:rFonts w:hint="default" w:ascii="Times New Roman" w:hAnsi="Times New Roman" w:eastAsia="仿宋_GB2312" w:cs="Times New Roman"/>
                <w:b/>
                <w:bCs/>
                <w:sz w:val="28"/>
                <w:szCs w:val="28"/>
                <w:lang w:val="en-US" w:eastAsia="zh-CN"/>
              </w:rPr>
              <w:t>实施城乡医保惠民计划</w:t>
            </w:r>
          </w:p>
        </w:tc>
        <w:tc>
          <w:tcPr>
            <w:tcW w:w="2027" w:type="dxa"/>
            <w:noWrap w:val="0"/>
            <w:vAlign w:val="center"/>
          </w:tcPr>
          <w:p w14:paraId="26F43687">
            <w:pPr>
              <w:pStyle w:val="8"/>
              <w:keepNext w:val="0"/>
              <w:keepLines w:val="0"/>
              <w:pageBreakBefore w:val="0"/>
              <w:kinsoku/>
              <w:wordWrap/>
              <w:overflowPunct/>
              <w:topLinePunct w:val="0"/>
              <w:autoSpaceDE/>
              <w:autoSpaceDN/>
              <w:bidi w:val="0"/>
              <w:adjustRightInd/>
              <w:snapToGrid/>
              <w:spacing w:after="0" w:afterLines="0" w:line="380" w:lineRule="exact"/>
              <w:ind w:left="0" w:leftChars="0" w:firstLine="0" w:firstLineChars="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kern w:val="0"/>
                <w:sz w:val="28"/>
                <w:szCs w:val="28"/>
                <w:lang w:val="en-US" w:eastAsia="zh-CN" w:bidi="ar"/>
              </w:rPr>
              <w:t>免除70周岁以上老人2025年度基本医疗保险参保费用，减免60-69周岁老年人50%的年度参保费用，增强60周岁以上老年群体抵抗因病致贫风险的能力。</w:t>
            </w:r>
          </w:p>
        </w:tc>
        <w:tc>
          <w:tcPr>
            <w:tcW w:w="1406" w:type="dxa"/>
            <w:noWrap w:val="0"/>
            <w:vAlign w:val="center"/>
          </w:tcPr>
          <w:p w14:paraId="4402CBCD">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社会事务中心</w:t>
            </w:r>
          </w:p>
          <w:p w14:paraId="338AD887">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各街道</w:t>
            </w:r>
          </w:p>
        </w:tc>
        <w:tc>
          <w:tcPr>
            <w:tcW w:w="3784" w:type="dxa"/>
            <w:shd w:val="clear" w:color="auto" w:fill="auto"/>
            <w:noWrap w:val="0"/>
            <w:vAlign w:val="center"/>
          </w:tcPr>
          <w:p w14:paraId="38C880E3">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560" w:firstLineChars="200"/>
              <w:jc w:val="left"/>
              <w:textAlignment w:val="auto"/>
              <w:rPr>
                <w:rFonts w:hint="default" w:ascii="Times New Roman" w:hAnsi="Times New Roman" w:eastAsia="仿宋_GB2312" w:cs="Times New Roman"/>
                <w:kern w:val="2"/>
                <w:sz w:val="28"/>
                <w:szCs w:val="28"/>
                <w:highlight w:val="yellow"/>
                <w:vertAlign w:val="baseline"/>
                <w:lang w:val="en-US" w:eastAsia="zh-CN" w:bidi="ar-SA"/>
              </w:rPr>
            </w:pPr>
            <w:r>
              <w:rPr>
                <w:rFonts w:hint="eastAsia" w:ascii="Times New Roman" w:hAnsi="Times New Roman" w:eastAsia="仿宋_GB2312" w:cs="Times New Roman"/>
                <w:kern w:val="2"/>
                <w:sz w:val="28"/>
                <w:szCs w:val="28"/>
                <w:lang w:val="en-US" w:eastAsia="zh-CN" w:bidi="ar-SA"/>
              </w:rPr>
              <w:t>已完成2025年度全区60周岁及以上老年人城乡居民医保参保费用减免工作，减免费用367.3万元，受益12200人。</w:t>
            </w:r>
          </w:p>
        </w:tc>
        <w:tc>
          <w:tcPr>
            <w:tcW w:w="1630" w:type="dxa"/>
            <w:shd w:val="clear" w:color="auto" w:fill="auto"/>
            <w:noWrap w:val="0"/>
            <w:vAlign w:val="center"/>
          </w:tcPr>
          <w:p w14:paraId="2CDD635E">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无</w:t>
            </w:r>
          </w:p>
        </w:tc>
        <w:tc>
          <w:tcPr>
            <w:tcW w:w="2279" w:type="dxa"/>
            <w:shd w:val="clear" w:color="auto" w:fill="auto"/>
            <w:noWrap w:val="0"/>
            <w:vAlign w:val="center"/>
          </w:tcPr>
          <w:p w14:paraId="5C4F3A36">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无</w:t>
            </w:r>
          </w:p>
        </w:tc>
      </w:tr>
      <w:tr w14:paraId="46AF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3" w:hRule="atLeast"/>
          <w:jc w:val="center"/>
        </w:trPr>
        <w:tc>
          <w:tcPr>
            <w:tcW w:w="879" w:type="dxa"/>
            <w:noWrap w:val="0"/>
            <w:vAlign w:val="center"/>
          </w:tcPr>
          <w:p w14:paraId="5C02597A">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p>
        </w:tc>
        <w:tc>
          <w:tcPr>
            <w:tcW w:w="2031" w:type="dxa"/>
            <w:noWrap w:val="0"/>
            <w:vAlign w:val="center"/>
          </w:tcPr>
          <w:p w14:paraId="1BB2F03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80" w:lineRule="exact"/>
              <w:ind w:right="0" w:rightChars="0"/>
              <w:jc w:val="center"/>
              <w:textAlignment w:val="auto"/>
              <w:rPr>
                <w:rFonts w:hint="default" w:ascii="Times New Roman" w:hAnsi="Times New Roman" w:eastAsia="仿宋_GB2312" w:cs="Times New Roman"/>
                <w:b/>
                <w:bCs/>
                <w:color w:val="000000"/>
                <w:sz w:val="28"/>
                <w:szCs w:val="28"/>
                <w:u w:val="none" w:color="auto"/>
                <w:lang w:val="en-US" w:eastAsia="zh-CN"/>
              </w:rPr>
            </w:pPr>
            <w:r>
              <w:rPr>
                <w:rFonts w:hint="default" w:ascii="Times New Roman" w:hAnsi="Times New Roman" w:eastAsia="仿宋_GB2312" w:cs="Times New Roman"/>
                <w:b/>
                <w:bCs/>
                <w:color w:val="000000"/>
                <w:sz w:val="28"/>
                <w:szCs w:val="28"/>
                <w:u w:val="none" w:color="auto"/>
                <w:lang w:val="en-US" w:eastAsia="zh-CN"/>
              </w:rPr>
              <w:t>实施文体惠民工程</w:t>
            </w:r>
          </w:p>
        </w:tc>
        <w:tc>
          <w:tcPr>
            <w:tcW w:w="2027" w:type="dxa"/>
            <w:noWrap w:val="0"/>
            <w:vAlign w:val="center"/>
          </w:tcPr>
          <w:p w14:paraId="6B8C82C9">
            <w:pPr>
              <w:keepNext w:val="0"/>
              <w:keepLines w:val="0"/>
              <w:pageBreakBefore w:val="0"/>
              <w:widowControl/>
              <w:suppressLineNumbers w:val="0"/>
              <w:kinsoku/>
              <w:wordWrap/>
              <w:overflowPunct/>
              <w:topLinePunct w:val="0"/>
              <w:autoSpaceDE/>
              <w:autoSpaceDN/>
              <w:bidi w:val="0"/>
              <w:adjustRightInd/>
              <w:snapToGrid/>
              <w:spacing w:beforeAutospacing="0" w:line="380" w:lineRule="exact"/>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全年开展“一村一场戏”43场次，“一村一场电影”516场次，打通文化惠民“最后一公里”。改造提升公共体育设施，为3个村居、社区更换健身器材不少于20件；组织举办各类休闲体育赛事活动不少于10场，进一步提高群众健身热情。</w:t>
            </w:r>
          </w:p>
        </w:tc>
        <w:tc>
          <w:tcPr>
            <w:tcW w:w="1406" w:type="dxa"/>
            <w:noWrap w:val="0"/>
            <w:vAlign w:val="center"/>
          </w:tcPr>
          <w:p w14:paraId="020FACA9">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社会事务中心</w:t>
            </w:r>
          </w:p>
          <w:p w14:paraId="146BFC42">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各街道</w:t>
            </w:r>
          </w:p>
        </w:tc>
        <w:tc>
          <w:tcPr>
            <w:tcW w:w="3784" w:type="dxa"/>
            <w:noWrap w:val="0"/>
            <w:vAlign w:val="center"/>
          </w:tcPr>
          <w:p w14:paraId="3E2F00DF">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完成“一村一场戏”演出15场，农村公益电影放映218场。</w:t>
            </w:r>
          </w:p>
          <w:p w14:paraId="4682522E">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组织开展体育赛事活动5场；对辖区公共室外健身设施开展巡检摸底工作。 </w:t>
            </w:r>
          </w:p>
        </w:tc>
        <w:tc>
          <w:tcPr>
            <w:tcW w:w="1630" w:type="dxa"/>
            <w:noWrap w:val="0"/>
            <w:vAlign w:val="center"/>
          </w:tcPr>
          <w:p w14:paraId="490A0C62">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无</w:t>
            </w:r>
          </w:p>
        </w:tc>
        <w:tc>
          <w:tcPr>
            <w:tcW w:w="2279" w:type="dxa"/>
            <w:noWrap w:val="0"/>
            <w:vAlign w:val="center"/>
          </w:tcPr>
          <w:p w14:paraId="36135483">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1.继续按计划完成好“一村一场戏”演出，农村公益电影放映工作。</w:t>
            </w:r>
          </w:p>
          <w:p w14:paraId="5A724C5F">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2.持续开展群众性体育活动。</w:t>
            </w:r>
          </w:p>
          <w:p w14:paraId="40656A13">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3.积极协调对接市体育局器材</w:t>
            </w:r>
          </w:p>
          <w:p w14:paraId="194CF757">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both"/>
              <w:textAlignment w:val="auto"/>
              <w:rPr>
                <w:rFonts w:hint="default" w:ascii="Times New Roman" w:hAnsi="Times New Roman" w:eastAsia="仿宋_GB2312" w:cs="Times New Roman"/>
                <w:sz w:val="28"/>
                <w:szCs w:val="28"/>
                <w:lang w:val="en-US" w:eastAsia="zh-CN"/>
              </w:rPr>
            </w:pPr>
          </w:p>
        </w:tc>
      </w:tr>
      <w:tr w14:paraId="2AC6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1" w:hRule="atLeast"/>
          <w:jc w:val="center"/>
        </w:trPr>
        <w:tc>
          <w:tcPr>
            <w:tcW w:w="879" w:type="dxa"/>
            <w:noWrap w:val="0"/>
            <w:vAlign w:val="center"/>
          </w:tcPr>
          <w:p w14:paraId="25DBCAD8">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p>
        </w:tc>
        <w:tc>
          <w:tcPr>
            <w:tcW w:w="2031" w:type="dxa"/>
            <w:noWrap w:val="0"/>
            <w:vAlign w:val="center"/>
          </w:tcPr>
          <w:p w14:paraId="00DB2844">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提高残疾人</w:t>
            </w:r>
          </w:p>
          <w:p w14:paraId="23BEE9F5">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保障服务质量</w:t>
            </w:r>
          </w:p>
        </w:tc>
        <w:tc>
          <w:tcPr>
            <w:tcW w:w="2027" w:type="dxa"/>
            <w:noWrap w:val="0"/>
            <w:vAlign w:val="center"/>
          </w:tcPr>
          <w:p w14:paraId="5AEEC610">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kern w:val="0"/>
                <w:sz w:val="28"/>
                <w:szCs w:val="28"/>
                <w:lang w:val="en-US" w:eastAsia="zh-CN" w:bidi="ar"/>
              </w:rPr>
              <w:t>为90名残疾人开展居家、日间照料及寄宿托养服务，为70名以上残疾儿童免费提供康复救助，为60名残疾人家庭进行无障碍改造。</w:t>
            </w:r>
          </w:p>
        </w:tc>
        <w:tc>
          <w:tcPr>
            <w:tcW w:w="1406" w:type="dxa"/>
            <w:noWrap w:val="0"/>
            <w:vAlign w:val="center"/>
          </w:tcPr>
          <w:p w14:paraId="2EB0600D">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社会事务中心</w:t>
            </w:r>
          </w:p>
          <w:p w14:paraId="58122B67">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各街道</w:t>
            </w:r>
          </w:p>
        </w:tc>
        <w:tc>
          <w:tcPr>
            <w:tcW w:w="3784" w:type="dxa"/>
            <w:noWrap w:val="0"/>
            <w:vAlign w:val="center"/>
          </w:tcPr>
          <w:p w14:paraId="250BB45E">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lang w:val="en-US" w:eastAsia="zh-CN"/>
              </w:rPr>
              <w:t>25年居家服务和无障碍改造工作目前已经完成招标工作，</w:t>
            </w:r>
            <w:r>
              <w:rPr>
                <w:rFonts w:hint="eastAsia" w:ascii="Times New Roman" w:hAnsi="Times New Roman" w:eastAsia="仿宋_GB2312" w:cs="Times New Roman"/>
                <w:sz w:val="28"/>
                <w:szCs w:val="28"/>
                <w:lang w:val="en-US" w:eastAsia="zh-CN"/>
              </w:rPr>
              <w:t>截至</w:t>
            </w:r>
            <w:r>
              <w:rPr>
                <w:rFonts w:hint="default" w:ascii="Times New Roman" w:hAnsi="Times New Roman" w:eastAsia="仿宋_GB2312" w:cs="Times New Roman"/>
                <w:sz w:val="28"/>
                <w:szCs w:val="28"/>
                <w:lang w:val="en-US" w:eastAsia="zh-CN"/>
              </w:rPr>
              <w:t>目前共有35残疾儿童康复录入系统并且已经进入医院康复</w:t>
            </w:r>
            <w:r>
              <w:rPr>
                <w:rFonts w:hint="eastAsia" w:ascii="Times New Roman" w:hAnsi="Times New Roman" w:eastAsia="仿宋_GB2312" w:cs="Times New Roman"/>
                <w:sz w:val="28"/>
                <w:szCs w:val="28"/>
                <w:lang w:val="en-US" w:eastAsia="zh-CN"/>
              </w:rPr>
              <w:t>。</w:t>
            </w:r>
          </w:p>
        </w:tc>
        <w:tc>
          <w:tcPr>
            <w:tcW w:w="1630" w:type="dxa"/>
            <w:noWrap w:val="0"/>
            <w:vAlign w:val="center"/>
          </w:tcPr>
          <w:p w14:paraId="6E14632D">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无</w:t>
            </w:r>
          </w:p>
        </w:tc>
        <w:tc>
          <w:tcPr>
            <w:tcW w:w="2279" w:type="dxa"/>
            <w:noWrap w:val="0"/>
            <w:vAlign w:val="center"/>
          </w:tcPr>
          <w:p w14:paraId="45F2C6C8">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无</w:t>
            </w:r>
          </w:p>
        </w:tc>
      </w:tr>
      <w:tr w14:paraId="4410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5" w:hRule="atLeast"/>
          <w:jc w:val="center"/>
        </w:trPr>
        <w:tc>
          <w:tcPr>
            <w:tcW w:w="879" w:type="dxa"/>
            <w:noWrap w:val="0"/>
            <w:vAlign w:val="center"/>
          </w:tcPr>
          <w:p w14:paraId="1B094228">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7</w:t>
            </w:r>
          </w:p>
        </w:tc>
        <w:tc>
          <w:tcPr>
            <w:tcW w:w="2031" w:type="dxa"/>
            <w:noWrap w:val="0"/>
            <w:vAlign w:val="center"/>
          </w:tcPr>
          <w:p w14:paraId="74419778">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b/>
                <w:bCs/>
                <w:kern w:val="0"/>
                <w:sz w:val="28"/>
                <w:szCs w:val="28"/>
                <w:lang w:val="en-US" w:eastAsia="zh-CN" w:bidi="ar"/>
              </w:rPr>
            </w:pPr>
            <w:r>
              <w:rPr>
                <w:rFonts w:hint="default" w:ascii="Times New Roman" w:hAnsi="Times New Roman" w:eastAsia="仿宋_GB2312" w:cs="Times New Roman"/>
                <w:b/>
                <w:bCs/>
                <w:kern w:val="0"/>
                <w:sz w:val="28"/>
                <w:szCs w:val="28"/>
                <w:lang w:val="en-US" w:eastAsia="zh-CN" w:bidi="ar"/>
              </w:rPr>
              <w:t>开展就业创业</w:t>
            </w:r>
          </w:p>
          <w:p w14:paraId="1960DF36">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kern w:val="0"/>
                <w:sz w:val="28"/>
                <w:szCs w:val="28"/>
                <w:lang w:val="en-US" w:eastAsia="zh-CN" w:bidi="ar"/>
              </w:rPr>
              <w:t>扩容提质行动</w:t>
            </w:r>
          </w:p>
        </w:tc>
        <w:tc>
          <w:tcPr>
            <w:tcW w:w="2027" w:type="dxa"/>
            <w:noWrap w:val="0"/>
            <w:vAlign w:val="center"/>
          </w:tcPr>
          <w:p w14:paraId="7E818262">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auto"/>
                <w:kern w:val="0"/>
                <w:sz w:val="28"/>
                <w:szCs w:val="28"/>
                <w:lang w:val="en-US" w:eastAsia="zh-CN" w:bidi="ar"/>
              </w:rPr>
              <w:t>发放创业担保贷款不低于3000万元、稳岗扩岗专项贷款不低于6000万元；开展“枣庄学子企业行”2次，举办多样化招聘会8场，新增就业1000人以上；实施城乡公益性岗位扩容提质行动，新增城乡公益性岗位不少于</w:t>
            </w:r>
            <w:r>
              <w:rPr>
                <w:rFonts w:hint="eastAsia" w:ascii="Times New Roman" w:hAnsi="Times New Roman" w:eastAsia="仿宋_GB2312" w:cs="Times New Roman"/>
                <w:color w:val="auto"/>
                <w:kern w:val="0"/>
                <w:sz w:val="28"/>
                <w:szCs w:val="28"/>
                <w:highlight w:val="yellow"/>
                <w:lang w:val="en-US" w:eastAsia="zh-CN" w:bidi="ar"/>
              </w:rPr>
              <w:t>90</w:t>
            </w:r>
            <w:r>
              <w:rPr>
                <w:rFonts w:hint="default" w:ascii="Times New Roman" w:hAnsi="Times New Roman" w:eastAsia="仿宋_GB2312" w:cs="Times New Roman"/>
                <w:color w:val="auto"/>
                <w:kern w:val="0"/>
                <w:sz w:val="28"/>
                <w:szCs w:val="28"/>
                <w:lang w:val="en-US" w:eastAsia="zh-CN" w:bidi="ar"/>
              </w:rPr>
              <w:t>人。</w:t>
            </w:r>
          </w:p>
        </w:tc>
        <w:tc>
          <w:tcPr>
            <w:tcW w:w="1406" w:type="dxa"/>
            <w:noWrap w:val="0"/>
            <w:vAlign w:val="center"/>
          </w:tcPr>
          <w:p w14:paraId="777CFFF2">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社会事务中心</w:t>
            </w:r>
          </w:p>
          <w:p w14:paraId="77673FDD">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各街道</w:t>
            </w:r>
          </w:p>
        </w:tc>
        <w:tc>
          <w:tcPr>
            <w:tcW w:w="3784" w:type="dxa"/>
            <w:noWrap w:val="0"/>
            <w:vAlign w:val="center"/>
          </w:tcPr>
          <w:p w14:paraId="42D2A742">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lang w:val="en-US" w:eastAsia="zh-CN"/>
              </w:rPr>
              <w:t>截至目前已完成创业担保贷款申请2185万元，稳岗扩岗专项贷放款6689万元；开展“枣庄学子企业行”活动1次到辖区4家企业进行参观学习；举办线下招聘会3场，辖区50余家企业响应参加；线上招聘会1场，30余家企业提供招聘岗位。新增就业完成</w:t>
            </w:r>
            <w:r>
              <w:rPr>
                <w:rFonts w:hint="eastAsia" w:ascii="Times New Roman" w:hAnsi="Times New Roman" w:eastAsia="仿宋_GB2312" w:cs="Times New Roman"/>
                <w:sz w:val="28"/>
                <w:szCs w:val="28"/>
                <w:highlight w:val="none"/>
                <w:lang w:val="en-US" w:eastAsia="zh-CN"/>
              </w:rPr>
              <w:t>865</w:t>
            </w:r>
            <w:r>
              <w:rPr>
                <w:rFonts w:hint="eastAsia" w:ascii="Times New Roman" w:hAnsi="Times New Roman" w:eastAsia="仿宋_GB2312" w:cs="Times New Roman"/>
                <w:sz w:val="28"/>
                <w:szCs w:val="28"/>
                <w:lang w:val="en-US" w:eastAsia="zh-CN"/>
              </w:rPr>
              <w:t>人；城乡公益性岗位扩容提质招聘将于下半年开始。</w:t>
            </w:r>
          </w:p>
        </w:tc>
        <w:tc>
          <w:tcPr>
            <w:tcW w:w="1630" w:type="dxa"/>
            <w:noWrap w:val="0"/>
            <w:vAlign w:val="center"/>
          </w:tcPr>
          <w:p w14:paraId="683A5DD0">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lang w:val="en-US" w:eastAsia="zh-CN"/>
              </w:rPr>
              <w:t>无</w:t>
            </w:r>
          </w:p>
        </w:tc>
        <w:tc>
          <w:tcPr>
            <w:tcW w:w="2279" w:type="dxa"/>
            <w:noWrap w:val="0"/>
            <w:vAlign w:val="center"/>
          </w:tcPr>
          <w:p w14:paraId="3DE4C52D">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一是持续做好政策宣传。对于创业担保贷款及稳岗扩岗专项贷政策通过开展座谈会及入企服务等活动，扩大惠企政策覆盖面。</w:t>
            </w:r>
          </w:p>
          <w:p w14:paraId="58BDE1B2">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lang w:val="en-US" w:eastAsia="zh-CN"/>
              </w:rPr>
              <w:t>二是做好群众就业保障相关工作。按照本年度招聘会开展计划，每月持续开展线上线下招聘活动，助力各群体就业。</w:t>
            </w:r>
          </w:p>
        </w:tc>
      </w:tr>
      <w:tr w14:paraId="4233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8" w:hRule="atLeast"/>
          <w:jc w:val="center"/>
        </w:trPr>
        <w:tc>
          <w:tcPr>
            <w:tcW w:w="879" w:type="dxa"/>
            <w:noWrap w:val="0"/>
            <w:vAlign w:val="center"/>
          </w:tcPr>
          <w:p w14:paraId="07DC5FE9">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8</w:t>
            </w:r>
          </w:p>
        </w:tc>
        <w:tc>
          <w:tcPr>
            <w:tcW w:w="2031" w:type="dxa"/>
            <w:noWrap w:val="0"/>
            <w:vAlign w:val="center"/>
          </w:tcPr>
          <w:p w14:paraId="6A8C7FF1">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b/>
                <w:bCs/>
                <w:kern w:val="0"/>
                <w:sz w:val="28"/>
                <w:szCs w:val="28"/>
                <w:lang w:val="en-US" w:eastAsia="zh-CN" w:bidi="ar"/>
              </w:rPr>
            </w:pPr>
            <w:r>
              <w:rPr>
                <w:rFonts w:hint="default" w:ascii="Times New Roman" w:hAnsi="Times New Roman" w:eastAsia="仿宋_GB2312" w:cs="Times New Roman"/>
                <w:b/>
                <w:bCs/>
                <w:kern w:val="2"/>
                <w:sz w:val="28"/>
                <w:szCs w:val="28"/>
                <w:lang w:val="en-US" w:eastAsia="zh-CN" w:bidi="ar-SA"/>
              </w:rPr>
              <w:t>优化社会救助服务</w:t>
            </w:r>
          </w:p>
        </w:tc>
        <w:tc>
          <w:tcPr>
            <w:tcW w:w="2027" w:type="dxa"/>
            <w:noWrap w:val="0"/>
            <w:vAlign w:val="center"/>
          </w:tcPr>
          <w:p w14:paraId="42B23AB1">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sz w:val="28"/>
                <w:szCs w:val="28"/>
                <w:lang w:val="en-US" w:eastAsia="zh-CN"/>
              </w:rPr>
              <w:t>政府出资为1800名老年人购买银铃安康老年人意外伤害保险，为全区230名分散特困供养人员、53名经济困难失能老人提供上门照料服务，为全区80名困境、留守儿童提供关爱支持成长服务。</w:t>
            </w:r>
          </w:p>
        </w:tc>
        <w:tc>
          <w:tcPr>
            <w:tcW w:w="1406" w:type="dxa"/>
            <w:noWrap w:val="0"/>
            <w:vAlign w:val="center"/>
          </w:tcPr>
          <w:p w14:paraId="181A63F4">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社会事务中心</w:t>
            </w:r>
          </w:p>
          <w:p w14:paraId="03023CB1">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各街道</w:t>
            </w:r>
          </w:p>
        </w:tc>
        <w:tc>
          <w:tcPr>
            <w:tcW w:w="3784" w:type="dxa"/>
            <w:noWrap w:val="0"/>
            <w:vAlign w:val="center"/>
          </w:tcPr>
          <w:p w14:paraId="62522128">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560" w:firstLineChars="200"/>
              <w:jc w:val="both"/>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lang w:val="en-US" w:eastAsia="zh-CN"/>
              </w:rPr>
              <w:t>已委托第三方机构进行项目招投标。6月30日与韶华项管进行沟通对接，已将需要招投标的三个服务类项目相关政策文件提供给对方。</w:t>
            </w:r>
          </w:p>
        </w:tc>
        <w:tc>
          <w:tcPr>
            <w:tcW w:w="1630" w:type="dxa"/>
            <w:noWrap w:val="0"/>
            <w:vAlign w:val="center"/>
          </w:tcPr>
          <w:p w14:paraId="75107363">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无</w:t>
            </w:r>
          </w:p>
        </w:tc>
        <w:tc>
          <w:tcPr>
            <w:tcW w:w="2279" w:type="dxa"/>
            <w:noWrap w:val="0"/>
            <w:vAlign w:val="center"/>
          </w:tcPr>
          <w:p w14:paraId="59AC1A7F">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无</w:t>
            </w:r>
          </w:p>
        </w:tc>
      </w:tr>
      <w:tr w14:paraId="1BEA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3" w:hRule="atLeast"/>
          <w:jc w:val="center"/>
        </w:trPr>
        <w:tc>
          <w:tcPr>
            <w:tcW w:w="879" w:type="dxa"/>
            <w:noWrap w:val="0"/>
            <w:vAlign w:val="center"/>
          </w:tcPr>
          <w:p w14:paraId="2F473A48">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9</w:t>
            </w:r>
            <w:bookmarkStart w:id="0" w:name="_GoBack"/>
            <w:bookmarkEnd w:id="0"/>
          </w:p>
        </w:tc>
        <w:tc>
          <w:tcPr>
            <w:tcW w:w="2031" w:type="dxa"/>
            <w:noWrap w:val="0"/>
            <w:vAlign w:val="center"/>
          </w:tcPr>
          <w:p w14:paraId="44555A7B">
            <w:pPr>
              <w:pStyle w:val="8"/>
              <w:keepNext w:val="0"/>
              <w:keepLines w:val="0"/>
              <w:pageBreakBefore w:val="0"/>
              <w:widowControl w:val="0"/>
              <w:kinsoku/>
              <w:wordWrap/>
              <w:overflowPunct/>
              <w:topLinePunct w:val="0"/>
              <w:autoSpaceDE/>
              <w:autoSpaceDN/>
              <w:bidi w:val="0"/>
              <w:adjustRightInd/>
              <w:snapToGrid/>
              <w:spacing w:beforeAutospacing="0" w:after="0" w:afterLines="0" w:line="380" w:lineRule="exact"/>
              <w:ind w:left="0" w:leftChars="0" w:firstLine="0" w:firstLineChars="0"/>
              <w:jc w:val="center"/>
              <w:textAlignment w:val="auto"/>
              <w:rPr>
                <w:rFonts w:hint="default" w:ascii="Times New Roman" w:hAnsi="Times New Roman" w:eastAsia="仿宋_GB2312" w:cs="Times New Roman"/>
                <w:b/>
                <w:bCs/>
                <w:spacing w:val="-6"/>
                <w:sz w:val="28"/>
                <w:szCs w:val="28"/>
                <w:vertAlign w:val="baseline"/>
                <w:lang w:val="en-US" w:eastAsia="zh-CN"/>
              </w:rPr>
            </w:pPr>
            <w:r>
              <w:rPr>
                <w:rFonts w:hint="default" w:ascii="Times New Roman" w:hAnsi="Times New Roman" w:eastAsia="仿宋_GB2312" w:cs="Times New Roman"/>
                <w:b/>
                <w:bCs/>
                <w:spacing w:val="-6"/>
                <w:sz w:val="28"/>
                <w:szCs w:val="28"/>
                <w:vertAlign w:val="baseline"/>
                <w:lang w:val="en-US" w:eastAsia="zh-CN"/>
              </w:rPr>
              <w:t>保障农村饮水安全</w:t>
            </w:r>
          </w:p>
        </w:tc>
        <w:tc>
          <w:tcPr>
            <w:tcW w:w="2027" w:type="dxa"/>
            <w:noWrap w:val="0"/>
            <w:vAlign w:val="center"/>
          </w:tcPr>
          <w:p w14:paraId="788B35BE">
            <w:pPr>
              <w:keepNext w:val="0"/>
              <w:keepLines w:val="0"/>
              <w:pageBreakBefore w:val="0"/>
              <w:widowControl/>
              <w:suppressLineNumbers w:val="0"/>
              <w:kinsoku/>
              <w:wordWrap/>
              <w:overflowPunct/>
              <w:topLinePunct w:val="0"/>
              <w:autoSpaceDE/>
              <w:autoSpaceDN/>
              <w:bidi w:val="0"/>
              <w:adjustRightInd/>
              <w:snapToGrid/>
              <w:spacing w:beforeAutospacing="0" w:line="380" w:lineRule="exact"/>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实施张范东村、张范西村、黑石岭村、汤庄村庄、大甘霖村等5个村居的供水管网提升改造工程，提升供水保障能力和供水水质，解决农村饮水安全问题。</w:t>
            </w:r>
          </w:p>
        </w:tc>
        <w:tc>
          <w:tcPr>
            <w:tcW w:w="1406" w:type="dxa"/>
            <w:noWrap w:val="0"/>
            <w:vAlign w:val="center"/>
          </w:tcPr>
          <w:p w14:paraId="05196A76">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社会事务中心张范街道</w:t>
            </w:r>
          </w:p>
        </w:tc>
        <w:tc>
          <w:tcPr>
            <w:tcW w:w="3784" w:type="dxa"/>
            <w:noWrap w:val="0"/>
            <w:vAlign w:val="center"/>
          </w:tcPr>
          <w:p w14:paraId="6B625143">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通过高新区农村供水“户户通”工程解决全区农村</w:t>
            </w:r>
            <w:r>
              <w:rPr>
                <w:rFonts w:hint="default" w:ascii="Times New Roman" w:hAnsi="Times New Roman" w:eastAsia="仿宋_GB2312" w:cs="Times New Roman"/>
                <w:sz w:val="28"/>
                <w:szCs w:val="28"/>
                <w:lang w:val="en-US" w:eastAsia="zh-CN"/>
              </w:rPr>
              <w:t>供水管网提升改造工程</w:t>
            </w:r>
            <w:r>
              <w:rPr>
                <w:rFonts w:hint="eastAsia" w:ascii="Times New Roman" w:hAnsi="Times New Roman" w:eastAsia="仿宋_GB2312" w:cs="Times New Roman"/>
                <w:sz w:val="28"/>
                <w:szCs w:val="28"/>
                <w:lang w:val="en-US" w:eastAsia="zh-CN"/>
              </w:rPr>
              <w:t>，现阶段张范东村等5个村已完成规模供水接入及供水管网改造，提升了供水保障能力和供水水质，解决了农村饮水安全问题。</w:t>
            </w:r>
          </w:p>
        </w:tc>
        <w:tc>
          <w:tcPr>
            <w:tcW w:w="1630" w:type="dxa"/>
            <w:noWrap w:val="0"/>
            <w:vAlign w:val="center"/>
          </w:tcPr>
          <w:p w14:paraId="02FB62C0">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现阶段已接入规模化供水，由专业统管供水公司进行管护，因接入规模化供水后水压会增大，有跑冒滴漏的风险。</w:t>
            </w:r>
          </w:p>
        </w:tc>
        <w:tc>
          <w:tcPr>
            <w:tcW w:w="2279" w:type="dxa"/>
            <w:noWrap w:val="0"/>
            <w:vAlign w:val="center"/>
          </w:tcPr>
          <w:p w14:paraId="0178EA01">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下一步根据跑冒滴漏情况进行整修。</w:t>
            </w:r>
          </w:p>
        </w:tc>
      </w:tr>
    </w:tbl>
    <w:p w14:paraId="456C8DB7">
      <w:pPr>
        <w:rPr>
          <w:rFonts w:hint="default" w:ascii="Times New Roman" w:hAnsi="Times New Roman" w:cs="Times New Roman"/>
        </w:rPr>
      </w:pPr>
    </w:p>
    <w:sectPr>
      <w:footerReference r:id="rId3" w:type="default"/>
      <w:pgSz w:w="16838" w:h="11906" w:orient="landscape"/>
      <w:pgMar w:top="1633" w:right="1440" w:bottom="1633"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376D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1CE32">
                          <w:pPr>
                            <w:pStyle w:val="5"/>
                            <w:rPr>
                              <w:rFonts w:hint="eastAsia" w:asciiTheme="majorEastAsia" w:hAnsiTheme="majorEastAsia" w:eastAsiaTheme="majorEastAsia" w:cstheme="majorEastAsia"/>
                              <w:sz w:val="24"/>
                              <w:szCs w:val="40"/>
                            </w:rPr>
                          </w:pPr>
                          <w:r>
                            <w:rPr>
                              <w:rFonts w:hint="eastAsia" w:asciiTheme="majorEastAsia" w:hAnsiTheme="majorEastAsia" w:eastAsiaTheme="majorEastAsia" w:cstheme="majorEastAsia"/>
                              <w:sz w:val="24"/>
                              <w:szCs w:val="40"/>
                            </w:rPr>
                            <w:t xml:space="preserve">— </w:t>
                          </w:r>
                          <w:r>
                            <w:rPr>
                              <w:rFonts w:hint="eastAsia" w:asciiTheme="majorEastAsia" w:hAnsiTheme="majorEastAsia" w:eastAsiaTheme="majorEastAsia" w:cstheme="majorEastAsia"/>
                              <w:sz w:val="24"/>
                              <w:szCs w:val="40"/>
                            </w:rPr>
                            <w:fldChar w:fldCharType="begin"/>
                          </w:r>
                          <w:r>
                            <w:rPr>
                              <w:rFonts w:hint="eastAsia" w:asciiTheme="majorEastAsia" w:hAnsiTheme="majorEastAsia" w:eastAsiaTheme="majorEastAsia" w:cstheme="majorEastAsia"/>
                              <w:sz w:val="24"/>
                              <w:szCs w:val="40"/>
                            </w:rPr>
                            <w:instrText xml:space="preserve"> PAGE  \* MERGEFORMAT </w:instrText>
                          </w:r>
                          <w:r>
                            <w:rPr>
                              <w:rFonts w:hint="eastAsia" w:asciiTheme="majorEastAsia" w:hAnsiTheme="majorEastAsia" w:eastAsiaTheme="majorEastAsia" w:cstheme="majorEastAsia"/>
                              <w:sz w:val="24"/>
                              <w:szCs w:val="40"/>
                            </w:rPr>
                            <w:fldChar w:fldCharType="separate"/>
                          </w:r>
                          <w:r>
                            <w:rPr>
                              <w:rFonts w:hint="eastAsia" w:asciiTheme="majorEastAsia" w:hAnsiTheme="majorEastAsia" w:eastAsiaTheme="majorEastAsia" w:cstheme="majorEastAsia"/>
                              <w:sz w:val="24"/>
                              <w:szCs w:val="40"/>
                            </w:rPr>
                            <w:t>1</w:t>
                          </w:r>
                          <w:r>
                            <w:rPr>
                              <w:rFonts w:hint="eastAsia" w:asciiTheme="majorEastAsia" w:hAnsiTheme="majorEastAsia" w:eastAsiaTheme="majorEastAsia" w:cstheme="majorEastAsia"/>
                              <w:sz w:val="24"/>
                              <w:szCs w:val="40"/>
                            </w:rPr>
                            <w:fldChar w:fldCharType="end"/>
                          </w:r>
                          <w:r>
                            <w:rPr>
                              <w:rFonts w:hint="eastAsia" w:asciiTheme="majorEastAsia" w:hAnsiTheme="majorEastAsia" w:eastAsiaTheme="majorEastAsia" w:cstheme="majorEastAsia"/>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11CE32">
                    <w:pPr>
                      <w:pStyle w:val="5"/>
                      <w:rPr>
                        <w:rFonts w:hint="eastAsia" w:asciiTheme="majorEastAsia" w:hAnsiTheme="majorEastAsia" w:eastAsiaTheme="majorEastAsia" w:cstheme="majorEastAsia"/>
                        <w:sz w:val="24"/>
                        <w:szCs w:val="40"/>
                      </w:rPr>
                    </w:pPr>
                    <w:r>
                      <w:rPr>
                        <w:rFonts w:hint="eastAsia" w:asciiTheme="majorEastAsia" w:hAnsiTheme="majorEastAsia" w:eastAsiaTheme="majorEastAsia" w:cstheme="majorEastAsia"/>
                        <w:sz w:val="24"/>
                        <w:szCs w:val="40"/>
                      </w:rPr>
                      <w:t xml:space="preserve">— </w:t>
                    </w:r>
                    <w:r>
                      <w:rPr>
                        <w:rFonts w:hint="eastAsia" w:asciiTheme="majorEastAsia" w:hAnsiTheme="majorEastAsia" w:eastAsiaTheme="majorEastAsia" w:cstheme="majorEastAsia"/>
                        <w:sz w:val="24"/>
                        <w:szCs w:val="40"/>
                      </w:rPr>
                      <w:fldChar w:fldCharType="begin"/>
                    </w:r>
                    <w:r>
                      <w:rPr>
                        <w:rFonts w:hint="eastAsia" w:asciiTheme="majorEastAsia" w:hAnsiTheme="majorEastAsia" w:eastAsiaTheme="majorEastAsia" w:cstheme="majorEastAsia"/>
                        <w:sz w:val="24"/>
                        <w:szCs w:val="40"/>
                      </w:rPr>
                      <w:instrText xml:space="preserve"> PAGE  \* MERGEFORMAT </w:instrText>
                    </w:r>
                    <w:r>
                      <w:rPr>
                        <w:rFonts w:hint="eastAsia" w:asciiTheme="majorEastAsia" w:hAnsiTheme="majorEastAsia" w:eastAsiaTheme="majorEastAsia" w:cstheme="majorEastAsia"/>
                        <w:sz w:val="24"/>
                        <w:szCs w:val="40"/>
                      </w:rPr>
                      <w:fldChar w:fldCharType="separate"/>
                    </w:r>
                    <w:r>
                      <w:rPr>
                        <w:rFonts w:hint="eastAsia" w:asciiTheme="majorEastAsia" w:hAnsiTheme="majorEastAsia" w:eastAsiaTheme="majorEastAsia" w:cstheme="majorEastAsia"/>
                        <w:sz w:val="24"/>
                        <w:szCs w:val="40"/>
                      </w:rPr>
                      <w:t>1</w:t>
                    </w:r>
                    <w:r>
                      <w:rPr>
                        <w:rFonts w:hint="eastAsia" w:asciiTheme="majorEastAsia" w:hAnsiTheme="majorEastAsia" w:eastAsiaTheme="majorEastAsia" w:cstheme="majorEastAsia"/>
                        <w:sz w:val="24"/>
                        <w:szCs w:val="40"/>
                      </w:rPr>
                      <w:fldChar w:fldCharType="end"/>
                    </w:r>
                    <w:r>
                      <w:rPr>
                        <w:rFonts w:hint="eastAsia" w:asciiTheme="majorEastAsia" w:hAnsiTheme="majorEastAsia" w:eastAsiaTheme="majorEastAsia" w:cstheme="majorEastAsia"/>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YjZjMjNjYzcxOTYzNGY3Yzg5ZjAxZmM2Y2JmYWYifQ=="/>
  </w:docVars>
  <w:rsids>
    <w:rsidRoot w:val="00000000"/>
    <w:rsid w:val="009C15CF"/>
    <w:rsid w:val="01115835"/>
    <w:rsid w:val="01311D17"/>
    <w:rsid w:val="018E53BB"/>
    <w:rsid w:val="0192652E"/>
    <w:rsid w:val="0218370B"/>
    <w:rsid w:val="024E06A7"/>
    <w:rsid w:val="02D52AF4"/>
    <w:rsid w:val="037E320E"/>
    <w:rsid w:val="03A964DC"/>
    <w:rsid w:val="04763EE5"/>
    <w:rsid w:val="04E36091"/>
    <w:rsid w:val="054B7E3F"/>
    <w:rsid w:val="062F1292"/>
    <w:rsid w:val="06473D8B"/>
    <w:rsid w:val="0671705A"/>
    <w:rsid w:val="07034156"/>
    <w:rsid w:val="078801B7"/>
    <w:rsid w:val="07B90CB8"/>
    <w:rsid w:val="07BA233A"/>
    <w:rsid w:val="09952924"/>
    <w:rsid w:val="0AA911AC"/>
    <w:rsid w:val="0AC736EC"/>
    <w:rsid w:val="0B1D155E"/>
    <w:rsid w:val="0C210BDA"/>
    <w:rsid w:val="0D1D3A97"/>
    <w:rsid w:val="0D892EDB"/>
    <w:rsid w:val="0EEC3721"/>
    <w:rsid w:val="0F557518"/>
    <w:rsid w:val="103757FE"/>
    <w:rsid w:val="106A6FF4"/>
    <w:rsid w:val="10B1077E"/>
    <w:rsid w:val="10E943BC"/>
    <w:rsid w:val="11A622AD"/>
    <w:rsid w:val="12AA7B7B"/>
    <w:rsid w:val="12AB56A1"/>
    <w:rsid w:val="139A199E"/>
    <w:rsid w:val="141D612B"/>
    <w:rsid w:val="14724DDA"/>
    <w:rsid w:val="14BC5944"/>
    <w:rsid w:val="150F0169"/>
    <w:rsid w:val="151614F8"/>
    <w:rsid w:val="15543DCE"/>
    <w:rsid w:val="163F4A7E"/>
    <w:rsid w:val="169A3A63"/>
    <w:rsid w:val="1743234C"/>
    <w:rsid w:val="17C86DA0"/>
    <w:rsid w:val="195C09C2"/>
    <w:rsid w:val="19A60971"/>
    <w:rsid w:val="1A1E49AB"/>
    <w:rsid w:val="1B2F368F"/>
    <w:rsid w:val="1B3E5305"/>
    <w:rsid w:val="1B9B2757"/>
    <w:rsid w:val="1BA84E74"/>
    <w:rsid w:val="1BBE69F1"/>
    <w:rsid w:val="1BED2887"/>
    <w:rsid w:val="1C427076"/>
    <w:rsid w:val="1C450915"/>
    <w:rsid w:val="1C550F17"/>
    <w:rsid w:val="1C715266"/>
    <w:rsid w:val="1C8B27CB"/>
    <w:rsid w:val="1CF87735"/>
    <w:rsid w:val="1D083E1C"/>
    <w:rsid w:val="1D7274E7"/>
    <w:rsid w:val="1E831280"/>
    <w:rsid w:val="1FD71884"/>
    <w:rsid w:val="1FE35D37"/>
    <w:rsid w:val="21764C26"/>
    <w:rsid w:val="21C67E02"/>
    <w:rsid w:val="221B63A0"/>
    <w:rsid w:val="225B679C"/>
    <w:rsid w:val="22606C0B"/>
    <w:rsid w:val="2268710B"/>
    <w:rsid w:val="22892B99"/>
    <w:rsid w:val="22963C78"/>
    <w:rsid w:val="23767606"/>
    <w:rsid w:val="23F24EDE"/>
    <w:rsid w:val="240115C5"/>
    <w:rsid w:val="2418246B"/>
    <w:rsid w:val="25106D01"/>
    <w:rsid w:val="26DD0A1C"/>
    <w:rsid w:val="272A51F7"/>
    <w:rsid w:val="27D2540E"/>
    <w:rsid w:val="27EA074C"/>
    <w:rsid w:val="28E05C4D"/>
    <w:rsid w:val="293D4E4D"/>
    <w:rsid w:val="2A0857CE"/>
    <w:rsid w:val="2A3A7BC7"/>
    <w:rsid w:val="2A5D7DE2"/>
    <w:rsid w:val="2B54647E"/>
    <w:rsid w:val="2C225C6C"/>
    <w:rsid w:val="2C66290D"/>
    <w:rsid w:val="2CE43832"/>
    <w:rsid w:val="2D016192"/>
    <w:rsid w:val="2D040371"/>
    <w:rsid w:val="2D3E73E6"/>
    <w:rsid w:val="2D872B3B"/>
    <w:rsid w:val="2E150147"/>
    <w:rsid w:val="2E33681F"/>
    <w:rsid w:val="2E3E1C56"/>
    <w:rsid w:val="2EA57A26"/>
    <w:rsid w:val="305B205D"/>
    <w:rsid w:val="30CC4D09"/>
    <w:rsid w:val="30DD6F16"/>
    <w:rsid w:val="32841682"/>
    <w:rsid w:val="33022295"/>
    <w:rsid w:val="338D4652"/>
    <w:rsid w:val="339E298D"/>
    <w:rsid w:val="33D95773"/>
    <w:rsid w:val="34A55F9D"/>
    <w:rsid w:val="34E940DB"/>
    <w:rsid w:val="369B31B3"/>
    <w:rsid w:val="37405B09"/>
    <w:rsid w:val="37BA58BB"/>
    <w:rsid w:val="381E5E4A"/>
    <w:rsid w:val="388E0DA1"/>
    <w:rsid w:val="38F17A02"/>
    <w:rsid w:val="39A607ED"/>
    <w:rsid w:val="39B24C94"/>
    <w:rsid w:val="39DC5FBD"/>
    <w:rsid w:val="39DD3AE3"/>
    <w:rsid w:val="3A6B10EF"/>
    <w:rsid w:val="3A71560A"/>
    <w:rsid w:val="3A926A2F"/>
    <w:rsid w:val="3B506C62"/>
    <w:rsid w:val="3B8406BA"/>
    <w:rsid w:val="3B9823B7"/>
    <w:rsid w:val="3BA40D0D"/>
    <w:rsid w:val="3BD31641"/>
    <w:rsid w:val="3BF35840"/>
    <w:rsid w:val="3CF200FB"/>
    <w:rsid w:val="3D57036F"/>
    <w:rsid w:val="3DBF1D25"/>
    <w:rsid w:val="3DF00A76"/>
    <w:rsid w:val="3E416F4A"/>
    <w:rsid w:val="3E7C38CA"/>
    <w:rsid w:val="3E7F160D"/>
    <w:rsid w:val="3E976956"/>
    <w:rsid w:val="3F632CDC"/>
    <w:rsid w:val="3F654599"/>
    <w:rsid w:val="3F9E2F24"/>
    <w:rsid w:val="403B1563"/>
    <w:rsid w:val="40E02836"/>
    <w:rsid w:val="410022CB"/>
    <w:rsid w:val="417A6C11"/>
    <w:rsid w:val="41A328C1"/>
    <w:rsid w:val="41B31CF9"/>
    <w:rsid w:val="42786A9F"/>
    <w:rsid w:val="436112E1"/>
    <w:rsid w:val="436A288B"/>
    <w:rsid w:val="43A75C31"/>
    <w:rsid w:val="43BF4EF6"/>
    <w:rsid w:val="449F47B6"/>
    <w:rsid w:val="44B85878"/>
    <w:rsid w:val="45440EBA"/>
    <w:rsid w:val="45B918A8"/>
    <w:rsid w:val="46256F3D"/>
    <w:rsid w:val="46362EF9"/>
    <w:rsid w:val="4648639B"/>
    <w:rsid w:val="46B1432D"/>
    <w:rsid w:val="4712105F"/>
    <w:rsid w:val="47820EDA"/>
    <w:rsid w:val="47B95674"/>
    <w:rsid w:val="48117779"/>
    <w:rsid w:val="485D3C95"/>
    <w:rsid w:val="48914416"/>
    <w:rsid w:val="48A07861"/>
    <w:rsid w:val="48D569F9"/>
    <w:rsid w:val="49301E81"/>
    <w:rsid w:val="493D00FA"/>
    <w:rsid w:val="49EE7CE3"/>
    <w:rsid w:val="4A007AA5"/>
    <w:rsid w:val="4A9B157C"/>
    <w:rsid w:val="4B45043F"/>
    <w:rsid w:val="4B881AAD"/>
    <w:rsid w:val="4B89138C"/>
    <w:rsid w:val="4BB23021"/>
    <w:rsid w:val="4C8524E4"/>
    <w:rsid w:val="4CBA4DE8"/>
    <w:rsid w:val="4DB3544E"/>
    <w:rsid w:val="4DCF7EBB"/>
    <w:rsid w:val="4E1F24C4"/>
    <w:rsid w:val="4F4645B0"/>
    <w:rsid w:val="50354221"/>
    <w:rsid w:val="50487AB0"/>
    <w:rsid w:val="513162F7"/>
    <w:rsid w:val="51AF0404"/>
    <w:rsid w:val="521777A6"/>
    <w:rsid w:val="52483D98"/>
    <w:rsid w:val="528B1ED6"/>
    <w:rsid w:val="52C13B4A"/>
    <w:rsid w:val="53672943"/>
    <w:rsid w:val="546964D6"/>
    <w:rsid w:val="552073DD"/>
    <w:rsid w:val="56095F34"/>
    <w:rsid w:val="56170651"/>
    <w:rsid w:val="56513437"/>
    <w:rsid w:val="56C1680E"/>
    <w:rsid w:val="56EF512A"/>
    <w:rsid w:val="57010267"/>
    <w:rsid w:val="572052E3"/>
    <w:rsid w:val="57365129"/>
    <w:rsid w:val="57517B92"/>
    <w:rsid w:val="57BD6FD6"/>
    <w:rsid w:val="57D12A81"/>
    <w:rsid w:val="59103135"/>
    <w:rsid w:val="5999312B"/>
    <w:rsid w:val="59D423B5"/>
    <w:rsid w:val="5A1153B7"/>
    <w:rsid w:val="5A614765"/>
    <w:rsid w:val="5AAD1B41"/>
    <w:rsid w:val="5B303F63"/>
    <w:rsid w:val="5CA84634"/>
    <w:rsid w:val="5CD050B5"/>
    <w:rsid w:val="5DC015CE"/>
    <w:rsid w:val="5E9141E1"/>
    <w:rsid w:val="5ED32B3A"/>
    <w:rsid w:val="5EE638CF"/>
    <w:rsid w:val="5F2D2C93"/>
    <w:rsid w:val="5F6076DB"/>
    <w:rsid w:val="5F7978C5"/>
    <w:rsid w:val="5F8B1768"/>
    <w:rsid w:val="5FC30F01"/>
    <w:rsid w:val="60E27AAD"/>
    <w:rsid w:val="61186D8B"/>
    <w:rsid w:val="6138591F"/>
    <w:rsid w:val="61A15272"/>
    <w:rsid w:val="61D90EB0"/>
    <w:rsid w:val="630F66C2"/>
    <w:rsid w:val="63715118"/>
    <w:rsid w:val="648B3FB8"/>
    <w:rsid w:val="65A74E21"/>
    <w:rsid w:val="661F1B89"/>
    <w:rsid w:val="663761A5"/>
    <w:rsid w:val="672C55DE"/>
    <w:rsid w:val="676A4358"/>
    <w:rsid w:val="67DF0350"/>
    <w:rsid w:val="67E64431"/>
    <w:rsid w:val="67F72090"/>
    <w:rsid w:val="687A4A6F"/>
    <w:rsid w:val="69000A2F"/>
    <w:rsid w:val="69AA4EE0"/>
    <w:rsid w:val="69E2467A"/>
    <w:rsid w:val="69E46644"/>
    <w:rsid w:val="69EF6A26"/>
    <w:rsid w:val="69F148BD"/>
    <w:rsid w:val="6A535FCA"/>
    <w:rsid w:val="6AD246EE"/>
    <w:rsid w:val="6BF07522"/>
    <w:rsid w:val="6C060AF4"/>
    <w:rsid w:val="6C19321A"/>
    <w:rsid w:val="6C3118E9"/>
    <w:rsid w:val="6CA64085"/>
    <w:rsid w:val="6CAD5413"/>
    <w:rsid w:val="6D4A2C62"/>
    <w:rsid w:val="6DD30EA9"/>
    <w:rsid w:val="6E0F4F8D"/>
    <w:rsid w:val="6E443B55"/>
    <w:rsid w:val="6E9C573F"/>
    <w:rsid w:val="6EBA5BC5"/>
    <w:rsid w:val="6EF07839"/>
    <w:rsid w:val="6F814935"/>
    <w:rsid w:val="6F9B66A0"/>
    <w:rsid w:val="6FA32AFD"/>
    <w:rsid w:val="6FC565D0"/>
    <w:rsid w:val="700F19BA"/>
    <w:rsid w:val="7084648B"/>
    <w:rsid w:val="70FC0717"/>
    <w:rsid w:val="71333A0D"/>
    <w:rsid w:val="71B12CD7"/>
    <w:rsid w:val="726008B5"/>
    <w:rsid w:val="72B65EB8"/>
    <w:rsid w:val="735A4347"/>
    <w:rsid w:val="73724CC1"/>
    <w:rsid w:val="73B44620"/>
    <w:rsid w:val="73B817B5"/>
    <w:rsid w:val="73F676A0"/>
    <w:rsid w:val="74463A57"/>
    <w:rsid w:val="74F17E67"/>
    <w:rsid w:val="752124FA"/>
    <w:rsid w:val="75436915"/>
    <w:rsid w:val="759E3B4B"/>
    <w:rsid w:val="75DE03EB"/>
    <w:rsid w:val="75FE6CDF"/>
    <w:rsid w:val="7693517B"/>
    <w:rsid w:val="76E2215D"/>
    <w:rsid w:val="799356F2"/>
    <w:rsid w:val="7AC754CB"/>
    <w:rsid w:val="7ACC787D"/>
    <w:rsid w:val="7BA20FE6"/>
    <w:rsid w:val="7BD227A0"/>
    <w:rsid w:val="7BF85F7F"/>
    <w:rsid w:val="7D133070"/>
    <w:rsid w:val="7D1F7C67"/>
    <w:rsid w:val="7D7B0C16"/>
    <w:rsid w:val="7DEC1789"/>
    <w:rsid w:val="7DEC7E37"/>
    <w:rsid w:val="7EC108AA"/>
    <w:rsid w:val="7F2D5F40"/>
    <w:rsid w:val="7F601E71"/>
    <w:rsid w:val="7FA0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660" w:lineRule="exact"/>
      <w:ind w:firstLine="705"/>
    </w:pPr>
    <w:rPr>
      <w:rFonts w:ascii="FangSong_GB2312" w:eastAsia="FangSong_GB2312"/>
      <w:color w:val="000000"/>
      <w:sz w:val="36"/>
      <w:szCs w:val="36"/>
    </w:rPr>
  </w:style>
  <w:style w:type="paragraph" w:styleId="8">
    <w:name w:val="Body Text First Indent 2"/>
    <w:basedOn w:val="4"/>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paragraph" w:customStyle="1" w:styleId="13">
    <w:name w:val="Body Text First Indent 21"/>
    <w:basedOn w:val="14"/>
    <w:autoRedefine/>
    <w:qFormat/>
    <w:uiPriority w:val="99"/>
    <w:pPr>
      <w:ind w:firstLine="420"/>
    </w:pPr>
    <w:rPr>
      <w:rFonts w:ascii="Calibri" w:hAnsi="Calibri"/>
    </w:rPr>
  </w:style>
  <w:style w:type="paragraph" w:customStyle="1" w:styleId="14">
    <w:name w:val="Body Text Indent1"/>
    <w:basedOn w:val="1"/>
    <w:autoRedefine/>
    <w:qFormat/>
    <w:uiPriority w:val="99"/>
    <w:pPr>
      <w:widowControl/>
      <w:adjustRightInd w:val="0"/>
      <w:snapToGrid w:val="0"/>
      <w:spacing w:after="200" w:line="240" w:lineRule="auto"/>
      <w:ind w:left="420" w:leftChars="200"/>
      <w:jc w:val="left"/>
    </w:pPr>
    <w:rPr>
      <w:rFonts w:ascii="Times New Roman" w:hAnsi="Times New Roman" w:eastAsia="微软雅黑" w:cs="Times New Roman"/>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2897</Words>
  <Characters>3053</Characters>
  <Lines>0</Lines>
  <Paragraphs>0</Paragraphs>
  <TotalTime>17</TotalTime>
  <ScaleCrop>false</ScaleCrop>
  <LinksUpToDate>false</LinksUpToDate>
  <CharactersWithSpaces>3083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2024-11-18T01:04:00Z</dcterms:created>
  <dc:creator>Admin</dc:creator>
  <cp:lastModifiedBy>Sonare</cp:lastModifiedBy>
  <dcterms:modified xsi:type="dcterms:W3CDTF">2025-07-07T07:23:53Z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FD74542E2CDA4B0DB1F86A3AF25930A1_13</vt:lpwstr>
  </property>
  <property fmtid="{D5CDD505-2E9C-101B-9397-08002B2CF9AE}" pid="4" name="KSOTemplateDocerSaveRecord">
    <vt:lpwstr>eyJoZGlkIjoiOWRiYmUxY2VlNjViYzdhZjM2OTgxZTNhMmFjYWU3YTkiLCJ1c2VySWQiOiI1MjU1NzQ0MTEifQ==</vt:lpwstr>
  </property>
</Properties>
</file>