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iCs w:val="0"/>
          <w:caps w:val="0"/>
          <w:color w:val="333333"/>
          <w:spacing w:val="0"/>
          <w:sz w:val="24"/>
          <w:szCs w:val="24"/>
        </w:rPr>
      </w:pPr>
      <w:bookmarkStart w:id="0" w:name="_GoBack"/>
      <w:r>
        <w:rPr>
          <w:rStyle w:val="5"/>
          <w:rFonts w:hint="eastAsia" w:ascii="宋体" w:hAnsi="宋体" w:eastAsia="宋体" w:cs="宋体"/>
          <w:b/>
          <w:bCs/>
          <w:i w:val="0"/>
          <w:iCs w:val="0"/>
          <w:caps w:val="0"/>
          <w:color w:val="333333"/>
          <w:spacing w:val="0"/>
          <w:sz w:val="36"/>
          <w:szCs w:val="36"/>
          <w:bdr w:val="none" w:color="auto" w:sz="0" w:space="0"/>
          <w:shd w:val="clear" w:fill="FFFFFF"/>
        </w:rPr>
        <w:t>国务院关于进一步健全特困人员</w:t>
      </w:r>
      <w:r>
        <w:rPr>
          <w:rStyle w:val="5"/>
          <w:rFonts w:hint="eastAsia" w:ascii="宋体" w:hAnsi="宋体" w:eastAsia="宋体" w:cs="宋体"/>
          <w:b/>
          <w:bCs/>
          <w:i w:val="0"/>
          <w:iCs w:val="0"/>
          <w:caps w:val="0"/>
          <w:color w:val="333333"/>
          <w:spacing w:val="0"/>
          <w:sz w:val="36"/>
          <w:szCs w:val="36"/>
          <w:bdr w:val="none" w:color="auto" w:sz="0" w:space="0"/>
          <w:shd w:val="clear" w:fill="FFFFFF"/>
        </w:rPr>
        <w:br w:type="textWrapping"/>
      </w:r>
      <w:r>
        <w:rPr>
          <w:rStyle w:val="5"/>
          <w:rFonts w:hint="eastAsia" w:ascii="宋体" w:hAnsi="宋体" w:eastAsia="宋体" w:cs="宋体"/>
          <w:b/>
          <w:bCs/>
          <w:i w:val="0"/>
          <w:iCs w:val="0"/>
          <w:caps w:val="0"/>
          <w:color w:val="333333"/>
          <w:spacing w:val="0"/>
          <w:sz w:val="36"/>
          <w:szCs w:val="36"/>
          <w:bdr w:val="none" w:color="auto" w:sz="0" w:space="0"/>
          <w:shd w:val="clear" w:fill="FFFFFF"/>
        </w:rPr>
        <w:t>救助供养制度的意见</w:t>
      </w:r>
      <w:r>
        <w:rPr>
          <w:rStyle w:val="5"/>
          <w:rFonts w:hint="eastAsia" w:ascii="宋体" w:hAnsi="宋体" w:eastAsia="宋体" w:cs="宋体"/>
          <w:b/>
          <w:bCs/>
          <w:i w:val="0"/>
          <w:iCs w:val="0"/>
          <w:caps w:val="0"/>
          <w:color w:val="333333"/>
          <w:spacing w:val="0"/>
          <w:sz w:val="36"/>
          <w:szCs w:val="36"/>
          <w:bdr w:val="none" w:color="auto" w:sz="0" w:space="0"/>
          <w:shd w:val="clear" w:fill="FFFFFF"/>
        </w:rPr>
        <w:br w:type="textWrapping"/>
      </w:r>
      <w:bookmarkEnd w:id="0"/>
      <w:r>
        <w:rPr>
          <w:rFonts w:ascii="楷体_GB2312" w:hAnsi="宋体" w:eastAsia="楷体_GB2312" w:cs="楷体_GB2312"/>
          <w:i w:val="0"/>
          <w:iCs w:val="0"/>
          <w:caps w:val="0"/>
          <w:color w:val="333333"/>
          <w:spacing w:val="0"/>
          <w:sz w:val="24"/>
          <w:szCs w:val="24"/>
          <w:bdr w:val="none" w:color="auto" w:sz="0" w:space="0"/>
          <w:shd w:val="clear" w:fill="FFFFFF"/>
        </w:rPr>
        <w:t>国发〔2016〕14号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各省、自治区、直辖市人民政府，国务院各部委、各直属机构：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保障城乡特困人员基本生活，是完善社会救助体系、编密织牢民生安全网的重要举措，是坚持共享发展、保障和改善民生的应有之义，也是打赢脱贫攻坚战、全面建成小康社会的必然要求。长期以来，在党和政府的高度重视下，我国先后建立起农村五保供养、城市“三无”人员救济和福利院供养制度，城乡特困人员基本生活得到了保障。2014年，国务院公布施行了《社会救助暂行办法》，将城乡“三无”人员保障制度统一为特困人员供养制度，我国城乡特困人员保障工作进入新的发展阶段。为解决城乡发展不平衡、相关政策不衔接、工作机制不健全、资金渠道不通畅、管理服务不规范等问题，切实保障特困人员基本生活，根据《社会救助暂行办法》、《农村五保供养工作条例》，现就进一步健全特困人员救助供养制度提出以下意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一、总体要求和基本原则</w:t>
      </w:r>
      <w:r>
        <w:rPr>
          <w:rStyle w:val="5"/>
          <w:rFonts w:hint="eastAsia" w:ascii="宋体" w:hAnsi="宋体" w:eastAsia="宋体" w:cs="宋体"/>
          <w:b/>
          <w:bCs/>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（一）总体要求。</w:t>
      </w:r>
      <w:r>
        <w:rPr>
          <w:rFonts w:hint="eastAsia" w:ascii="楷体_GB2312" w:hAnsi="宋体" w:eastAsia="楷体_GB2312" w:cs="楷体_GB2312"/>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以党的十八大和十八届三中、四中、五中全会精神为指导，按照党中央、国务院决策部署，以解决城乡特困人员突出困难、满足城乡特困人员基本需求为目标，坚持政府主导，发挥社会力量作用，在全国建立起城乡统筹、政策衔接、运行规范、与经济社会发展水平相适应的特困人员救助供养制度，将符合条件的特困人员全部纳入救助供养范围，切实维护他们的基本生活权益。</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（二）基本原则。</w:t>
      </w:r>
      <w:r>
        <w:rPr>
          <w:rFonts w:hint="eastAsia" w:ascii="楷体_GB2312" w:hAnsi="宋体" w:eastAsia="楷体_GB2312" w:cs="楷体_GB2312"/>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4"/>
          <w:szCs w:val="24"/>
          <w:bdr w:val="none" w:color="auto" w:sz="0" w:space="0"/>
          <w:shd w:val="clear" w:fill="FFFFFF"/>
        </w:rPr>
        <w:t>坚持托底供养。</w:t>
      </w:r>
      <w:r>
        <w:rPr>
          <w:rFonts w:hint="eastAsia" w:ascii="宋体" w:hAnsi="宋体" w:eastAsia="宋体" w:cs="宋体"/>
          <w:i w:val="0"/>
          <w:iCs w:val="0"/>
          <w:caps w:val="0"/>
          <w:color w:val="333333"/>
          <w:spacing w:val="0"/>
          <w:sz w:val="24"/>
          <w:szCs w:val="24"/>
          <w:bdr w:val="none" w:color="auto" w:sz="0" w:space="0"/>
          <w:shd w:val="clear" w:fill="FFFFFF"/>
        </w:rPr>
        <w:t>强化政府托底保障职责，为城乡特困人员提供基本生活、照料服务、疾病治疗和殡葬服务等方面保障，做到应救尽救、应养尽养。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4"/>
          <w:szCs w:val="24"/>
          <w:bdr w:val="none" w:color="auto" w:sz="0" w:space="0"/>
          <w:shd w:val="clear" w:fill="FFFFFF"/>
        </w:rPr>
        <w:t>坚持属地管理。</w:t>
      </w:r>
      <w:r>
        <w:rPr>
          <w:rFonts w:hint="eastAsia" w:ascii="宋体" w:hAnsi="宋体" w:eastAsia="宋体" w:cs="宋体"/>
          <w:i w:val="0"/>
          <w:iCs w:val="0"/>
          <w:caps w:val="0"/>
          <w:color w:val="333333"/>
          <w:spacing w:val="0"/>
          <w:sz w:val="24"/>
          <w:szCs w:val="24"/>
          <w:bdr w:val="none" w:color="auto" w:sz="0" w:space="0"/>
          <w:shd w:val="clear" w:fill="FFFFFF"/>
        </w:rPr>
        <w:t>县级以上地方人民政府统筹做好本行政区域内特困人员救助供养工作，分级管理，落实责任，强化管理服务和资金保障，为特困人员提供规范、适度的救助供养服务。</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4"/>
          <w:szCs w:val="24"/>
          <w:bdr w:val="none" w:color="auto" w:sz="0" w:space="0"/>
          <w:shd w:val="clear" w:fill="FFFFFF"/>
        </w:rPr>
        <w:t>坚持城乡统筹。</w:t>
      </w:r>
      <w:r>
        <w:rPr>
          <w:rFonts w:hint="eastAsia" w:ascii="宋体" w:hAnsi="宋体" w:eastAsia="宋体" w:cs="宋体"/>
          <w:i w:val="0"/>
          <w:iCs w:val="0"/>
          <w:caps w:val="0"/>
          <w:color w:val="333333"/>
          <w:spacing w:val="0"/>
          <w:sz w:val="24"/>
          <w:szCs w:val="24"/>
          <w:bdr w:val="none" w:color="auto" w:sz="0" w:space="0"/>
          <w:shd w:val="clear" w:fill="FFFFFF"/>
        </w:rPr>
        <w:t>健全城乡特困人员救助供养工作管理体制，在政策目标、资金筹集、对象范围、供养标准、经办服务等方面实现城乡统筹，确保城乡特困人员都能获得救助供养服务。</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4"/>
          <w:szCs w:val="24"/>
          <w:bdr w:val="none" w:color="auto" w:sz="0" w:space="0"/>
          <w:shd w:val="clear" w:fill="FFFFFF"/>
        </w:rPr>
        <w:t>坚持适度保障。</w:t>
      </w:r>
      <w:r>
        <w:rPr>
          <w:rFonts w:hint="eastAsia" w:ascii="宋体" w:hAnsi="宋体" w:eastAsia="宋体" w:cs="宋体"/>
          <w:i w:val="0"/>
          <w:iCs w:val="0"/>
          <w:caps w:val="0"/>
          <w:color w:val="333333"/>
          <w:spacing w:val="0"/>
          <w:sz w:val="24"/>
          <w:szCs w:val="24"/>
          <w:bdr w:val="none" w:color="auto" w:sz="0" w:space="0"/>
          <w:shd w:val="clear" w:fill="FFFFFF"/>
        </w:rPr>
        <w:t>立足经济社会发展水平，科学合理制定救助供养标准，加强与其他社会保障制度衔接，实现特困人员救助供养制度保基本、全覆盖、可持续。</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4"/>
          <w:szCs w:val="24"/>
          <w:bdr w:val="none" w:color="auto" w:sz="0" w:space="0"/>
          <w:shd w:val="clear" w:fill="FFFFFF"/>
        </w:rPr>
        <w:t>坚持社会参与。</w:t>
      </w:r>
      <w:r>
        <w:rPr>
          <w:rFonts w:hint="eastAsia" w:ascii="宋体" w:hAnsi="宋体" w:eastAsia="宋体" w:cs="宋体"/>
          <w:i w:val="0"/>
          <w:iCs w:val="0"/>
          <w:caps w:val="0"/>
          <w:color w:val="333333"/>
          <w:spacing w:val="0"/>
          <w:sz w:val="24"/>
          <w:szCs w:val="24"/>
          <w:bdr w:val="none" w:color="auto" w:sz="0" w:space="0"/>
          <w:shd w:val="clear" w:fill="FFFFFF"/>
        </w:rPr>
        <w:t>鼓励、引导、支持社会力量通过承接政府购买服务、慈善捐赠以及提供志愿服务等方式，为特困人员提供服务和帮扶，形成全社会关心、支持、参与特困人员救助供养工作的良好氛围。</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二、制度内容</w:t>
      </w:r>
      <w:r>
        <w:rPr>
          <w:rStyle w:val="5"/>
          <w:rFonts w:hint="eastAsia" w:ascii="宋体" w:hAnsi="宋体" w:eastAsia="宋体" w:cs="宋体"/>
          <w:b/>
          <w:bCs/>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（一）对象范围。</w:t>
      </w:r>
      <w:r>
        <w:rPr>
          <w:rFonts w:hint="eastAsia" w:ascii="楷体_GB2312" w:hAnsi="宋体" w:eastAsia="楷体_GB2312" w:cs="楷体_GB2312"/>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城乡老年人、残疾人以及未满16周岁的未成年人，同时具备以下条件的，应当依法纳入特困人员救助供养范围：</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无劳动能力、无生活来源、无法定赡养抚养扶养义务人或者其法定义务人无履行义务能力。</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具体认定办法由民政部负责制定。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（二）办理程序。</w:t>
      </w:r>
      <w:r>
        <w:rPr>
          <w:rFonts w:hint="eastAsia" w:ascii="楷体_GB2312" w:hAnsi="宋体" w:eastAsia="楷体_GB2312" w:cs="楷体_GB2312"/>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4"/>
          <w:szCs w:val="24"/>
          <w:bdr w:val="none" w:color="auto" w:sz="0" w:space="0"/>
          <w:shd w:val="clear" w:fill="FFFFFF"/>
        </w:rPr>
        <w:t>申请程序。</w:t>
      </w:r>
      <w:r>
        <w:rPr>
          <w:rFonts w:hint="eastAsia" w:ascii="宋体" w:hAnsi="宋体" w:eastAsia="宋体" w:cs="宋体"/>
          <w:i w:val="0"/>
          <w:iCs w:val="0"/>
          <w:caps w:val="0"/>
          <w:color w:val="333333"/>
          <w:spacing w:val="0"/>
          <w:sz w:val="24"/>
          <w:szCs w:val="24"/>
          <w:bdr w:val="none" w:color="auto" w:sz="0" w:space="0"/>
          <w:shd w:val="clear" w:fill="FFFFFF"/>
        </w:rPr>
        <w:t>申请特困人员救助供养，由本人向户籍所在地的乡镇人民政府（街道办事处）提出书面申请，按规定提交相关材料，书面说明劳动能力、生活来源以及赡养、抚养、扶养情况。本人申请有困难的，可以委托村（居）民委员会或者他人代为提出申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乡镇人民政府（街道办事处）以及村（居）民委员会应当及时了解掌握辖区内居民的生活情况，发现符合特困人员救助供养条件的人员，应当告知其救助供养政策，对无民事行为能力等无法自主申请的，应当主动帮助其申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4"/>
          <w:szCs w:val="24"/>
          <w:bdr w:val="none" w:color="auto" w:sz="0" w:space="0"/>
          <w:shd w:val="clear" w:fill="FFFFFF"/>
        </w:rPr>
        <w:t>审核程序。</w:t>
      </w:r>
      <w:r>
        <w:rPr>
          <w:rFonts w:hint="eastAsia" w:ascii="宋体" w:hAnsi="宋体" w:eastAsia="宋体" w:cs="宋体"/>
          <w:i w:val="0"/>
          <w:iCs w:val="0"/>
          <w:caps w:val="0"/>
          <w:color w:val="333333"/>
          <w:spacing w:val="0"/>
          <w:sz w:val="24"/>
          <w:szCs w:val="24"/>
          <w:bdr w:val="none" w:color="auto" w:sz="0" w:space="0"/>
          <w:shd w:val="clear" w:fill="FFFFFF"/>
        </w:rPr>
        <w:t>乡镇人民政府（街道办事处）应当通过入户调查、邻里访问、信函索证、群众评议、信息核查等方式，对申请人的收入状况、财产状况以及其他证明材料等进行调查核实，于20个工作日内提出初审意见，在申请人所在村（社区）公示后，报县级人民政府民政部门审批。申请人及有关单位、组织或者个人应当配合调查，如实提供有关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4"/>
          <w:szCs w:val="24"/>
          <w:bdr w:val="none" w:color="auto" w:sz="0" w:space="0"/>
          <w:shd w:val="clear" w:fill="FFFFFF"/>
        </w:rPr>
        <w:t>审批程序。</w:t>
      </w:r>
      <w:r>
        <w:rPr>
          <w:rFonts w:hint="eastAsia" w:ascii="宋体" w:hAnsi="宋体" w:eastAsia="宋体" w:cs="宋体"/>
          <w:i w:val="0"/>
          <w:iCs w:val="0"/>
          <w:caps w:val="0"/>
          <w:color w:val="333333"/>
          <w:spacing w:val="0"/>
          <w:sz w:val="24"/>
          <w:szCs w:val="24"/>
          <w:bdr w:val="none" w:color="auto" w:sz="0" w:space="0"/>
          <w:shd w:val="clear" w:fill="FFFFFF"/>
        </w:rPr>
        <w:t>县级人民政府民政部门应当全面审查乡镇人民政府（街道办事处）上报的调查材料和审核意见，并随机抽查核实，于20个工作日内作出审批决定。对符合条件的申请予以批准，并在申请人所在村（社区）公布；对不符合条件的申请不予批准，并书面向申请人说明理由。</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4"/>
          <w:szCs w:val="24"/>
          <w:bdr w:val="none" w:color="auto" w:sz="0" w:space="0"/>
          <w:shd w:val="clear" w:fill="FFFFFF"/>
        </w:rPr>
        <w:t>终止程序。</w:t>
      </w:r>
      <w:r>
        <w:rPr>
          <w:rFonts w:hint="eastAsia" w:ascii="宋体" w:hAnsi="宋体" w:eastAsia="宋体" w:cs="宋体"/>
          <w:i w:val="0"/>
          <w:iCs w:val="0"/>
          <w:caps w:val="0"/>
          <w:color w:val="333333"/>
          <w:spacing w:val="0"/>
          <w:sz w:val="24"/>
          <w:szCs w:val="24"/>
          <w:bdr w:val="none" w:color="auto" w:sz="0" w:space="0"/>
          <w:shd w:val="clear" w:fill="FFFFFF"/>
        </w:rPr>
        <w:t>特困人员不再符合救助供养条件的，村（居）民委员会或者供养服务机构应当及时告知乡镇人民政府（街道办事处），由乡镇人民政府（街道办事处）审核并报县级人民政府民政部门核准后，终止救助供养并予以公示。</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县级人民政府民政部门、乡镇人民政府（街道办事处）在工作中发现特困人员不再符合救助供养条件的，应当及时办理终止救助供养手续。特困人员中的未成年人，满16周岁后仍在接受义务教育或在普通高中、中等职业学校就读的，可继续享有救助供养待遇。</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（三）救助供养内容。</w:t>
      </w:r>
      <w:r>
        <w:rPr>
          <w:rFonts w:hint="eastAsia" w:ascii="楷体_GB2312" w:hAnsi="宋体" w:eastAsia="楷体_GB2312" w:cs="楷体_GB2312"/>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特困人员救助供养主要包括以下内容：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4"/>
          <w:szCs w:val="24"/>
          <w:bdr w:val="none" w:color="auto" w:sz="0" w:space="0"/>
          <w:shd w:val="clear" w:fill="FFFFFF"/>
        </w:rPr>
        <w:t>提供基本生活条件。</w:t>
      </w:r>
      <w:r>
        <w:rPr>
          <w:rFonts w:hint="eastAsia" w:ascii="宋体" w:hAnsi="宋体" w:eastAsia="宋体" w:cs="宋体"/>
          <w:i w:val="0"/>
          <w:iCs w:val="0"/>
          <w:caps w:val="0"/>
          <w:color w:val="333333"/>
          <w:spacing w:val="0"/>
          <w:sz w:val="24"/>
          <w:szCs w:val="24"/>
          <w:bdr w:val="none" w:color="auto" w:sz="0" w:space="0"/>
          <w:shd w:val="clear" w:fill="FFFFFF"/>
        </w:rPr>
        <w:t>包括供给粮油、副食品、生活用燃料、服装、被褥等日常生活用品和零用钱。可以通过实物或者现金的方式予以保障。</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4"/>
          <w:szCs w:val="24"/>
          <w:bdr w:val="none" w:color="auto" w:sz="0" w:space="0"/>
          <w:shd w:val="clear" w:fill="FFFFFF"/>
        </w:rPr>
        <w:t>对生活不能自理的给予照料。</w:t>
      </w:r>
      <w:r>
        <w:rPr>
          <w:rFonts w:hint="eastAsia" w:ascii="宋体" w:hAnsi="宋体" w:eastAsia="宋体" w:cs="宋体"/>
          <w:i w:val="0"/>
          <w:iCs w:val="0"/>
          <w:caps w:val="0"/>
          <w:color w:val="333333"/>
          <w:spacing w:val="0"/>
          <w:sz w:val="24"/>
          <w:szCs w:val="24"/>
          <w:bdr w:val="none" w:color="auto" w:sz="0" w:space="0"/>
          <w:shd w:val="clear" w:fill="FFFFFF"/>
        </w:rPr>
        <w:t>包括日常生活、住院期间的必要照料等基本服务。</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4"/>
          <w:szCs w:val="24"/>
          <w:bdr w:val="none" w:color="auto" w:sz="0" w:space="0"/>
          <w:shd w:val="clear" w:fill="FFFFFF"/>
        </w:rPr>
        <w:t>提供疾病治疗。</w:t>
      </w:r>
      <w:r>
        <w:rPr>
          <w:rFonts w:hint="eastAsia" w:ascii="宋体" w:hAnsi="宋体" w:eastAsia="宋体" w:cs="宋体"/>
          <w:i w:val="0"/>
          <w:iCs w:val="0"/>
          <w:caps w:val="0"/>
          <w:color w:val="333333"/>
          <w:spacing w:val="0"/>
          <w:sz w:val="24"/>
          <w:szCs w:val="24"/>
          <w:bdr w:val="none" w:color="auto" w:sz="0" w:space="0"/>
          <w:shd w:val="clear" w:fill="FFFFFF"/>
        </w:rPr>
        <w:t>全额资助参加城乡居民基本医疗保险的个人缴费部分。医疗费用按照基本医疗保险、大病保险和医疗救助等医疗保障制度规定支付后仍有不足的，由救助供养经费予以支持。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4"/>
          <w:szCs w:val="24"/>
          <w:bdr w:val="none" w:color="auto" w:sz="0" w:space="0"/>
          <w:shd w:val="clear" w:fill="FFFFFF"/>
        </w:rPr>
        <w:t>办理丧葬事宜。</w:t>
      </w:r>
      <w:r>
        <w:rPr>
          <w:rFonts w:hint="eastAsia" w:ascii="宋体" w:hAnsi="宋体" w:eastAsia="宋体" w:cs="宋体"/>
          <w:i w:val="0"/>
          <w:iCs w:val="0"/>
          <w:caps w:val="0"/>
          <w:color w:val="333333"/>
          <w:spacing w:val="0"/>
          <w:sz w:val="24"/>
          <w:szCs w:val="24"/>
          <w:bdr w:val="none" w:color="auto" w:sz="0" w:space="0"/>
          <w:shd w:val="clear" w:fill="FFFFFF"/>
        </w:rPr>
        <w:t>特困人员死亡后的丧葬事宜，集中供养的由供养服务机构办理，分散供养的由乡镇人民政府（街道办事处）委托村（居）民委员会或者其亲属办理。丧葬费用从救助供养经费中支出。</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对符合规定标准的住房困难的分散供养特困人员，通过配租公共租赁住房、发放住房租赁补贴、农村危房改造等方式给予住房救助。对在义务教育阶段就学的特困人员，给予教育救助；对在高中教育（含中等职业教育）、普通高等教育阶段就学的特困人员，根据实际情况给予适当教育救助。</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（四）救助供养标准。</w:t>
      </w:r>
      <w:r>
        <w:rPr>
          <w:rFonts w:hint="eastAsia" w:ascii="楷体_GB2312" w:hAnsi="宋体" w:eastAsia="楷体_GB2312" w:cs="楷体_GB2312"/>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特困人员救助供养标准包括基本生活标准和照料护理标准。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基本生活标准应当满足特困人员基本生活所需。照料护理标准应当根据特困人员生活自理能力和服务需求分类制定，体现差异性。</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特困人员救助供养标准由省、自治区、直辖市或者设区的市级人民政府综合考虑地区、城乡差异等因素确定、公布，并根据当地经济社会发展水平和物价变化情况适时调整。民政部、财政部要加强对特困人员救助供养标准制定工作的指导。</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（五）救助供养形式。</w:t>
      </w:r>
      <w:r>
        <w:rPr>
          <w:rFonts w:hint="eastAsia" w:ascii="楷体_GB2312" w:hAnsi="宋体" w:eastAsia="楷体_GB2312" w:cs="楷体_GB2312"/>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特困人员救助供养形式分为在家分散供养和在当地的供养服务机构集中供养。具备生活自理能力的，鼓励其在家分散供养；完全或者部分丧失生活自理能力的，优先为其提供集中供养服务。</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4"/>
          <w:szCs w:val="24"/>
          <w:bdr w:val="none" w:color="auto" w:sz="0" w:space="0"/>
          <w:shd w:val="clear" w:fill="FFFFFF"/>
        </w:rPr>
        <w:t>分散供养。</w:t>
      </w:r>
      <w:r>
        <w:rPr>
          <w:rFonts w:hint="eastAsia" w:ascii="宋体" w:hAnsi="宋体" w:eastAsia="宋体" w:cs="宋体"/>
          <w:i w:val="0"/>
          <w:iCs w:val="0"/>
          <w:caps w:val="0"/>
          <w:color w:val="333333"/>
          <w:spacing w:val="0"/>
          <w:sz w:val="24"/>
          <w:szCs w:val="24"/>
          <w:bdr w:val="none" w:color="auto" w:sz="0" w:space="0"/>
          <w:shd w:val="clear" w:fill="FFFFFF"/>
        </w:rPr>
        <w:t>对分散供养的特困人员，经本人同意，乡镇人民政府（街道办事处）可委托其亲友或村（居）民委员会、供养服务机构、社会组织、社会工作服务机构等提供日常看护、生活照料、住院陪护等服务。有条件的地方，可为分散供养的特困人员提供社区日间照料服务。</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4"/>
          <w:szCs w:val="24"/>
          <w:bdr w:val="none" w:color="auto" w:sz="0" w:space="0"/>
          <w:shd w:val="clear" w:fill="FFFFFF"/>
        </w:rPr>
        <w:t>集中供养。</w:t>
      </w:r>
      <w:r>
        <w:rPr>
          <w:rFonts w:hint="eastAsia" w:ascii="宋体" w:hAnsi="宋体" w:eastAsia="宋体" w:cs="宋体"/>
          <w:i w:val="0"/>
          <w:iCs w:val="0"/>
          <w:caps w:val="0"/>
          <w:color w:val="333333"/>
          <w:spacing w:val="0"/>
          <w:sz w:val="24"/>
          <w:szCs w:val="24"/>
          <w:bdr w:val="none" w:color="auto" w:sz="0" w:space="0"/>
          <w:shd w:val="clear" w:fill="FFFFFF"/>
        </w:rPr>
        <w:t>对需要集中供养的特困人员，由县级人民政府民政部门按照便于管理的原则，就近安排到相应的供养服务机构；未满16周岁的，安置到儿童福利机构。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4"/>
          <w:szCs w:val="24"/>
          <w:bdr w:val="none" w:color="auto" w:sz="0" w:space="0"/>
          <w:shd w:val="clear" w:fill="FFFFFF"/>
        </w:rPr>
        <w:t>供养服务机构管理。</w:t>
      </w:r>
      <w:r>
        <w:rPr>
          <w:rFonts w:hint="eastAsia" w:ascii="宋体" w:hAnsi="宋体" w:eastAsia="宋体" w:cs="宋体"/>
          <w:i w:val="0"/>
          <w:iCs w:val="0"/>
          <w:caps w:val="0"/>
          <w:color w:val="333333"/>
          <w:spacing w:val="0"/>
          <w:sz w:val="24"/>
          <w:szCs w:val="24"/>
          <w:bdr w:val="none" w:color="auto" w:sz="0" w:space="0"/>
          <w:shd w:val="clear" w:fill="FFFFFF"/>
        </w:rPr>
        <w:t>供养服务机构应当依法办理法人登记，建立健全内部管理、安全管理和服务管理等制度，为特困人员提供日常生活照料、送医治疗等基本救助供养服务。有条件的经卫生计生行政部门批准可设立医务室或者护理站。供养服务机构应当根据服务对象人数和照料护理需求，按照一定比例配备工作人员，加强社会工作岗位开发设置，合理配备使用社会工作者。</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三、保障措施</w:t>
      </w:r>
      <w:r>
        <w:rPr>
          <w:rStyle w:val="5"/>
          <w:rFonts w:hint="eastAsia" w:ascii="宋体" w:hAnsi="宋体" w:eastAsia="宋体" w:cs="宋体"/>
          <w:b/>
          <w:bCs/>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（一）加强组织领导。</w:t>
      </w:r>
      <w:r>
        <w:rPr>
          <w:rFonts w:hint="eastAsia" w:ascii="楷体_GB2312" w:hAnsi="宋体" w:eastAsia="楷体_GB2312" w:cs="楷体_GB2312"/>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各地要将特困人员救助供养工作列入政府重要议事日程，将供养服务机构建设纳入经济社会发展总体规划，强化其托底保障功能，进一步完善工作协调机制，切实担负起资金投入、工作条件保障和监督检查责任。民政部门要切实履行主管部门职责，发挥好统筹协调作用，重点加强特困人员救助供养工作日常管理、能力建设，推动相关标准体系完善和信息化建设，实行特困人员“一人一档案”，提升管理服务水平；加强对特困人员救助供养等社会救助工作的绩效评价，将结果送组织部门，作为对地方政府领导班子和有关领导干部综合考核评价的重要参考。卫生计生、教育、住房城乡建设、人力资源社会保障等其他社会救助管理部门要依据职责分工，积极配合民政部门做好特困人员救助供养相关工作，实现社会救助信息互联互通、资源共享，形成齐抓共管、整体推进的工作格局。发展改革部门要将特困人员救助供养纳入相关专项规划，支持供养服务设施建设。财政部门要做好相关资金保障工作。</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（二）做好制度衔接。</w:t>
      </w:r>
      <w:r>
        <w:rPr>
          <w:rFonts w:hint="eastAsia" w:ascii="楷体_GB2312" w:hAnsi="宋体" w:eastAsia="楷体_GB2312" w:cs="楷体_GB2312"/>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各地要统筹做好特困人员救助供养制度与城乡居民基本养老保险、基本医疗保障、最低生活保障、孤儿基本生活保障、社会福利等制度的有效衔接。符合相关条件的特困人员，可同时享受城乡居民基本养老保险、基本医疗保险等社会保险和高龄津贴等社会福利待遇。纳入特困人员救助供养范围的，不再适用最低生活保障政策。纳入孤儿基本生活保障范围的，不再适用特困人员救助供养政策。纳入特困人员救助供养范围的残疾人，不再享受困难残疾人生活补贴和重度残疾人护理补贴。</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（三）强化资金保障。</w:t>
      </w:r>
      <w:r>
        <w:rPr>
          <w:rFonts w:hint="eastAsia" w:ascii="楷体_GB2312" w:hAnsi="宋体" w:eastAsia="楷体_GB2312" w:cs="楷体_GB2312"/>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县级以上地方人民政府要将政府设立的供养服务机构运转费用、特困人员救助供养所需资金列入财政预算。省级人民政府要优化财政支出结构，统筹安排特困人员救助供养资金。中央财政给予适当补助，并重点向特困人员救助供养任务重、财政困难、工作成效突出的地区倾斜。有农村集体经营等收入的地方，可从中安排资金用于特困人员救助供养工作。各地要完善救助供养资金发放机制，确保资金及时足额发放到位。</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（四）加强监督管理。</w:t>
      </w:r>
      <w:r>
        <w:rPr>
          <w:rFonts w:hint="eastAsia" w:ascii="楷体_GB2312" w:hAnsi="宋体" w:eastAsia="楷体_GB2312" w:cs="楷体_GB2312"/>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各地区、各有关部门要将特困人员救助供养制度落实情况作为督查督办的重点内容，定期组织开展专项检查。加强对特困人员救助供养资金管理使用情况的监督检查，严肃查处挤占、挪用、虚报、冒领等违纪违法行为。充分发挥社会监督作用，对公众和媒体发现揭露的问题，要及时查处并公布处理结果。完善责任追究制度，加大行政问责力度，对因责任不落实造成严重后果的单位和个人，要依纪依法追究责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（五）鼓励社会参与。</w:t>
      </w:r>
      <w:r>
        <w:rPr>
          <w:rFonts w:hint="eastAsia" w:ascii="楷体_GB2312" w:hAnsi="宋体" w:eastAsia="楷体_GB2312" w:cs="楷体_GB2312"/>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鼓励群众团体、公益慈善等社会组织、社会工作服务机构和企事业单位、志愿者等社会力量参与特困人员救助供养工作。鼓励运用政府和社会资本合作（PPP）模式，采取公建民营、民办公助等方式，支持供养服务机构建设。加大政府购买服务和项目支持力度，落实各项财政补贴、税收优惠和收费减免等政策，引导、激励公益慈善组织、社会工作服务机构，以及社会力量举办的养老、医疗等服务机构，为特困人员提供专业化个性化服务。</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（六）加强政策宣传。</w:t>
      </w:r>
      <w:r>
        <w:rPr>
          <w:rFonts w:hint="eastAsia" w:ascii="楷体_GB2312" w:hAnsi="宋体" w:eastAsia="楷体_GB2312" w:cs="楷体_GB2312"/>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各地区、各有关部门要采用群众喜闻乐见的形式，大力宣传特困人员救助供养政策，不断提高社会知晓度，积极营造全社会关心关爱特困人员的良好氛围。</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民政部、财政部要加强对本意见执行情况的监督检查，重大情况及时向国务院报告。国务院将适时组织专项督查。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国务院    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2016年2月10日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zNmQzZDMzZTk1ZTE3ZTU4NjFkYzZhM2ZiZjMwYjMifQ=="/>
  </w:docVars>
  <w:rsids>
    <w:rsidRoot w:val="30502BA8"/>
    <w:rsid w:val="30502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2022-12-08T08:21:00Z</dcterms:created>
  <dc:creator>admin</dc:creator>
  <cp:lastModifiedBy>admin</cp:lastModifiedBy>
  <dcterms:modified xsi:type="dcterms:W3CDTF">2022-12-08T08:22:05Z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B3E0DC23C3DE45F493F361F3878BA6CA</vt:lpwstr>
  </property>
</Properties>
</file>