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1504"/>
        <w:gridCol w:w="1504"/>
        <w:gridCol w:w="1504"/>
        <w:gridCol w:w="1504"/>
        <w:gridCol w:w="1252"/>
      </w:tblGrid>
      <w:tr>
        <w:trPr>
          <w:trHeight w:val="1245" w:hRule="atLeast"/>
        </w:trPr>
        <w:tc>
          <w:tcPr>
            <w:tcW w:w="1252" w:type="dxa"/>
          </w:tcPr>
          <w:p>
            <w:pPr>
              <w:pStyle w:val="TableParagraph"/>
              <w:spacing w:line="1226" w:lineRule="exact"/>
              <w:ind w:left="50"/>
              <w:jc w:val="left"/>
              <w:rPr>
                <w:sz w:val="90"/>
              </w:rPr>
            </w:pPr>
            <w:r>
              <w:rPr>
                <w:color w:val="FF0000"/>
                <w:sz w:val="90"/>
              </w:rPr>
              <w:t>枣</w:t>
            </w:r>
          </w:p>
        </w:tc>
        <w:tc>
          <w:tcPr>
            <w:tcW w:w="1504" w:type="dxa"/>
          </w:tcPr>
          <w:p>
            <w:pPr>
              <w:pStyle w:val="TableParagraph"/>
              <w:spacing w:line="1226" w:lineRule="exact"/>
              <w:ind w:left="1"/>
              <w:rPr>
                <w:sz w:val="90"/>
              </w:rPr>
            </w:pPr>
            <w:r>
              <w:rPr>
                <w:color w:val="FF0000"/>
                <w:sz w:val="90"/>
              </w:rPr>
              <w:t>庄</w:t>
            </w:r>
          </w:p>
        </w:tc>
        <w:tc>
          <w:tcPr>
            <w:tcW w:w="1504" w:type="dxa"/>
          </w:tcPr>
          <w:p>
            <w:pPr>
              <w:pStyle w:val="TableParagraph"/>
              <w:spacing w:line="1226" w:lineRule="exact"/>
              <w:ind w:left="3"/>
              <w:rPr>
                <w:sz w:val="90"/>
              </w:rPr>
            </w:pPr>
            <w:r>
              <w:rPr>
                <w:color w:val="FF0000"/>
                <w:sz w:val="90"/>
              </w:rPr>
              <w:t>市</w:t>
            </w:r>
          </w:p>
        </w:tc>
        <w:tc>
          <w:tcPr>
            <w:tcW w:w="1504" w:type="dxa"/>
          </w:tcPr>
          <w:p>
            <w:pPr>
              <w:pStyle w:val="TableParagraph"/>
              <w:spacing w:line="1226" w:lineRule="exact"/>
              <w:ind w:left="4"/>
              <w:rPr>
                <w:sz w:val="90"/>
              </w:rPr>
            </w:pPr>
            <w:r>
              <w:rPr>
                <w:color w:val="FF0000"/>
                <w:sz w:val="90"/>
              </w:rPr>
              <w:t>民</w:t>
            </w:r>
          </w:p>
        </w:tc>
        <w:tc>
          <w:tcPr>
            <w:tcW w:w="1504" w:type="dxa"/>
          </w:tcPr>
          <w:p>
            <w:pPr>
              <w:pStyle w:val="TableParagraph"/>
              <w:spacing w:line="1226" w:lineRule="exact"/>
              <w:ind w:left="6"/>
              <w:rPr>
                <w:sz w:val="90"/>
              </w:rPr>
            </w:pPr>
            <w:r>
              <w:rPr>
                <w:color w:val="FF0000"/>
                <w:sz w:val="90"/>
              </w:rPr>
              <w:t>政</w:t>
            </w:r>
          </w:p>
        </w:tc>
        <w:tc>
          <w:tcPr>
            <w:tcW w:w="1252" w:type="dxa"/>
          </w:tcPr>
          <w:p>
            <w:pPr>
              <w:pStyle w:val="TableParagraph"/>
              <w:spacing w:line="1226" w:lineRule="exact"/>
              <w:ind w:right="45"/>
              <w:jc w:val="right"/>
              <w:rPr>
                <w:sz w:val="90"/>
              </w:rPr>
            </w:pPr>
            <w:r>
              <w:rPr>
                <w:color w:val="FF0000"/>
                <w:sz w:val="90"/>
              </w:rPr>
              <w:t>局</w:t>
            </w:r>
          </w:p>
        </w:tc>
      </w:tr>
      <w:tr>
        <w:trPr>
          <w:trHeight w:val="1245" w:hRule="atLeast"/>
        </w:trPr>
        <w:tc>
          <w:tcPr>
            <w:tcW w:w="1252" w:type="dxa"/>
          </w:tcPr>
          <w:p>
            <w:pPr>
              <w:pStyle w:val="TableParagraph"/>
              <w:spacing w:before="39"/>
              <w:ind w:left="50"/>
              <w:jc w:val="left"/>
              <w:rPr>
                <w:sz w:val="90"/>
              </w:rPr>
            </w:pPr>
            <w:r>
              <w:rPr>
                <w:color w:val="FF0000"/>
                <w:sz w:val="90"/>
              </w:rPr>
              <w:t>枣</w:t>
            </w:r>
          </w:p>
        </w:tc>
        <w:tc>
          <w:tcPr>
            <w:tcW w:w="1504" w:type="dxa"/>
          </w:tcPr>
          <w:p>
            <w:pPr>
              <w:pStyle w:val="TableParagraph"/>
              <w:spacing w:before="39"/>
              <w:ind w:left="1"/>
              <w:rPr>
                <w:sz w:val="90"/>
              </w:rPr>
            </w:pPr>
            <w:r>
              <w:rPr>
                <w:color w:val="FF0000"/>
                <w:sz w:val="90"/>
              </w:rPr>
              <w:t>庄</w:t>
            </w:r>
          </w:p>
        </w:tc>
        <w:tc>
          <w:tcPr>
            <w:tcW w:w="1504" w:type="dxa"/>
          </w:tcPr>
          <w:p>
            <w:pPr>
              <w:pStyle w:val="TableParagraph"/>
              <w:spacing w:before="39"/>
              <w:ind w:left="3"/>
              <w:rPr>
                <w:sz w:val="90"/>
              </w:rPr>
            </w:pPr>
            <w:r>
              <w:rPr>
                <w:color w:val="FF0000"/>
                <w:sz w:val="90"/>
              </w:rPr>
              <w:t>市</w:t>
            </w:r>
          </w:p>
        </w:tc>
        <w:tc>
          <w:tcPr>
            <w:tcW w:w="1504" w:type="dxa"/>
          </w:tcPr>
          <w:p>
            <w:pPr>
              <w:pStyle w:val="TableParagraph"/>
              <w:spacing w:before="39"/>
              <w:ind w:left="4"/>
              <w:rPr>
                <w:sz w:val="90"/>
              </w:rPr>
            </w:pPr>
            <w:r>
              <w:rPr>
                <w:color w:val="FF0000"/>
                <w:sz w:val="90"/>
              </w:rPr>
              <w:t>财</w:t>
            </w:r>
          </w:p>
        </w:tc>
        <w:tc>
          <w:tcPr>
            <w:tcW w:w="1504" w:type="dxa"/>
          </w:tcPr>
          <w:p>
            <w:pPr>
              <w:pStyle w:val="TableParagraph"/>
              <w:spacing w:before="39"/>
              <w:ind w:left="6"/>
              <w:rPr>
                <w:sz w:val="90"/>
              </w:rPr>
            </w:pPr>
            <w:r>
              <w:rPr>
                <w:color w:val="FF0000"/>
                <w:sz w:val="90"/>
              </w:rPr>
              <w:t>政</w:t>
            </w:r>
          </w:p>
        </w:tc>
        <w:tc>
          <w:tcPr>
            <w:tcW w:w="1252" w:type="dxa"/>
          </w:tcPr>
          <w:p>
            <w:pPr>
              <w:pStyle w:val="TableParagraph"/>
              <w:spacing w:before="39"/>
              <w:ind w:right="44"/>
              <w:jc w:val="right"/>
              <w:rPr>
                <w:sz w:val="90"/>
              </w:rPr>
            </w:pPr>
            <w:r>
              <w:rPr>
                <w:color w:val="FF0000"/>
                <w:sz w:val="90"/>
              </w:rPr>
              <w:t>局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7"/>
        <w:ind w:left="1013" w:right="1330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枣民函〔2019〕82 号</w:t>
      </w:r>
    </w:p>
    <w:p>
      <w:pPr>
        <w:pStyle w:val="BodyText"/>
        <w:spacing w:before="5" w:after="1"/>
        <w:rPr>
          <w:rFonts w:ascii="楷体_GB2312"/>
          <w:sz w:val="11"/>
        </w:rPr>
      </w:pPr>
    </w:p>
    <w:p>
      <w:pPr>
        <w:pStyle w:val="BodyText"/>
        <w:spacing w:line="36" w:lineRule="exact"/>
        <w:ind w:left="-20"/>
        <w:rPr>
          <w:rFonts w:ascii="楷体_GB2312"/>
          <w:sz w:val="3"/>
        </w:rPr>
      </w:pPr>
      <w:r>
        <w:rPr>
          <w:rFonts w:ascii="楷体_GB2312"/>
          <w:position w:val="0"/>
          <w:sz w:val="3"/>
        </w:rPr>
        <w:pict>
          <v:group style="width:453.55pt;height:1.8pt;mso-position-horizontal-relative:char;mso-position-vertical-relative:line" coordorigin="0,0" coordsize="9071,36">
            <v:line style="position:absolute" from="0,18" to="9071,18" stroked="true" strokeweight="1.8pt" strokecolor="#ff0000">
              <v:stroke dashstyle="solid"/>
            </v:line>
          </v:group>
        </w:pict>
      </w:r>
      <w:r>
        <w:rPr>
          <w:rFonts w:ascii="楷体_GB2312"/>
          <w:position w:val="0"/>
          <w:sz w:val="3"/>
        </w:rPr>
      </w:r>
    </w:p>
    <w:p>
      <w:pPr>
        <w:pStyle w:val="BodyText"/>
        <w:rPr>
          <w:rFonts w:ascii="楷体_GB2312"/>
        </w:rPr>
      </w:pPr>
    </w:p>
    <w:p>
      <w:pPr>
        <w:pStyle w:val="BodyText"/>
        <w:spacing w:before="7"/>
        <w:rPr>
          <w:rFonts w:ascii="楷体_GB2312"/>
          <w:sz w:val="29"/>
        </w:rPr>
      </w:pPr>
    </w:p>
    <w:p>
      <w:pPr>
        <w:spacing w:line="216" w:lineRule="auto" w:before="0"/>
        <w:ind w:left="1013" w:right="1331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枣庄市民政局、财政局关于规范农村幸福院建设和运行管理的指导意见</w:t>
      </w:r>
    </w:p>
    <w:p>
      <w:pPr>
        <w:pStyle w:val="BodyText"/>
        <w:spacing w:before="10"/>
        <w:rPr>
          <w:rFonts w:ascii="方正小标宋简体"/>
          <w:sz w:val="43"/>
        </w:rPr>
      </w:pPr>
    </w:p>
    <w:p>
      <w:pPr>
        <w:pStyle w:val="BodyText"/>
        <w:ind w:left="111"/>
      </w:pPr>
      <w:r>
        <w:rPr>
          <w:w w:val="95"/>
        </w:rPr>
        <w:t>各区（市）民政局、财政局，高新区社会事业局、财政局：</w:t>
      </w:r>
    </w:p>
    <w:p>
      <w:pPr>
        <w:pStyle w:val="BodyText"/>
        <w:spacing w:line="350" w:lineRule="auto" w:before="190"/>
        <w:ind w:left="111" w:right="429" w:firstLine="640"/>
        <w:jc w:val="both"/>
      </w:pPr>
      <w:r>
        <w:rPr>
          <w:spacing w:val="-5"/>
        </w:rPr>
        <w:t>为有效解决我市部分地区农村幸福院功能定位不准、运行经</w:t>
      </w:r>
      <w:r>
        <w:rPr>
          <w:spacing w:val="-13"/>
        </w:rPr>
        <w:t>费保障不足、管理服务不规范、发挥作用不充分等问题，建立政</w:t>
      </w:r>
      <w:r>
        <w:rPr>
          <w:spacing w:val="-14"/>
        </w:rPr>
        <w:t>府扶得起、村里办得起、农民用得上、服务可持续的农村幸福院</w:t>
      </w:r>
      <w:r>
        <w:rPr>
          <w:spacing w:val="-16"/>
          <w:w w:val="95"/>
        </w:rPr>
        <w:t>长效运行机制，根据《山东省民政厅、财政厅关于规范农村幸福 </w:t>
      </w:r>
      <w:r>
        <w:rPr>
          <w:spacing w:val="-16"/>
        </w:rPr>
        <w:t>院建设和运行管理的指导意见》要求，提出如下指导意见。</w:t>
      </w:r>
    </w:p>
    <w:p>
      <w:pPr>
        <w:pStyle w:val="BodyText"/>
        <w:spacing w:line="350" w:lineRule="auto" w:before="7"/>
        <w:ind w:left="111" w:right="429" w:firstLine="640"/>
      </w:pPr>
      <w:r>
        <w:rPr>
          <w:rFonts w:ascii="黑体" w:eastAsia="黑体" w:hint="eastAsia"/>
          <w:spacing w:val="-11"/>
        </w:rPr>
        <w:t>一、明确功能定位。</w:t>
      </w:r>
      <w:r>
        <w:rPr>
          <w:spacing w:val="-4"/>
        </w:rPr>
        <w:t>农村幸福院不是养老机构，而是政府支</w:t>
      </w:r>
      <w:r>
        <w:rPr>
          <w:spacing w:val="-12"/>
          <w:w w:val="95"/>
        </w:rPr>
        <w:t>持、村级主办、社会参与、互助服务性质的村级老年人公共服务</w:t>
      </w:r>
    </w:p>
    <w:p>
      <w:pPr>
        <w:spacing w:after="0" w:line="350" w:lineRule="auto"/>
        <w:sectPr>
          <w:footerReference w:type="default" r:id="rId5"/>
          <w:type w:val="continuous"/>
          <w:pgSz w:w="11910" w:h="16840"/>
          <w:pgMar w:footer="1402" w:top="1580" w:bottom="1600" w:left="1420" w:right="11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50" w:lineRule="auto" w:before="54"/>
        <w:ind w:left="111" w:right="429"/>
        <w:jc w:val="both"/>
      </w:pPr>
      <w:r>
        <w:rPr>
          <w:spacing w:val="-10"/>
          <w:w w:val="95"/>
        </w:rPr>
        <w:t>设施，主要为农村老年人提供文化娱乐、日间照料等服务，根据 </w:t>
      </w:r>
      <w:r>
        <w:rPr>
          <w:spacing w:val="-15"/>
        </w:rPr>
        <w:t>自身条件和老年人意愿提供就餐服务，为行动不便、生活困难的</w:t>
      </w:r>
      <w:r>
        <w:rPr>
          <w:spacing w:val="-17"/>
        </w:rPr>
        <w:t>老年人提供上门探视、紧急救助和必要的生活服务。具备集中居</w:t>
      </w:r>
      <w:r>
        <w:rPr>
          <w:spacing w:val="-15"/>
        </w:rPr>
        <w:t>住条件、符合安全标准要求的农村幸福院，可安排老年人集中居</w:t>
      </w:r>
      <w:r>
        <w:rPr>
          <w:spacing w:val="-12"/>
        </w:rPr>
        <w:t>住，生活费用由本人或其赡养人承担，有条件的村集体可给予补助。</w:t>
      </w:r>
    </w:p>
    <w:p>
      <w:pPr>
        <w:pStyle w:val="BodyText"/>
        <w:spacing w:line="350" w:lineRule="auto" w:before="9"/>
        <w:ind w:left="111" w:right="270" w:firstLine="640"/>
      </w:pPr>
      <w:r>
        <w:rPr>
          <w:rFonts w:ascii="黑体" w:hAnsi="黑体" w:eastAsia="黑体" w:hint="eastAsia"/>
          <w:spacing w:val="-7"/>
        </w:rPr>
        <w:t>二、因地制宜建设。</w:t>
      </w:r>
      <w:r>
        <w:rPr>
          <w:spacing w:val="-11"/>
        </w:rPr>
        <w:t>各区</w:t>
      </w:r>
      <w:r>
        <w:rPr/>
        <w:t>（市</w:t>
      </w:r>
      <w:r>
        <w:rPr>
          <w:spacing w:val="-24"/>
        </w:rPr>
        <w:t>）</w:t>
      </w:r>
      <w:r>
        <w:rPr>
          <w:spacing w:val="-2"/>
        </w:rPr>
        <w:t>要统筹考虑老年人需求、群</w:t>
      </w:r>
      <w:r>
        <w:rPr>
          <w:spacing w:val="-11"/>
        </w:rPr>
        <w:t>众意愿、村级财力等因素，牢固树立“建为用”的思想，从实际</w:t>
      </w:r>
      <w:r>
        <w:rPr>
          <w:spacing w:val="-17"/>
        </w:rPr>
        <w:t>出发确定农村幸福院建设数量和规模标准，自下而上申报年度幸</w:t>
      </w:r>
      <w:r>
        <w:rPr>
          <w:spacing w:val="-23"/>
          <w:w w:val="95"/>
        </w:rPr>
        <w:t>福院建设计划。农村幸福院的占地面积、建筑面积、床位数量等，  </w:t>
      </w:r>
      <w:r>
        <w:rPr>
          <w:spacing w:val="-24"/>
          <w:w w:val="95"/>
        </w:rPr>
        <w:t>可根据实际灵活掌握，但应当具备《农村幸福院建设与运行规范》</w:t>
      </w:r>
    </w:p>
    <w:p>
      <w:pPr>
        <w:pStyle w:val="BodyText"/>
        <w:spacing w:line="350" w:lineRule="auto" w:before="7"/>
        <w:ind w:left="111" w:right="429"/>
        <w:jc w:val="both"/>
      </w:pPr>
      <w:r>
        <w:rPr/>
        <w:t>（DB37T 3094-2018）规定的临时休息、厨房饮食、文体活动等</w:t>
      </w:r>
      <w:r>
        <w:rPr>
          <w:spacing w:val="-6"/>
          <w:w w:val="95"/>
        </w:rPr>
        <w:t>公共服务功能。鼓励各区</w:t>
      </w:r>
      <w:r>
        <w:rPr>
          <w:w w:val="95"/>
        </w:rPr>
        <w:t>（市</w:t>
      </w:r>
      <w:r>
        <w:rPr>
          <w:spacing w:val="-22"/>
          <w:w w:val="95"/>
        </w:rPr>
        <w:t>）</w:t>
      </w:r>
      <w:r>
        <w:rPr>
          <w:spacing w:val="-6"/>
          <w:w w:val="95"/>
        </w:rPr>
        <w:t>结合新村建设、危房改造、养老 </w:t>
      </w:r>
      <w:r>
        <w:rPr>
          <w:spacing w:val="-13"/>
          <w:w w:val="95"/>
        </w:rPr>
        <w:t>周转房等，统筹建设同时具备集中居住和公共服务功能的新型农 </w:t>
      </w:r>
      <w:r>
        <w:rPr>
          <w:spacing w:val="-14"/>
        </w:rPr>
        <w:t>村幸福院。鼓励个人和家庭开展餐饮、护理等养老服务，当地可根据其服务质量、规模等给予适当支持。</w:t>
      </w:r>
    </w:p>
    <w:p>
      <w:pPr>
        <w:pStyle w:val="BodyText"/>
        <w:spacing w:line="350" w:lineRule="auto" w:before="7"/>
        <w:ind w:left="111" w:right="268" w:firstLine="640"/>
      </w:pPr>
      <w:r>
        <w:rPr>
          <w:rFonts w:ascii="黑体" w:eastAsia="黑体" w:hint="eastAsia"/>
          <w:spacing w:val="-36"/>
          <w:w w:val="95"/>
        </w:rPr>
        <w:t>三、规范管理运行。</w:t>
      </w:r>
      <w:r>
        <w:rPr>
          <w:spacing w:val="-20"/>
          <w:w w:val="95"/>
        </w:rPr>
        <w:t>农村幸福院资产归村集体所有，由村</w:t>
      </w:r>
      <w:r>
        <w:rPr>
          <w:w w:val="95"/>
        </w:rPr>
        <w:t>（居） </w:t>
      </w:r>
      <w:r>
        <w:rPr>
          <w:spacing w:val="-9"/>
        </w:rPr>
        <w:t>委会主办管理。乡镇人民政府</w:t>
      </w:r>
      <w:r>
        <w:rPr/>
        <w:t>（街道办事处</w:t>
      </w:r>
      <w:r>
        <w:rPr>
          <w:spacing w:val="-39"/>
        </w:rPr>
        <w:t>）</w:t>
      </w:r>
      <w:r>
        <w:rPr/>
        <w:t>负责采取多种方式</w:t>
      </w:r>
      <w:r>
        <w:rPr>
          <w:spacing w:val="-13"/>
          <w:w w:val="95"/>
        </w:rPr>
        <w:t>加强对农村幸福院的管理监督，区</w:t>
      </w:r>
      <w:r>
        <w:rPr>
          <w:w w:val="95"/>
        </w:rPr>
        <w:t>（市</w:t>
      </w:r>
      <w:r>
        <w:rPr>
          <w:spacing w:val="-91"/>
          <w:w w:val="95"/>
        </w:rPr>
        <w:t>）</w:t>
      </w:r>
      <w:r>
        <w:rPr>
          <w:w w:val="95"/>
        </w:rPr>
        <w:t>民政部门负责业务指导。 </w:t>
      </w:r>
      <w:r>
        <w:rPr>
          <w:spacing w:val="-9"/>
        </w:rPr>
        <w:t>要通过购买农村公益岗、政府购买服务等方式，为农村幸福院配</w:t>
      </w:r>
      <w:r>
        <w:rPr>
          <w:spacing w:val="-15"/>
        </w:rPr>
        <w:t>备管理服务人员，健全管理服务制度，确保农村幸福院正常持续</w:t>
      </w:r>
    </w:p>
    <w:p>
      <w:pPr>
        <w:spacing w:after="0" w:line="350" w:lineRule="auto"/>
        <w:sectPr>
          <w:pgSz w:w="11910" w:h="16840"/>
          <w:pgMar w:header="0" w:footer="1402" w:top="1580" w:bottom="1600" w:left="14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50" w:lineRule="auto" w:before="54"/>
        <w:ind w:left="111" w:right="109"/>
      </w:pPr>
      <w:r>
        <w:rPr>
          <w:spacing w:val="-4"/>
        </w:rPr>
        <w:t>运行、发挥服务功能。</w:t>
      </w:r>
      <w:r>
        <w:rPr/>
        <w:t>2019</w:t>
      </w:r>
      <w:r>
        <w:rPr>
          <w:spacing w:val="-52"/>
        </w:rPr>
        <w:t> 年 </w:t>
      </w:r>
      <w:r>
        <w:rPr/>
        <w:t>12</w:t>
      </w:r>
      <w:r>
        <w:rPr>
          <w:spacing w:val="-10"/>
        </w:rPr>
        <w:t> 月底前，农村幸福院要在显要</w:t>
      </w:r>
      <w:r>
        <w:rPr>
          <w:spacing w:val="-15"/>
        </w:rPr>
        <w:t>位置公开管理人员、联系方式、服务时间、监督电话，接受村民 </w:t>
      </w:r>
      <w:r>
        <w:rPr>
          <w:spacing w:val="-13"/>
        </w:rPr>
        <w:t>监督。要因地制宜，实行村级组织管理、院委会或村老年协会管 </w:t>
      </w:r>
      <w:r>
        <w:rPr>
          <w:spacing w:val="-12"/>
        </w:rPr>
        <w:t>理、委托专业机构运营等不同管理方式，支持专业养老服务组织 </w:t>
      </w:r>
      <w:r>
        <w:rPr>
          <w:spacing w:val="-14"/>
        </w:rPr>
        <w:t>规模化、连锁化托管运营农村幸福院，积极探索符合农村实际和 </w:t>
      </w:r>
      <w:r>
        <w:rPr>
          <w:spacing w:val="-29"/>
        </w:rPr>
        <w:t>农民意愿的农村养老服务模式。市民政局组织督导组，对各区</w:t>
      </w:r>
      <w:r>
        <w:rPr/>
        <w:t>（市） </w:t>
      </w:r>
      <w:r>
        <w:rPr>
          <w:spacing w:val="-7"/>
        </w:rPr>
        <w:t>农村幸福院发挥作用情况开展督导检查，并将有关问题和整改建 议向各区（市）民政局通报。</w:t>
      </w:r>
    </w:p>
    <w:p>
      <w:pPr>
        <w:pStyle w:val="BodyText"/>
        <w:spacing w:line="350" w:lineRule="auto" w:before="11"/>
        <w:ind w:left="111" w:right="313" w:firstLine="640"/>
      </w:pPr>
      <w:r>
        <w:rPr>
          <w:rFonts w:ascii="黑体" w:eastAsia="黑体" w:hint="eastAsia"/>
          <w:spacing w:val="5"/>
        </w:rPr>
        <w:t>四、实行等级管理。</w:t>
      </w:r>
      <w:r>
        <w:rPr/>
        <w:t>2019</w:t>
      </w:r>
      <w:r>
        <w:rPr>
          <w:spacing w:val="-8"/>
        </w:rPr>
        <w:t> 年底前，各区</w:t>
      </w:r>
      <w:r>
        <w:rPr>
          <w:spacing w:val="5"/>
        </w:rPr>
        <w:t>（</w:t>
      </w:r>
      <w:r>
        <w:rPr>
          <w:spacing w:val="7"/>
        </w:rPr>
        <w:t>市</w:t>
      </w:r>
      <w:r>
        <w:rPr>
          <w:spacing w:val="5"/>
        </w:rPr>
        <w:t>）</w:t>
      </w:r>
      <w:r>
        <w:rPr>
          <w:spacing w:val="4"/>
        </w:rPr>
        <w:t>要对农村幸</w:t>
      </w:r>
      <w:r>
        <w:rPr>
          <w:spacing w:val="-2"/>
        </w:rPr>
        <w:t>福院基本情况和运营状况进行一次全面排查，录入山东养老管理</w:t>
      </w:r>
      <w:r>
        <w:rPr>
          <w:spacing w:val="-12"/>
        </w:rPr>
        <w:t>系统，及时更新数据。应建未建、改变用途、已经拆除的农村幸福院，要分类作出处理，确实无法建设和恢复的，要作出说明， </w:t>
      </w:r>
      <w:r>
        <w:rPr>
          <w:spacing w:val="-16"/>
        </w:rPr>
        <w:t>对蓄意套取财政资金的要严肃查处。在此基础上，区</w:t>
      </w:r>
      <w:r>
        <w:rPr/>
        <w:t>（市</w:t>
      </w:r>
      <w:r>
        <w:rPr>
          <w:spacing w:val="-29"/>
        </w:rPr>
        <w:t>）</w:t>
      </w:r>
      <w:r>
        <w:rPr/>
        <w:t>级民</w:t>
      </w:r>
      <w:r>
        <w:rPr>
          <w:spacing w:val="-5"/>
        </w:rPr>
        <w:t>政部门按照省级制定的农村幸福院等级划分与评定标准，全面组</w:t>
      </w:r>
      <w:r>
        <w:rPr>
          <w:spacing w:val="-13"/>
        </w:rPr>
        <w:t>织开展等级评估和分级分类管理，促进农村幸福院建设管理的规范化、标准化。</w:t>
      </w:r>
    </w:p>
    <w:p>
      <w:pPr>
        <w:pStyle w:val="BodyText"/>
        <w:spacing w:line="350" w:lineRule="auto" w:before="12"/>
        <w:ind w:left="111" w:right="430" w:firstLine="640"/>
        <w:jc w:val="both"/>
      </w:pPr>
      <w:r>
        <w:rPr>
          <w:rFonts w:ascii="黑体" w:eastAsia="黑体" w:hint="eastAsia"/>
          <w:spacing w:val="-14"/>
          <w:w w:val="95"/>
        </w:rPr>
        <w:t>五、强化政策扶持。</w:t>
      </w:r>
      <w:r>
        <w:rPr>
          <w:w w:val="95"/>
        </w:rPr>
        <w:t>建立农村幸福院等级评定与运营奖补挂 </w:t>
      </w:r>
      <w:r>
        <w:rPr>
          <w:spacing w:val="-11"/>
        </w:rPr>
        <w:t>钩机制，省财政统筹省级养老服务业发展资金，根据农村幸福院等级评估情况、实际服务老年人数量及日常运营服务质量等，对</w:t>
      </w:r>
      <w:r>
        <w:rPr>
          <w:spacing w:val="-8"/>
        </w:rPr>
        <w:t>运营状况良好的农村幸福院给予适当奖补，发挥资金激励引导作</w:t>
      </w:r>
      <w:r>
        <w:rPr>
          <w:spacing w:val="-11"/>
        </w:rPr>
        <w:t>用，调动各级开展农村养老服务的积极性，具体奖补办法由省民</w:t>
      </w:r>
    </w:p>
    <w:p>
      <w:pPr>
        <w:spacing w:after="0" w:line="350" w:lineRule="auto"/>
        <w:jc w:val="both"/>
        <w:sectPr>
          <w:pgSz w:w="11910" w:h="16840"/>
          <w:pgMar w:header="0" w:footer="1402" w:top="1580" w:bottom="1600" w:left="14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50" w:lineRule="auto" w:before="54"/>
        <w:ind w:left="111" w:right="430"/>
        <w:jc w:val="both"/>
      </w:pPr>
      <w:r>
        <w:rPr>
          <w:spacing w:val="-11"/>
        </w:rPr>
        <w:t>政厅、省财政厅另行研究制定。市民政局、市财政局结合省级奖</w:t>
      </w:r>
      <w:r>
        <w:rPr>
          <w:spacing w:val="-16"/>
        </w:rPr>
        <w:t>补政策和我市实际，研究制定我市具体奖补办法，加大对农村幸</w:t>
      </w:r>
      <w:r>
        <w:rPr>
          <w:spacing w:val="-16"/>
          <w:w w:val="95"/>
        </w:rPr>
        <w:t>福院的支持力度，通过实行建设和运营补贴、政府购买服务、委 </w:t>
      </w:r>
      <w:r>
        <w:rPr>
          <w:spacing w:val="-16"/>
        </w:rPr>
        <w:t>托运营等方式，促进农村幸福院改进服务、长效运行。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125.760002pt;margin-top:16.933125pt;width:123.15pt;height:121.7pt;mso-position-horizontal-relative:page;mso-position-vertical-relative:paragraph;z-index:-251656192;mso-wrap-distance-left:0;mso-wrap-distance-right:0" coordorigin="2515,339" coordsize="2463,2434">
            <v:shape style="position:absolute;left:2515;top:338;width:2463;height:2434" type="#_x0000_t75" stroked="false">
              <v:imagedata r:id="rId6" o:title=""/>
            </v:shape>
            <v:shape style="position:absolute;left:2515;top:338;width:2463;height:243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3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枣庄市民政局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44.160004pt;margin-top:13.933125pt;width:134.550pt;height:128.65pt;mso-position-horizontal-relative:page;mso-position-vertical-relative:paragraph;z-index:-251654144;mso-wrap-distance-left:0;mso-wrap-distance-right:0" coordorigin="6883,279" coordsize="2691,2573">
            <v:shape style="position:absolute;left:6883;top:278;width:2535;height:2573" type="#_x0000_t75" stroked="false">
              <v:imagedata r:id="rId7" o:title=""/>
            </v:shape>
            <v:shape style="position:absolute;left:6883;top:278;width:2691;height:25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7"/>
                      </w:rPr>
                    </w:pPr>
                  </w:p>
                  <w:p>
                    <w:pPr>
                      <w:spacing w:line="350" w:lineRule="auto" w:before="0"/>
                      <w:ind w:left="52" w:right="0" w:firstLine="297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枣庄市财政局2019</w:t>
                    </w:r>
                    <w:r>
                      <w:rPr>
                        <w:spacing w:val="-55"/>
                        <w:sz w:val="32"/>
                      </w:rPr>
                      <w:t> 年 </w:t>
                    </w:r>
                    <w:r>
                      <w:rPr>
                        <w:sz w:val="32"/>
                      </w:rPr>
                      <w:t>11</w:t>
                    </w:r>
                    <w:r>
                      <w:rPr>
                        <w:spacing w:val="-54"/>
                        <w:sz w:val="32"/>
                      </w:rPr>
                      <w:t> 月 </w:t>
                    </w:r>
                    <w:r>
                      <w:rPr>
                        <w:sz w:val="32"/>
                      </w:rPr>
                      <w:t>12</w:t>
                    </w:r>
                    <w:r>
                      <w:rPr>
                        <w:spacing w:val="-49"/>
                        <w:sz w:val="32"/>
                      </w:rPr>
                      <w:t> 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header="0" w:footer="1402" w:top="1580" w:bottom="1600" w:left="14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  <w:font w:name="楷体_GB2312">
    <w:altName w:val="楷体_GB2312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600006pt;margin-top:760.817505pt;width:32pt;height:14pt;mso-position-horizontal-relative:page;mso-position-vertical-relative:page;z-index:-25179340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1186" w:lineRule="exact"/>
      <w:jc w:val="center"/>
    </w:pPr>
    <w:rPr>
      <w:rFonts w:ascii="方正小标宋简体" w:hAnsi="方正小标宋简体" w:eastAsia="方正小标宋简体" w:cs="方正小标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</dc:creator>
  <dcterms:created xsi:type="dcterms:W3CDTF">2020-07-06T01:55:35Z</dcterms:created>
  <dcterms:modified xsi:type="dcterms:W3CDTF">2020-07-06T01:55:35Z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2020-07-06T00:00:00Z</vt:filetime>
  </property>
</Properties>
</file>