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《关于做好2022年度财政衔接推进乡村振兴补助资金使用管理工作的通知》解读</w:t>
      </w:r>
    </w:p>
    <w:bookmarkEnd w:id="0"/>
    <w:p>
      <w:pPr>
        <w:overflowPunct w:val="0"/>
        <w:spacing w:line="600" w:lineRule="exact"/>
        <w:ind w:firstLine="880" w:firstLineChars="20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overflowPunct w:val="0"/>
        <w:spacing w:line="600" w:lineRule="exact"/>
        <w:ind w:firstLine="640" w:firstLineChars="200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问：各级财政衔接资金使用方向上需要注意些什么，哪些方面是明确不支持使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用的，哪些方面是鼓励使用的？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一、财政衔接资金明确不支持的使用方向</w:t>
      </w:r>
    </w:p>
    <w:p>
      <w:pPr>
        <w:numPr>
          <w:ilvl w:val="0"/>
          <w:numId w:val="1"/>
        </w:numPr>
        <w:overflowPunct w:val="0"/>
        <w:spacing w:line="600" w:lineRule="exact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低保、医保、养老保险、急难救助等综合保障措施，通过原资金渠道支持。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教育、卫生、养老服务、文化等农村基本公共服务通过原资金渠道支持。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”以上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原资金渠道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是指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脱贫攻坚期之前的原资金渠道。</w:t>
      </w:r>
    </w:p>
    <w:p>
      <w:pPr>
        <w:numPr>
          <w:ilvl w:val="0"/>
          <w:numId w:val="1"/>
        </w:numPr>
        <w:overflowPunct w:val="0"/>
        <w:spacing w:line="600" w:lineRule="exact"/>
        <w:ind w:left="0" w:leftChars="0" w:firstLine="0" w:firstLineChars="0"/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监测预警工作经费通过各级部门预算安排。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  <w:lang w:eastAsia="zh-CN"/>
        </w:rPr>
        <w:t>含脱贫户缴纳医疗基本保险费、养老保险费、医疗救助，还有教育系统的给与脱贫户子女的教育资助政策等，村内修文化广场、搞文娱活动等不能用衔接资金，只能从有关行业主管部门的专项资金里争取。</w:t>
      </w:r>
    </w:p>
    <w:p>
      <w:pPr>
        <w:overflowPunct w:val="0"/>
        <w:spacing w:line="600" w:lineRule="exact"/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（3）其他支出。</w:t>
      </w:r>
      <w:r>
        <w:rPr>
          <w:rFonts w:hint="eastAsia" w:ascii="仿宋_GB2312" w:hAnsi="宋体" w:eastAsia="仿宋_GB2312"/>
          <w:b/>
          <w:bCs/>
          <w:sz w:val="32"/>
          <w:szCs w:val="32"/>
          <w:u w:val="none"/>
          <w:lang w:eastAsia="zh-CN"/>
        </w:rPr>
        <w:t>严禁用于：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中央和省财政衔接资金严格按照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山东省财政厅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山东省乡村振兴局等5部门联合印发&lt;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山东省财政衔接推进乡村振兴补助资金管理办法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&gt;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的通知》（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财农〔2021〕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号）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要求使用管理。各级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衔接资金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均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不得用于与巩固拓展脱贫攻坚成果和衔接推进乡村振兴无关的支出，包括：</w:t>
      </w:r>
      <w:r>
        <w:rPr>
          <w:rFonts w:hint="eastAsia" w:ascii="仿宋_GB2312" w:hAnsi="宋体" w:eastAsia="仿宋_GB2312"/>
          <w:b/>
          <w:bCs/>
          <w:sz w:val="32"/>
          <w:szCs w:val="32"/>
          <w:u w:val="none"/>
        </w:rPr>
        <w:t>单位基本支出、交通工具及通讯设备、修建楼堂馆所、各种奖金津贴和福利补助、偿还债务和垫资等。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u w:val="wav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同时，根据财政部和国务院扶贫办联合发文：《关于做好202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年财政专项扶贫资金管理、贫困县涉农资金整合试点及资产收益扶贫等工作的通知》（财农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〔202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4号），不得将财政专项扶贫资金和其他整合涉农资金用于美化、亮化、绿化等各类“造景工程”、形象工程。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财政衔接资金明确支持的使用方向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培育和壮大特色优势产业并逐年提高资金占比，支持农业品种培优、品质提升、品牌打造。推动产销对接和消费帮扶，解决农产品“卖难”问题。支持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</w:rPr>
        <w:t>必要的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水、电、路、网、仓储物流等农业生产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</w:rPr>
        <w:t>配套基础设施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建设。支持脱贫村发展壮大村级集体经济。</w:t>
      </w:r>
    </w:p>
    <w:p>
      <w:pPr>
        <w:overflowPunct w:val="0"/>
        <w:spacing w:line="600" w:lineRule="exact"/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但是，不能用于没有带动脱贫户就业或产业发展的项目；不鼓励简单购买资产的项目（主要是指在大企业里购买资产，更像是锦上添花，对于新的发展没有助力的项目）；不能实施债权类项目，或形式类似的资产收益项目。严禁债权类项目，不支持与农无关的资产收益类项目。</w:t>
      </w:r>
    </w:p>
    <w:p>
      <w:pPr>
        <w:overflowPunct w:val="0"/>
        <w:spacing w:line="600" w:lineRule="exact"/>
        <w:ind w:firstLine="640" w:firstLineChars="200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</w:rPr>
        <w:t>补齐必要的农村人居环境整治和小型公益性基础设施建设短板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</w:rPr>
        <w:t>主要包括村内道路、饮水、垃圾清运、生活污水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处理等小型公益性生活设施。教育、卫生、养老服务、文化等农村基本公共服务通过原</w:t>
      </w:r>
      <w:r>
        <w:rPr>
          <w:rFonts w:ascii="仿宋_GB2312" w:hAnsi="宋体" w:eastAsia="仿宋_GB2312"/>
          <w:b w:val="0"/>
          <w:bCs w:val="0"/>
          <w:sz w:val="32"/>
          <w:szCs w:val="32"/>
        </w:rPr>
        <w:t>资金渠道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支持</w:t>
      </w:r>
      <w:r>
        <w:rPr>
          <w:rFonts w:ascii="仿宋_GB2312" w:hAnsi="宋体" w:eastAsia="仿宋_GB2312"/>
          <w:b w:val="0"/>
          <w:bCs w:val="0"/>
          <w:sz w:val="32"/>
          <w:szCs w:val="32"/>
        </w:rPr>
        <w:t>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4E9FC"/>
    <w:multiLevelType w:val="singleLevel"/>
    <w:tmpl w:val="2EC4E9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NTdiOWVhMGIxMTU2MmExODQ4MzA2MjcyMTRlZDcifQ=="/>
  </w:docVars>
  <w:rsids>
    <w:rsidRoot w:val="00000000"/>
    <w:rsid w:val="032A4C70"/>
    <w:rsid w:val="06922615"/>
    <w:rsid w:val="0BA94BA0"/>
    <w:rsid w:val="0D1E160E"/>
    <w:rsid w:val="126D59ED"/>
    <w:rsid w:val="14302302"/>
    <w:rsid w:val="17CC0594"/>
    <w:rsid w:val="17F02536"/>
    <w:rsid w:val="1A50725A"/>
    <w:rsid w:val="1D616CDE"/>
    <w:rsid w:val="24C06D8A"/>
    <w:rsid w:val="2AF754D0"/>
    <w:rsid w:val="2D771923"/>
    <w:rsid w:val="2DE73F83"/>
    <w:rsid w:val="32FB3683"/>
    <w:rsid w:val="3BB27C1A"/>
    <w:rsid w:val="3D7A749C"/>
    <w:rsid w:val="49F7299F"/>
    <w:rsid w:val="4AAF5028"/>
    <w:rsid w:val="4C7E259C"/>
    <w:rsid w:val="4CE36F4D"/>
    <w:rsid w:val="603B4F3C"/>
    <w:rsid w:val="62123462"/>
    <w:rsid w:val="63A12E01"/>
    <w:rsid w:val="67C219E5"/>
    <w:rsid w:val="6B59096C"/>
    <w:rsid w:val="71634196"/>
    <w:rsid w:val="73AD7AA7"/>
    <w:rsid w:val="7B354F51"/>
    <w:rsid w:val="7E4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920</Characters>
  <Lines>0</Lines>
  <Paragraphs>0</Paragraphs>
  <TotalTime>14</TotalTime>
  <ScaleCrop>false</ScaleCrop>
  <LinksUpToDate>false</LinksUpToDate>
  <CharactersWithSpaces>921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2022-09-20T07:36:00Z</dcterms:created>
  <dc:creator>Administrator</dc:creator>
  <cp:lastModifiedBy>你若安好我便不打扰</cp:lastModifiedBy>
  <dcterms:modified xsi:type="dcterms:W3CDTF">2022-09-21T01:22:10Z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0DFC7DF12DD242CE90B2E8A9D1163A79</vt:lpwstr>
  </property>
</Properties>
</file>