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枣庄高新区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创业导师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区直各孵化器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为进一步提升我区科技企业孵化器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的管理能力和服务水平，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更好服务我区各级各类孵化器、众创空间在孵企业，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培育更多科技型中小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企业和国家高新技术企业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，有效推动科技企业孵化器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创业导师行动的开展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国家科技部、省科技厅、市科技局相关文件要求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枣庄高新区第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名单，有效期三年。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附件：枣庄高新区第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批创业导师名单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枣庄高新区科学技术局         枣庄高新区科技创新中心</w:t>
      </w:r>
    </w:p>
    <w:p>
      <w:pPr>
        <w:ind w:left="2940" w:leftChars="0" w:firstLine="42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2021年8月6日</w:t>
      </w:r>
    </w:p>
    <w:p>
      <w:pPr>
        <w:jc w:val="both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枣庄高新区第四批创业导师名单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tbl>
      <w:tblPr>
        <w:tblStyle w:val="4"/>
        <w:tblW w:w="10065" w:type="dxa"/>
        <w:tblInd w:w="-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45"/>
        <w:gridCol w:w="603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单位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卢振宗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  <w:t>山东天衢精密工业有限公司董事长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刘青平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山东鑫诺生物工程有限公司总经理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乔文健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枣庄睿诺光电信息有限公司副总经理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孔祥明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枣庄飞秒根技术研究院有限公司副总经理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何荣文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山东科盛科技孵化器有限公司总经理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雯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山东天瀚新能源科技有限公司副总经理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褚亚楠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山东九洲齐力集团有限公司总经理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  强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山东中泰达技术孵化有限公司总经理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张铠苑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lang w:val="en-US" w:eastAsia="zh-CN" w:bidi="ar-SA"/>
              </w:rPr>
              <w:t>山东中网银新投资管理有限公司投资总监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金融类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2663"/>
    <w:rsid w:val="1FE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80"/>
    </w:pPr>
    <w:rPr>
      <w:rFonts w:ascii="仿宋_GB2312" w:hAnsi="创艺简标宋" w:eastAsia="仿宋_GB2312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2021-10-17T02:16:00Z</dcterms:created>
  <dc:creator>Administrator</dc:creator>
  <cp:lastModifiedBy>Nicole</cp:lastModifiedBy>
  <dcterms:modified xsi:type="dcterms:W3CDTF">2021-10-17T04:08:31Z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FC6009AFD1324B5587EA23189BE48734</vt:lpwstr>
  </property>
</Properties>
</file>