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930C8">
      <w:pPr>
        <w:pStyle w:val="9"/>
        <w:overflowPunct w:val="0"/>
        <w:jc w:val="both"/>
        <w:rPr>
          <w:rFonts w:ascii="黑体" w:hAnsi="黑体" w:eastAsia="黑体" w:cs="黑体"/>
          <w:sz w:val="44"/>
          <w:szCs w:val="44"/>
          <w:highlight w:val="none"/>
        </w:rPr>
      </w:pPr>
    </w:p>
    <w:p w14:paraId="5B55737A">
      <w:pPr>
        <w:keepNext w:val="0"/>
        <w:keepLines w:val="0"/>
        <w:pageBreakBefore w:val="0"/>
        <w:widowControl w:val="0"/>
        <w:kinsoku/>
        <w:wordWrap/>
        <w:overflowPunct w:val="0"/>
        <w:topLinePunct w:val="0"/>
        <w:autoSpaceDE w:val="0"/>
        <w:autoSpaceDN w:val="0"/>
        <w:bidi w:val="0"/>
        <w:adjustRightInd w:val="0"/>
        <w:snapToGrid w:val="0"/>
        <w:spacing w:line="70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rPr>
      </w:pPr>
    </w:p>
    <w:p w14:paraId="24C31BFA">
      <w:pPr>
        <w:keepNext w:val="0"/>
        <w:keepLines w:val="0"/>
        <w:pageBreakBefore w:val="0"/>
        <w:widowControl w:val="0"/>
        <w:kinsoku/>
        <w:wordWrap/>
        <w:overflowPunct w:val="0"/>
        <w:topLinePunct w:val="0"/>
        <w:autoSpaceDE w:val="0"/>
        <w:autoSpaceDN w:val="0"/>
        <w:bidi w:val="0"/>
        <w:adjustRightInd w:val="0"/>
        <w:snapToGrid w:val="0"/>
        <w:spacing w:line="70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rPr>
      </w:pPr>
    </w:p>
    <w:p w14:paraId="3818DCE1">
      <w:pPr>
        <w:keepNext w:val="0"/>
        <w:keepLines w:val="0"/>
        <w:pageBreakBefore w:val="0"/>
        <w:widowControl w:val="0"/>
        <w:kinsoku/>
        <w:wordWrap/>
        <w:overflowPunct w:val="0"/>
        <w:topLinePunct w:val="0"/>
        <w:autoSpaceDE w:val="0"/>
        <w:autoSpaceDN w:val="0"/>
        <w:bidi w:val="0"/>
        <w:adjustRightInd w:val="0"/>
        <w:snapToGrid w:val="0"/>
        <w:spacing w:line="70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rPr>
      </w:pPr>
      <w:r>
        <w:rPr>
          <w:rFonts w:hint="eastAsia" w:ascii="方正小标宋简体" w:hAnsi="方正小标宋简体" w:eastAsia="方正小标宋简体" w:cs="方正小标宋简体"/>
          <w:sz w:val="44"/>
          <w:szCs w:val="44"/>
          <w:highlight w:val="none"/>
          <w:lang w:val="en-US"/>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lang w:val="en-US"/>
        </w:rPr>
        <w:t>年度</w:t>
      </w:r>
      <w:r>
        <w:rPr>
          <w:rFonts w:hint="eastAsia" w:ascii="方正小标宋简体" w:hAnsi="方正小标宋简体" w:eastAsia="方正小标宋简体" w:cs="方正小标宋简体"/>
          <w:sz w:val="44"/>
          <w:szCs w:val="44"/>
          <w:highlight w:val="none"/>
          <w:lang w:val="en-US" w:eastAsia="zh-CN"/>
        </w:rPr>
        <w:t>枣庄市高新区人力资源经费</w:t>
      </w:r>
      <w:r>
        <w:rPr>
          <w:rFonts w:hint="eastAsia" w:ascii="方正小标宋简体" w:hAnsi="方正小标宋简体" w:eastAsia="方正小标宋简体" w:cs="方正小标宋简体"/>
          <w:sz w:val="44"/>
          <w:szCs w:val="44"/>
          <w:highlight w:val="none"/>
          <w:lang w:val="en-US"/>
        </w:rPr>
        <w:t>项目</w:t>
      </w:r>
    </w:p>
    <w:p w14:paraId="31FC2225">
      <w:pPr>
        <w:keepNext w:val="0"/>
        <w:keepLines w:val="0"/>
        <w:pageBreakBefore w:val="0"/>
        <w:widowControl w:val="0"/>
        <w:kinsoku/>
        <w:wordWrap/>
        <w:overflowPunct w:val="0"/>
        <w:topLinePunct w:val="0"/>
        <w:autoSpaceDE w:val="0"/>
        <w:autoSpaceDN w:val="0"/>
        <w:bidi w:val="0"/>
        <w:adjustRightInd w:val="0"/>
        <w:snapToGrid w:val="0"/>
        <w:spacing w:line="700" w:lineRule="exact"/>
        <w:ind w:firstLine="0" w:firstLineChars="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rPr>
        <w:t>绩效评价</w:t>
      </w:r>
      <w:r>
        <w:rPr>
          <w:rFonts w:hint="eastAsia" w:ascii="方正小标宋简体" w:hAnsi="方正小标宋简体" w:eastAsia="方正小标宋简体" w:cs="方正小标宋简体"/>
          <w:sz w:val="44"/>
          <w:szCs w:val="44"/>
          <w:highlight w:val="none"/>
        </w:rPr>
        <w:t>报告</w:t>
      </w:r>
    </w:p>
    <w:p w14:paraId="362562BC">
      <w:pPr>
        <w:pStyle w:val="9"/>
        <w:keepNext w:val="0"/>
        <w:keepLines w:val="0"/>
        <w:pageBreakBefore w:val="0"/>
        <w:widowControl w:val="0"/>
        <w:kinsoku/>
        <w:wordWrap/>
        <w:overflowPunct w:val="0"/>
        <w:topLinePunct w:val="0"/>
        <w:autoSpaceDE w:val="0"/>
        <w:autoSpaceDN w:val="0"/>
        <w:bidi w:val="0"/>
        <w:adjustRightInd w:val="0"/>
        <w:snapToGrid w:val="0"/>
        <w:spacing w:line="700" w:lineRule="exact"/>
        <w:ind w:firstLine="0" w:firstLineChars="0"/>
        <w:jc w:val="center"/>
        <w:textAlignment w:val="auto"/>
        <w:rPr>
          <w:rFonts w:ascii="黑体" w:hAnsi="黑体" w:eastAsia="黑体" w:cs="黑体"/>
          <w:sz w:val="44"/>
          <w:szCs w:val="44"/>
          <w:highlight w:val="none"/>
        </w:rPr>
      </w:pPr>
    </w:p>
    <w:p w14:paraId="0B6D480E">
      <w:pPr>
        <w:pStyle w:val="9"/>
        <w:overflowPunct w:val="0"/>
        <w:jc w:val="center"/>
        <w:rPr>
          <w:rFonts w:ascii="黑体" w:hAnsi="黑体" w:eastAsia="黑体" w:cs="黑体"/>
          <w:sz w:val="44"/>
          <w:szCs w:val="44"/>
          <w:highlight w:val="none"/>
        </w:rPr>
      </w:pPr>
    </w:p>
    <w:p w14:paraId="7FE586A4">
      <w:pPr>
        <w:pStyle w:val="9"/>
        <w:overflowPunct w:val="0"/>
        <w:jc w:val="center"/>
        <w:rPr>
          <w:rFonts w:ascii="黑体" w:hAnsi="黑体" w:eastAsia="黑体" w:cs="黑体"/>
          <w:sz w:val="44"/>
          <w:szCs w:val="44"/>
          <w:highlight w:val="none"/>
        </w:rPr>
      </w:pPr>
    </w:p>
    <w:p w14:paraId="30FEAD7E">
      <w:pPr>
        <w:pStyle w:val="9"/>
        <w:overflowPunct w:val="0"/>
        <w:jc w:val="center"/>
        <w:rPr>
          <w:rFonts w:ascii="黑体" w:hAnsi="黑体" w:eastAsia="黑体" w:cs="黑体"/>
          <w:sz w:val="44"/>
          <w:szCs w:val="44"/>
          <w:highlight w:val="none"/>
        </w:rPr>
      </w:pPr>
    </w:p>
    <w:p w14:paraId="7377C971">
      <w:pPr>
        <w:pStyle w:val="9"/>
        <w:overflowPunct w:val="0"/>
        <w:jc w:val="center"/>
        <w:rPr>
          <w:rFonts w:ascii="黑体" w:hAnsi="黑体" w:eastAsia="黑体" w:cs="黑体"/>
          <w:sz w:val="44"/>
          <w:szCs w:val="44"/>
          <w:highlight w:val="none"/>
        </w:rPr>
      </w:pPr>
    </w:p>
    <w:p w14:paraId="6DD0AF5C">
      <w:pPr>
        <w:pStyle w:val="9"/>
        <w:overflowPunct w:val="0"/>
        <w:jc w:val="center"/>
        <w:rPr>
          <w:rFonts w:ascii="黑体" w:hAnsi="黑体" w:eastAsia="黑体" w:cs="黑体"/>
          <w:sz w:val="44"/>
          <w:szCs w:val="44"/>
          <w:highlight w:val="none"/>
        </w:rPr>
      </w:pPr>
    </w:p>
    <w:p w14:paraId="1A359708">
      <w:pPr>
        <w:pStyle w:val="9"/>
        <w:overflowPunct w:val="0"/>
        <w:jc w:val="center"/>
        <w:rPr>
          <w:rFonts w:ascii="黑体" w:hAnsi="黑体" w:eastAsia="黑体" w:cs="黑体"/>
          <w:sz w:val="44"/>
          <w:szCs w:val="44"/>
          <w:highlight w:val="none"/>
        </w:rPr>
      </w:pPr>
    </w:p>
    <w:p w14:paraId="232F7AE5">
      <w:pPr>
        <w:pStyle w:val="9"/>
        <w:overflowPunct w:val="0"/>
        <w:jc w:val="both"/>
        <w:rPr>
          <w:rFonts w:ascii="黑体" w:hAnsi="黑体" w:eastAsia="黑体" w:cs="黑体"/>
          <w:sz w:val="44"/>
          <w:szCs w:val="44"/>
          <w:highlight w:val="none"/>
        </w:rPr>
      </w:pPr>
    </w:p>
    <w:p w14:paraId="37F0510C">
      <w:pPr>
        <w:pStyle w:val="6"/>
      </w:pPr>
    </w:p>
    <w:p w14:paraId="4BB2FAB6">
      <w:pPr>
        <w:pStyle w:val="6"/>
      </w:pPr>
    </w:p>
    <w:p w14:paraId="3F4FDFD0">
      <w:pPr>
        <w:pStyle w:val="6"/>
      </w:pPr>
    </w:p>
    <w:p w14:paraId="5DA8BDA9">
      <w:pPr>
        <w:pStyle w:val="20"/>
        <w:keepNext w:val="0"/>
        <w:keepLines w:val="0"/>
        <w:pageBreakBefore w:val="0"/>
        <w:widowControl w:val="0"/>
        <w:kinsoku/>
        <w:wordWrap/>
        <w:overflowPunct/>
        <w:topLinePunct w:val="0"/>
        <w:autoSpaceDE w:val="0"/>
        <w:autoSpaceDN w:val="0"/>
        <w:bidi w:val="0"/>
        <w:adjustRightInd w:val="0"/>
        <w:snapToGrid w:val="0"/>
        <w:spacing w:line="700" w:lineRule="exact"/>
        <w:ind w:firstLine="640" w:firstLineChars="200"/>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主管</w:t>
      </w:r>
      <w:r>
        <w:rPr>
          <w:rFonts w:hint="eastAsia" w:ascii="黑体" w:hAnsi="黑体" w:eastAsia="黑体" w:cs="黑体"/>
          <w:sz w:val="32"/>
          <w:szCs w:val="32"/>
          <w:highlight w:val="none"/>
          <w:lang w:val="en-US" w:eastAsia="zh-CN"/>
        </w:rPr>
        <w:t>部门</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枣庄市</w:t>
      </w:r>
      <w:r>
        <w:rPr>
          <w:rFonts w:hint="eastAsia" w:ascii="黑体" w:hAnsi="黑体" w:eastAsia="黑体" w:cs="黑体"/>
          <w:sz w:val="32"/>
          <w:szCs w:val="32"/>
          <w:highlight w:val="none"/>
          <w:lang w:val="en-US" w:eastAsia="zh-CN"/>
        </w:rPr>
        <w:t>高新区社会事务综合服务中心</w:t>
      </w:r>
    </w:p>
    <w:p w14:paraId="3DAE5CF7">
      <w:pPr>
        <w:pStyle w:val="20"/>
        <w:keepNext w:val="0"/>
        <w:keepLines w:val="0"/>
        <w:pageBreakBefore w:val="0"/>
        <w:widowControl w:val="0"/>
        <w:kinsoku/>
        <w:wordWrap/>
        <w:overflowPunct/>
        <w:topLinePunct w:val="0"/>
        <w:autoSpaceDE w:val="0"/>
        <w:autoSpaceDN w:val="0"/>
        <w:bidi w:val="0"/>
        <w:adjustRightInd w:val="0"/>
        <w:snapToGrid w:val="0"/>
        <w:spacing w:line="70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委托</w:t>
      </w:r>
      <w:r>
        <w:rPr>
          <w:rFonts w:hint="eastAsia" w:ascii="黑体" w:hAnsi="黑体" w:eastAsia="黑体" w:cs="黑体"/>
          <w:sz w:val="32"/>
          <w:szCs w:val="32"/>
          <w:highlight w:val="none"/>
          <w:lang w:val="en-US" w:eastAsia="zh-CN"/>
        </w:rPr>
        <w:t>单位</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枣庄</w:t>
      </w:r>
      <w:r>
        <w:rPr>
          <w:rFonts w:hint="eastAsia" w:ascii="黑体" w:hAnsi="黑体" w:eastAsia="黑体" w:cs="黑体"/>
          <w:sz w:val="32"/>
          <w:szCs w:val="32"/>
          <w:highlight w:val="none"/>
        </w:rPr>
        <w:t>市</w:t>
      </w:r>
      <w:r>
        <w:rPr>
          <w:rFonts w:hint="eastAsia" w:ascii="黑体" w:hAnsi="黑体" w:eastAsia="黑体" w:cs="黑体"/>
          <w:sz w:val="32"/>
          <w:szCs w:val="32"/>
          <w:highlight w:val="none"/>
          <w:lang w:val="en-US" w:eastAsia="zh-CN"/>
        </w:rPr>
        <w:t>高新区</w:t>
      </w:r>
      <w:r>
        <w:rPr>
          <w:rFonts w:hint="eastAsia" w:ascii="黑体" w:hAnsi="黑体" w:eastAsia="黑体" w:cs="黑体"/>
          <w:sz w:val="32"/>
          <w:szCs w:val="32"/>
          <w:highlight w:val="none"/>
        </w:rPr>
        <w:t>财政</w:t>
      </w:r>
      <w:r>
        <w:rPr>
          <w:rFonts w:hint="eastAsia" w:ascii="黑体" w:hAnsi="黑体" w:eastAsia="黑体" w:cs="黑体"/>
          <w:sz w:val="32"/>
          <w:szCs w:val="32"/>
          <w:highlight w:val="none"/>
          <w:lang w:val="en-US" w:eastAsia="zh-CN"/>
        </w:rPr>
        <w:t>金融</w:t>
      </w:r>
      <w:r>
        <w:rPr>
          <w:rFonts w:hint="eastAsia" w:ascii="黑体" w:hAnsi="黑体" w:eastAsia="黑体" w:cs="黑体"/>
          <w:sz w:val="32"/>
          <w:szCs w:val="32"/>
          <w:highlight w:val="none"/>
        </w:rPr>
        <w:t>局</w:t>
      </w:r>
    </w:p>
    <w:p w14:paraId="044087E7">
      <w:pPr>
        <w:pStyle w:val="20"/>
        <w:keepNext w:val="0"/>
        <w:keepLines w:val="0"/>
        <w:pageBreakBefore w:val="0"/>
        <w:widowControl w:val="0"/>
        <w:kinsoku/>
        <w:wordWrap/>
        <w:overflowPunct/>
        <w:topLinePunct w:val="0"/>
        <w:autoSpaceDE w:val="0"/>
        <w:autoSpaceDN w:val="0"/>
        <w:bidi w:val="0"/>
        <w:adjustRightInd w:val="0"/>
        <w:snapToGrid w:val="0"/>
        <w:spacing w:line="70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评价</w:t>
      </w:r>
      <w:r>
        <w:rPr>
          <w:rFonts w:hint="eastAsia" w:ascii="黑体" w:hAnsi="黑体" w:eastAsia="黑体" w:cs="黑体"/>
          <w:sz w:val="32"/>
          <w:szCs w:val="32"/>
          <w:highlight w:val="none"/>
          <w:lang w:val="en-US" w:eastAsia="zh-CN"/>
        </w:rPr>
        <w:t>机构</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华富鲁融（山东）</w:t>
      </w:r>
      <w:r>
        <w:rPr>
          <w:rFonts w:hint="eastAsia" w:ascii="黑体" w:hAnsi="黑体" w:eastAsia="黑体" w:cs="黑体"/>
          <w:sz w:val="32"/>
          <w:szCs w:val="32"/>
          <w:highlight w:val="none"/>
        </w:rPr>
        <w:t>工程</w:t>
      </w:r>
      <w:r>
        <w:rPr>
          <w:rFonts w:hint="eastAsia" w:ascii="黑体" w:hAnsi="黑体" w:eastAsia="黑体" w:cs="黑体"/>
          <w:sz w:val="32"/>
          <w:szCs w:val="32"/>
          <w:highlight w:val="none"/>
          <w:lang w:val="en-US" w:eastAsia="zh-CN"/>
        </w:rPr>
        <w:t>技术</w:t>
      </w:r>
      <w:r>
        <w:rPr>
          <w:rFonts w:hint="eastAsia" w:ascii="黑体" w:hAnsi="黑体" w:eastAsia="黑体" w:cs="黑体"/>
          <w:sz w:val="32"/>
          <w:szCs w:val="32"/>
          <w:highlight w:val="none"/>
        </w:rPr>
        <w:t>咨询有限公司</w:t>
      </w:r>
    </w:p>
    <w:p w14:paraId="4D4B2AAB">
      <w:pPr>
        <w:pStyle w:val="20"/>
        <w:keepNext w:val="0"/>
        <w:keepLines w:val="0"/>
        <w:pageBreakBefore w:val="0"/>
        <w:widowControl w:val="0"/>
        <w:kinsoku/>
        <w:wordWrap/>
        <w:overflowPunct/>
        <w:topLinePunct w:val="0"/>
        <w:autoSpaceDE w:val="0"/>
        <w:autoSpaceDN w:val="0"/>
        <w:bidi w:val="0"/>
        <w:adjustRightInd w:val="0"/>
        <w:snapToGrid w:val="0"/>
        <w:spacing w:line="700" w:lineRule="exact"/>
        <w:ind w:firstLine="640" w:firstLineChars="200"/>
        <w:jc w:val="left"/>
        <w:textAlignment w:val="auto"/>
        <w:rPr>
          <w:rFonts w:hint="eastAsia"/>
          <w:lang w:val="en-US"/>
        </w:rPr>
        <w:sectPr>
          <w:headerReference r:id="rId6" w:type="first"/>
          <w:footerReference r:id="rId8" w:type="first"/>
          <w:headerReference r:id="rId5" w:type="default"/>
          <w:footerReference r:id="rId7" w:type="default"/>
          <w:pgSz w:w="11906" w:h="16838"/>
          <w:pgMar w:top="1440" w:right="1800" w:bottom="1440" w:left="1800" w:header="851" w:footer="992" w:gutter="0"/>
          <w:cols w:space="0" w:num="1"/>
          <w:titlePg/>
          <w:docGrid w:type="lines" w:linePitch="386" w:charSpace="0"/>
        </w:sectPr>
      </w:pPr>
      <w:r>
        <w:rPr>
          <w:rFonts w:hint="eastAsia" w:ascii="黑体" w:hAnsi="黑体" w:eastAsia="黑体" w:cs="黑体"/>
          <w:sz w:val="32"/>
          <w:szCs w:val="32"/>
          <w:highlight w:val="none"/>
        </w:rPr>
        <w:t>评价时间：</w:t>
      </w:r>
      <w:r>
        <w:rPr>
          <w:rFonts w:hint="eastAsia" w:ascii="黑体" w:hAnsi="黑体" w:eastAsia="黑体" w:cs="黑体"/>
          <w:sz w:val="32"/>
          <w:szCs w:val="32"/>
          <w:highlight w:val="none"/>
          <w:lang w:val="en-US"/>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lang w:val="en-US"/>
        </w:rPr>
        <w:t>年</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lang w:val="en-US"/>
        </w:rPr>
        <w:t>月</w:t>
      </w:r>
    </w:p>
    <w:p w14:paraId="75EDF051">
      <w:pPr>
        <w:pStyle w:val="44"/>
        <w:spacing w:before="480"/>
        <w:rPr>
          <w:rFonts w:ascii="方正小标宋简体" w:hAnsi="黑体" w:eastAsia="方正小标宋简体" w:cs="方正小标宋简体"/>
          <w:b w:val="0"/>
          <w:sz w:val="36"/>
          <w:szCs w:val="36"/>
        </w:rPr>
      </w:pPr>
      <w:r>
        <w:rPr>
          <w:rFonts w:hint="eastAsia" w:ascii="方正小标宋简体" w:hAnsi="黑体" w:eastAsia="方正小标宋简体" w:cs="方正小标宋简体"/>
          <w:b w:val="0"/>
          <w:sz w:val="36"/>
          <w:szCs w:val="36"/>
        </w:rPr>
        <w:t>报告编制说明</w:t>
      </w:r>
    </w:p>
    <w:p w14:paraId="475DBFAD">
      <w:pPr>
        <w:spacing w:line="600" w:lineRule="exact"/>
        <w:ind w:firstLine="641"/>
        <w:rPr>
          <w:rFonts w:ascii="仿宋_GB2312" w:hAnsi="仿宋" w:eastAsia="仿宋_GB2312" w:cs="仿宋"/>
          <w:sz w:val="32"/>
          <w:szCs w:val="32"/>
          <w:lang w:eastAsia="zh-CN"/>
        </w:rPr>
      </w:pPr>
      <w:bookmarkStart w:id="0" w:name="_Hlk120281397"/>
      <w:r>
        <w:rPr>
          <w:rFonts w:hint="eastAsia" w:ascii="仿宋_GB2312" w:hAnsi="仿宋" w:eastAsia="仿宋_GB2312" w:cs="仿宋"/>
          <w:sz w:val="32"/>
          <w:szCs w:val="32"/>
          <w:lang w:eastAsia="zh-CN"/>
        </w:rPr>
        <w:t>本报告是受</w:t>
      </w:r>
      <w:r>
        <w:rPr>
          <w:rFonts w:hint="eastAsia" w:hAnsi="仿宋" w:cs="仿宋"/>
          <w:sz w:val="32"/>
          <w:szCs w:val="32"/>
          <w:lang w:val="en-US" w:eastAsia="zh-CN"/>
        </w:rPr>
        <w:t>枣庄高新区</w:t>
      </w:r>
      <w:r>
        <w:rPr>
          <w:rFonts w:ascii="仿宋_GB2312" w:hAnsi="仿宋" w:eastAsia="仿宋_GB2312" w:cs="仿宋"/>
          <w:sz w:val="32"/>
          <w:szCs w:val="32"/>
          <w:lang w:eastAsia="zh-CN"/>
        </w:rPr>
        <w:t>财政</w:t>
      </w:r>
      <w:r>
        <w:rPr>
          <w:rFonts w:hint="eastAsia" w:hAnsi="仿宋" w:cs="仿宋"/>
          <w:sz w:val="32"/>
          <w:szCs w:val="32"/>
          <w:lang w:val="en-US" w:eastAsia="zh-CN"/>
        </w:rPr>
        <w:t>金融</w:t>
      </w:r>
      <w:r>
        <w:rPr>
          <w:rFonts w:ascii="仿宋_GB2312" w:hAnsi="仿宋" w:eastAsia="仿宋_GB2312" w:cs="仿宋"/>
          <w:sz w:val="32"/>
          <w:szCs w:val="32"/>
          <w:lang w:eastAsia="zh-CN"/>
        </w:rPr>
        <w:t>局</w:t>
      </w:r>
      <w:r>
        <w:rPr>
          <w:rFonts w:hint="eastAsia" w:ascii="仿宋_GB2312" w:hAnsi="仿宋" w:eastAsia="仿宋_GB2312" w:cs="仿宋"/>
          <w:sz w:val="32"/>
          <w:szCs w:val="32"/>
          <w:lang w:eastAsia="zh-CN"/>
        </w:rPr>
        <w:t>委托，由</w:t>
      </w:r>
      <w:r>
        <w:rPr>
          <w:rFonts w:hint="eastAsia" w:ascii="仿宋_GB2312" w:hAnsi="仿宋" w:eastAsia="仿宋_GB2312" w:cs="仿宋"/>
          <w:sz w:val="32"/>
          <w:szCs w:val="32"/>
          <w:lang w:val="en-US" w:eastAsia="zh-CN"/>
        </w:rPr>
        <w:t>华富鲁融（山东）工程技术咨询有限公司</w:t>
      </w:r>
      <w:r>
        <w:rPr>
          <w:rFonts w:hint="eastAsia" w:ascii="仿宋_GB2312" w:hAnsi="仿宋" w:eastAsia="仿宋_GB2312" w:cs="仿宋"/>
          <w:sz w:val="32"/>
          <w:szCs w:val="32"/>
          <w:lang w:eastAsia="zh-CN"/>
        </w:rPr>
        <w:t>编制的《</w:t>
      </w:r>
      <w:r>
        <w:rPr>
          <w:rFonts w:hint="eastAsia" w:hAnsi="仿宋" w:cs="仿宋"/>
          <w:sz w:val="32"/>
          <w:szCs w:val="32"/>
          <w:lang w:val="en-US" w:eastAsia="zh-CN"/>
        </w:rPr>
        <w:t>枣庄市高新区人力资源经费项目绩效评价</w:t>
      </w:r>
      <w:r>
        <w:rPr>
          <w:rFonts w:hint="eastAsia" w:ascii="仿宋_GB2312" w:hAnsi="仿宋" w:eastAsia="仿宋_GB2312" w:cs="仿宋"/>
          <w:sz w:val="32"/>
          <w:szCs w:val="32"/>
          <w:lang w:eastAsia="zh-CN"/>
        </w:rPr>
        <w:t>报告》。报告中的数据来自</w:t>
      </w:r>
      <w:r>
        <w:rPr>
          <w:rFonts w:hint="eastAsia" w:hAnsi="仿宋" w:cs="仿宋"/>
          <w:sz w:val="32"/>
          <w:szCs w:val="32"/>
          <w:lang w:val="en-US" w:eastAsia="zh-CN"/>
        </w:rPr>
        <w:t>枣庄市高新区社会事务综合服务中心</w:t>
      </w:r>
      <w:r>
        <w:rPr>
          <w:rFonts w:hint="eastAsia" w:ascii="仿宋_GB2312" w:hAnsi="仿宋" w:eastAsia="仿宋_GB2312" w:cs="仿宋"/>
          <w:sz w:val="32"/>
          <w:szCs w:val="32"/>
          <w:lang w:eastAsia="zh-CN"/>
        </w:rPr>
        <w:t>提供的资料以及其他来源可靠的信息渠道。本报告按照省、市、县</w:t>
      </w:r>
      <w:r>
        <w:rPr>
          <w:rFonts w:hint="eastAsia" w:hAnsi="仿宋" w:cs="仿宋"/>
          <w:sz w:val="32"/>
          <w:szCs w:val="32"/>
          <w:lang w:eastAsia="zh-CN"/>
        </w:rPr>
        <w:t>（</w:t>
      </w:r>
      <w:r>
        <w:rPr>
          <w:rFonts w:hint="eastAsia" w:hAnsi="仿宋" w:cs="仿宋"/>
          <w:sz w:val="32"/>
          <w:szCs w:val="32"/>
          <w:lang w:val="en-US" w:eastAsia="zh-CN"/>
        </w:rPr>
        <w:t>区</w:t>
      </w:r>
      <w:r>
        <w:rPr>
          <w:rFonts w:hint="eastAsia" w:hAnsi="仿宋" w:cs="仿宋"/>
          <w:sz w:val="32"/>
          <w:szCs w:val="32"/>
          <w:lang w:eastAsia="zh-CN"/>
        </w:rPr>
        <w:t>）</w:t>
      </w:r>
      <w:r>
        <w:rPr>
          <w:rFonts w:hint="eastAsia" w:ascii="仿宋_GB2312" w:hAnsi="仿宋" w:eastAsia="仿宋_GB2312" w:cs="仿宋"/>
          <w:sz w:val="32"/>
          <w:szCs w:val="32"/>
          <w:lang w:eastAsia="zh-CN"/>
        </w:rPr>
        <w:t>有关预算绩效管理的规范要求编制，以纸质印刷版和电子版向</w:t>
      </w:r>
      <w:r>
        <w:rPr>
          <w:rFonts w:hint="eastAsia" w:hAnsi="仿宋" w:cs="仿宋"/>
          <w:sz w:val="32"/>
          <w:szCs w:val="32"/>
          <w:lang w:val="en-US" w:eastAsia="zh-CN"/>
        </w:rPr>
        <w:t>枣庄市高新区</w:t>
      </w:r>
      <w:r>
        <w:rPr>
          <w:rFonts w:hint="eastAsia" w:ascii="仿宋_GB2312" w:hAnsi="仿宋" w:eastAsia="仿宋_GB2312" w:cs="仿宋"/>
          <w:sz w:val="32"/>
          <w:szCs w:val="32"/>
          <w:lang w:eastAsia="zh-CN"/>
        </w:rPr>
        <w:t>财政</w:t>
      </w:r>
      <w:r>
        <w:rPr>
          <w:rFonts w:hint="eastAsia" w:hAnsi="仿宋" w:cs="仿宋"/>
          <w:sz w:val="32"/>
          <w:szCs w:val="32"/>
          <w:lang w:val="en-US" w:eastAsia="zh-CN"/>
        </w:rPr>
        <w:t>金融</w:t>
      </w:r>
      <w:r>
        <w:rPr>
          <w:rFonts w:hint="eastAsia" w:ascii="仿宋_GB2312" w:hAnsi="仿宋" w:eastAsia="仿宋_GB2312" w:cs="仿宋"/>
          <w:sz w:val="32"/>
          <w:szCs w:val="32"/>
          <w:lang w:eastAsia="zh-CN"/>
        </w:rPr>
        <w:t>局报送。未经</w:t>
      </w:r>
      <w:r>
        <w:rPr>
          <w:rFonts w:hint="eastAsia" w:hAnsi="仿宋" w:cs="仿宋"/>
          <w:sz w:val="32"/>
          <w:szCs w:val="32"/>
          <w:lang w:val="en-US" w:eastAsia="zh-CN"/>
        </w:rPr>
        <w:t>枣庄市高新区</w:t>
      </w:r>
      <w:r>
        <w:rPr>
          <w:rFonts w:hint="eastAsia" w:ascii="仿宋_GB2312" w:hAnsi="仿宋" w:eastAsia="仿宋_GB2312" w:cs="仿宋"/>
          <w:sz w:val="32"/>
          <w:szCs w:val="32"/>
          <w:lang w:eastAsia="zh-CN"/>
        </w:rPr>
        <w:t>财政</w:t>
      </w:r>
      <w:r>
        <w:rPr>
          <w:rFonts w:hint="eastAsia" w:hAnsi="仿宋" w:cs="仿宋"/>
          <w:sz w:val="32"/>
          <w:szCs w:val="32"/>
          <w:lang w:val="en-US" w:eastAsia="zh-CN"/>
        </w:rPr>
        <w:t>金融</w:t>
      </w:r>
      <w:r>
        <w:rPr>
          <w:rFonts w:hint="eastAsia" w:ascii="仿宋_GB2312" w:hAnsi="仿宋" w:eastAsia="仿宋_GB2312" w:cs="仿宋"/>
          <w:sz w:val="32"/>
          <w:szCs w:val="32"/>
          <w:lang w:eastAsia="zh-CN"/>
        </w:rPr>
        <w:t>局书面允许，不得随意摘录、翻印、发布。</w:t>
      </w:r>
    </w:p>
    <w:bookmarkEnd w:id="0"/>
    <w:p w14:paraId="2C678708">
      <w:pPr>
        <w:pStyle w:val="44"/>
        <w:ind w:left="960" w:firstLine="640" w:firstLineChars="200"/>
        <w:jc w:val="both"/>
        <w:rPr>
          <w:rFonts w:ascii="仿宋" w:hAnsi="仿宋" w:eastAsia="仿宋" w:cs="仿宋"/>
          <w:b w:val="0"/>
          <w:sz w:val="32"/>
          <w:szCs w:val="32"/>
          <w:lang w:val="en-US"/>
        </w:rPr>
      </w:pPr>
    </w:p>
    <w:p w14:paraId="4BD7E07B">
      <w:pPr>
        <w:pStyle w:val="44"/>
        <w:ind w:left="960" w:firstLine="640" w:firstLineChars="200"/>
        <w:jc w:val="both"/>
        <w:rPr>
          <w:rFonts w:ascii="仿宋" w:hAnsi="仿宋" w:eastAsia="仿宋" w:cs="仿宋"/>
          <w:b w:val="0"/>
          <w:sz w:val="32"/>
          <w:szCs w:val="32"/>
          <w:lang w:val="en-US"/>
        </w:rPr>
      </w:pPr>
    </w:p>
    <w:p w14:paraId="09EEBCCD">
      <w:pPr>
        <w:pStyle w:val="44"/>
        <w:spacing w:line="600" w:lineRule="exact"/>
        <w:ind w:firstLine="640" w:firstLineChars="200"/>
        <w:jc w:val="both"/>
        <w:rPr>
          <w:rFonts w:ascii="黑体" w:hAnsi="黑体" w:cs="黑体"/>
          <w:b w:val="0"/>
          <w:sz w:val="32"/>
          <w:szCs w:val="32"/>
          <w:lang w:val="en-US"/>
        </w:rPr>
      </w:pPr>
      <w:r>
        <w:rPr>
          <w:rFonts w:hint="eastAsia" w:ascii="黑体" w:hAnsi="黑体" w:cs="黑体"/>
          <w:b w:val="0"/>
          <w:sz w:val="32"/>
          <w:szCs w:val="32"/>
          <w:lang w:val="en-US"/>
        </w:rPr>
        <w:t>项目主评人：</w:t>
      </w:r>
      <w:r>
        <w:rPr>
          <w:rFonts w:hint="eastAsia" w:ascii="黑体" w:hAnsi="黑体" w:cs="黑体"/>
          <w:b w:val="0"/>
          <w:sz w:val="32"/>
          <w:szCs w:val="32"/>
          <w:lang w:val="en-US" w:eastAsia="zh-CN"/>
        </w:rPr>
        <w:t>王利</w:t>
      </w:r>
      <w:r>
        <w:rPr>
          <w:rFonts w:ascii="黑体" w:hAnsi="黑体" w:cs="黑体"/>
          <w:b w:val="0"/>
          <w:sz w:val="32"/>
          <w:szCs w:val="32"/>
          <w:lang w:val="en-US"/>
        </w:rPr>
        <w:t xml:space="preserve"> </w:t>
      </w:r>
    </w:p>
    <w:p w14:paraId="3F3621A3">
      <w:pPr>
        <w:pStyle w:val="44"/>
        <w:spacing w:line="600" w:lineRule="exact"/>
        <w:ind w:firstLine="640" w:firstLineChars="200"/>
        <w:jc w:val="both"/>
        <w:rPr>
          <w:rFonts w:hint="default" w:ascii="黑体" w:hAnsi="黑体" w:eastAsia="黑体" w:cs="黑体"/>
          <w:b w:val="0"/>
          <w:sz w:val="32"/>
          <w:szCs w:val="32"/>
          <w:lang w:val="en-US" w:eastAsia="zh-CN"/>
        </w:rPr>
      </w:pPr>
      <w:r>
        <w:rPr>
          <w:rFonts w:hint="eastAsia" w:ascii="黑体" w:hAnsi="黑体" w:cs="黑体"/>
          <w:b w:val="0"/>
          <w:sz w:val="32"/>
          <w:szCs w:val="32"/>
          <w:lang w:val="en-US"/>
        </w:rPr>
        <w:t>参评人员：</w:t>
      </w:r>
      <w:r>
        <w:rPr>
          <w:rFonts w:hint="eastAsia" w:ascii="黑体" w:hAnsi="黑体" w:cs="黑体"/>
          <w:b w:val="0"/>
          <w:sz w:val="32"/>
          <w:szCs w:val="32"/>
          <w:lang w:val="en-US" w:eastAsia="zh-CN"/>
        </w:rPr>
        <w:t xml:space="preserve">王冀鲁 </w:t>
      </w:r>
    </w:p>
    <w:p w14:paraId="1828CB9C">
      <w:pPr>
        <w:pStyle w:val="44"/>
        <w:spacing w:line="600" w:lineRule="exact"/>
        <w:ind w:firstLine="640" w:firstLineChars="200"/>
        <w:jc w:val="both"/>
        <w:rPr>
          <w:rFonts w:hint="default" w:ascii="黑体" w:hAnsi="黑体" w:eastAsia="黑体" w:cs="黑体"/>
          <w:bCs/>
          <w:sz w:val="44"/>
          <w:szCs w:val="44"/>
          <w:highlight w:val="none"/>
          <w:lang w:val="en-US" w:eastAsia="zh-CN"/>
        </w:rPr>
        <w:sectPr>
          <w:footerReference r:id="rId9" w:type="default"/>
          <w:pgSz w:w="11906" w:h="16838"/>
          <w:pgMar w:top="1417" w:right="1474" w:bottom="1417" w:left="1587" w:header="851" w:footer="992" w:gutter="0"/>
          <w:pgNumType w:fmt="numberInDash" w:start="1"/>
          <w:cols w:space="425" w:num="1"/>
          <w:docGrid w:type="lines" w:linePitch="312" w:charSpace="0"/>
        </w:sectPr>
      </w:pPr>
      <w:r>
        <w:rPr>
          <w:rFonts w:hint="eastAsia" w:ascii="黑体" w:hAnsi="黑体" w:cs="黑体"/>
          <w:b w:val="0"/>
          <w:sz w:val="32"/>
          <w:szCs w:val="32"/>
          <w:lang w:val="en-US"/>
        </w:rPr>
        <w:t>质量控制复核：</w:t>
      </w:r>
      <w:r>
        <w:rPr>
          <w:rFonts w:hint="eastAsia" w:ascii="黑体" w:hAnsi="黑体" w:eastAsia="黑体" w:cs="黑体"/>
          <w:b w:val="0"/>
          <w:bCs w:val="0"/>
          <w:sz w:val="32"/>
          <w:szCs w:val="32"/>
          <w:highlight w:val="none"/>
          <w:lang w:val="en-US" w:eastAsia="zh-CN"/>
        </w:rPr>
        <w:t>李昕阳</w:t>
      </w:r>
      <w:r>
        <w:rPr>
          <w:rFonts w:hint="eastAsia" w:ascii="黑体" w:hAnsi="黑体" w:cs="黑体"/>
          <w:b w:val="0"/>
          <w:bCs w:val="0"/>
          <w:sz w:val="32"/>
          <w:szCs w:val="32"/>
          <w:highlight w:val="none"/>
          <w:lang w:val="en-US" w:eastAsia="zh-CN"/>
        </w:rPr>
        <w:t>、</w:t>
      </w:r>
      <w:r>
        <w:rPr>
          <w:rFonts w:hint="eastAsia" w:ascii="黑体" w:hAnsi="黑体" w:cs="黑体"/>
          <w:b w:val="0"/>
          <w:sz w:val="32"/>
          <w:szCs w:val="32"/>
          <w:lang w:val="en-US" w:eastAsia="zh-CN"/>
        </w:rPr>
        <w:t>庄乾敏</w:t>
      </w:r>
    </w:p>
    <w:sdt>
      <w:sdtPr>
        <w:rPr>
          <w:rFonts w:hint="eastAsia" w:ascii="黑体" w:hAnsi="黑体" w:eastAsia="黑体" w:cs="黑体"/>
          <w:b/>
          <w:bCs/>
          <w:sz w:val="28"/>
          <w:szCs w:val="28"/>
          <w:highlight w:val="none"/>
        </w:rPr>
        <w:id w:val="147457911"/>
        <w:docPartObj>
          <w:docPartGallery w:val="Table of Contents"/>
          <w:docPartUnique/>
        </w:docPartObj>
      </w:sdtPr>
      <w:sdtEndPr>
        <w:rPr>
          <w:rFonts w:hint="eastAsia" w:ascii="仿宋_GB2312" w:hAnsi="仿宋_GB2312" w:eastAsia="仿宋_GB2312" w:cs="仿宋"/>
          <w:b/>
          <w:bCs/>
          <w:sz w:val="28"/>
          <w:szCs w:val="28"/>
          <w:highlight w:val="none"/>
        </w:rPr>
      </w:sdtEndPr>
      <w:sdtContent>
        <w:p w14:paraId="2198B299">
          <w:pPr>
            <w:pStyle w:val="21"/>
            <w:keepNext w:val="0"/>
            <w:keepLines w:val="0"/>
            <w:pageBreakBefore w:val="0"/>
            <w:widowControl w:val="0"/>
            <w:kinsoku/>
            <w:wordWrap/>
            <w:overflowPunct/>
            <w:topLinePunct w:val="0"/>
            <w:autoSpaceDE w:val="0"/>
            <w:autoSpaceDN w:val="0"/>
            <w:bidi w:val="0"/>
            <w:adjustRightInd/>
            <w:snapToGrid/>
            <w:spacing w:line="240" w:lineRule="auto"/>
            <w:ind w:firstLine="643"/>
            <w:textAlignment w:val="auto"/>
            <w:rPr>
              <w:sz w:val="28"/>
              <w:szCs w:val="28"/>
              <w:highlight w:val="none"/>
            </w:rPr>
          </w:pPr>
        </w:p>
      </w:sdtContent>
    </w:sdt>
    <w:p w14:paraId="33FBBD31">
      <w:pPr>
        <w:pStyle w:val="16"/>
        <w:tabs>
          <w:tab w:val="right" w:leader="dot" w:pos="8306"/>
        </w:tabs>
        <w:ind w:left="0" w:leftChars="0" w:firstLine="0" w:firstLineChars="0"/>
        <w:jc w:val="center"/>
        <w:rPr>
          <w:rFonts w:hint="eastAsia" w:ascii="方正小标宋简体" w:eastAsia="方正小标宋简体"/>
          <w:color w:val="auto"/>
          <w:sz w:val="44"/>
        </w:rPr>
      </w:pPr>
      <w:r>
        <w:rPr>
          <w:rFonts w:hint="eastAsia" w:ascii="方正小标宋简体" w:eastAsia="方正小标宋简体"/>
          <w:color w:val="auto"/>
          <w:sz w:val="44"/>
        </w:rPr>
        <w:t>目</w:t>
      </w:r>
      <w:r>
        <w:rPr>
          <w:rFonts w:hint="eastAsia" w:ascii="方正小标宋简体" w:eastAsia="方正小标宋简体"/>
          <w:color w:val="auto"/>
          <w:sz w:val="44"/>
          <w:lang w:val="en-US" w:eastAsia="zh-CN"/>
        </w:rPr>
        <w:t xml:space="preserve">  </w:t>
      </w:r>
      <w:r>
        <w:rPr>
          <w:rFonts w:hint="eastAsia" w:ascii="方正小标宋简体" w:eastAsia="方正小标宋简体"/>
          <w:color w:val="auto"/>
          <w:sz w:val="44"/>
        </w:rPr>
        <w:t>录</w:t>
      </w:r>
    </w:p>
    <w:p w14:paraId="0EBB791E">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仿宋" w:hAnsi="仿宋" w:eastAsia="仿宋" w:cs="仿宋"/>
          <w:sz w:val="28"/>
          <w:highlight w:val="none"/>
          <w:lang w:eastAsia="zh-CN"/>
        </w:rPr>
      </w:pPr>
    </w:p>
    <w:p w14:paraId="54E25F09">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ascii="黑体" w:hAnsi="黑体" w:eastAsia="黑体" w:cs="黑体"/>
          <w:sz w:val="36"/>
          <w:szCs w:val="36"/>
          <w:highlight w:val="none"/>
        </w:rPr>
        <w:fldChar w:fldCharType="begin"/>
      </w:r>
      <w:r>
        <w:rPr>
          <w:rFonts w:ascii="黑体" w:hAnsi="黑体" w:eastAsia="黑体" w:cs="黑体"/>
          <w:sz w:val="36"/>
          <w:szCs w:val="36"/>
          <w:highlight w:val="none"/>
        </w:rPr>
        <w:instrText xml:space="preserve">TOC \o "1-2" \h \u </w:instrText>
      </w:r>
      <w:r>
        <w:rPr>
          <w:rFonts w:ascii="黑体" w:hAnsi="黑体" w:eastAsia="黑体" w:cs="黑体"/>
          <w:sz w:val="36"/>
          <w:szCs w:val="36"/>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_Toc10575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摘</w:t>
      </w:r>
      <w:r>
        <w:rPr>
          <w:rFonts w:hint="eastAsia" w:ascii="宋体" w:hAnsi="宋体" w:eastAsia="宋体" w:cs="宋体"/>
          <w:sz w:val="24"/>
          <w:szCs w:val="24"/>
          <w:lang w:val="en-US"/>
        </w:rPr>
        <w:t xml:space="preserve">  </w:t>
      </w:r>
      <w:r>
        <w:rPr>
          <w:rFonts w:hint="eastAsia" w:ascii="宋体" w:hAnsi="宋体" w:eastAsia="宋体" w:cs="宋体"/>
          <w:sz w:val="24"/>
          <w:szCs w:val="24"/>
        </w:rPr>
        <w:t>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_Toc10575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AA27055">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_Toc27111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zh-CN" w:eastAsia="zh-CN" w:bidi="zh-CN"/>
        </w:rPr>
        <w:t>正</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_Toc27111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4F719EF">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_Toc15924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E7257B6">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_Toc12223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（一）项目立项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_Toc12223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F7D64A4">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_Toc15797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（二）项目实施内容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_Toc15797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09AB9A3">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（三）项目预算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_Toc8764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973A020">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_Toc26334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（四）项目组织管理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_Toc26334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D6C5BAB">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二、项目绩效目标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_Toc10759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132ABB76">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_Toc13908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（一）总体绩效目标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_Toc13908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8E412FA">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_Toc13638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（二）</w:t>
      </w:r>
      <w:r>
        <w:rPr>
          <w:rFonts w:hint="eastAsia" w:ascii="宋体" w:hAnsi="宋体" w:eastAsia="宋体" w:cs="宋体"/>
          <w:sz w:val="24"/>
          <w:szCs w:val="24"/>
          <w:lang w:val="en-US"/>
        </w:rPr>
        <w:t>年度</w:t>
      </w:r>
      <w:r>
        <w:rPr>
          <w:rFonts w:hint="eastAsia" w:ascii="宋体" w:hAnsi="宋体" w:eastAsia="宋体" w:cs="宋体"/>
          <w:sz w:val="24"/>
          <w:szCs w:val="24"/>
        </w:rPr>
        <w:t>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_Toc13638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0DE5705">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_Toc7507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三、评价基本情况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_Toc7507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1C63F2CE">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（一）评价目的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_Toc1327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19908400">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_Toc16766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（二）评价对象与范围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_Toc16766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1E414A1">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_Toc29976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评价依据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_Toc29976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D0E8126">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_Toc5161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（四）评价原则、评价方法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_Toc5161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C832C2E">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_Toc28429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（五）绩效评价指标体系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_Toc28429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C659016">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）绩效评价工作过程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_Toc17674 \h </w:instrText>
      </w:r>
      <w:r>
        <w:rPr>
          <w:rFonts w:hint="eastAsia" w:ascii="宋体" w:hAnsi="宋体" w:eastAsia="宋体" w:cs="宋体"/>
          <w:sz w:val="24"/>
          <w:szCs w:val="24"/>
        </w:rPr>
        <w:fldChar w:fldCharType="separate"/>
      </w:r>
      <w:r>
        <w:rPr>
          <w:rFonts w:hint="eastAsia" w:ascii="宋体" w:hAnsi="宋体" w:eastAsia="宋体" w:cs="宋体"/>
          <w:sz w:val="24"/>
          <w:szCs w:val="24"/>
        </w:rPr>
        <w:t>- 21 -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0DFD2FB">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四、评价结论及分析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_Toc8770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133ABA4C">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_Toc29565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（一）综合评价结论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_Toc29565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6348EEA">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_Toc29138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（二）非现场评价情况分析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_Toc29138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DE23F0E">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_Toc23218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（三）现场评价情况分析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_Toc23218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D0E5178">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五、绩效评价指标分析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175AE8E">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_Toc22656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（一）项目决策情况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_Toc22656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558CD9F">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（二）项目过程情况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_Toc1410 \h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C102A6F">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（三）项目产出情况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_Toc27578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EDBB809">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_Toc12935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（四）项目效益情况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_Toc12935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F4E549C">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、存在的问题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_Toc28211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A4BEA10">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_Toc21928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（一）部分政策的享受人数或企业数较少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_Toc21928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4F16DC6">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_Toc12243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（二）企业急需紧缺人才补贴项目审核工作不规范，档案保存不完整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_Toc12243 \h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898536A">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（三）职称评审项目资金发放不及时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_Toc4067 \h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B8EC91D">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（四）预算编制不合理，存在多个项目打包处理现象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_Toc878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ABD956C">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_Toc3911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七、相关建议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_Toc3911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ACCB745">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_Toc4926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（一）加强政策宣传，加大政策解读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_Toc4926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61FD620">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_Toc16387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（二）进一步规范审核工作和档案管理工作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_Toc16387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1E88148E">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_Toc16935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（三）及时发放项目资金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_Toc16935 \h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0F96F07">
      <w:pPr>
        <w:pStyle w:val="17"/>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_Toc19219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（四）细化预算编制，明确每个项目的预算额，避免“打包”编制预算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_Toc19219 \h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B09AE08">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_Toc18484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rPr>
        <w:t>附件</w:t>
      </w:r>
      <w:r>
        <w:rPr>
          <w:rFonts w:hint="eastAsia" w:ascii="宋体" w:hAnsi="宋体" w:eastAsia="宋体" w:cs="宋体"/>
          <w:sz w:val="24"/>
          <w:szCs w:val="24"/>
          <w:lang w:val="en-US" w:eastAsia="zh-CN"/>
        </w:rPr>
        <w:t>一、</w:t>
      </w:r>
      <w:r>
        <w:rPr>
          <w:rFonts w:hint="eastAsia" w:ascii="宋体" w:hAnsi="宋体" w:eastAsia="宋体" w:cs="宋体"/>
          <w:sz w:val="24"/>
          <w:szCs w:val="24"/>
          <w:lang w:val="en-US"/>
        </w:rPr>
        <w:t>绩效评价得分表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_Toc18484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D25621D">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_Toc30544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附件二、问题清单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_Toc30544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1FFE303">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_Toc27633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附件三、</w:t>
      </w:r>
      <w:r>
        <w:rPr>
          <w:rFonts w:hint="eastAsia" w:ascii="宋体" w:hAnsi="宋体" w:eastAsia="宋体" w:cs="宋体"/>
          <w:sz w:val="24"/>
          <w:szCs w:val="24"/>
        </w:rPr>
        <w:t>调查问卷</w:t>
      </w:r>
      <w:r>
        <w:rPr>
          <w:rFonts w:hint="eastAsia" w:ascii="宋体" w:hAnsi="宋体" w:eastAsia="宋体" w:cs="宋体"/>
          <w:sz w:val="24"/>
          <w:szCs w:val="24"/>
          <w:lang w:eastAsia="zh-CN"/>
        </w:rPr>
        <w:t>及统计表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_Toc27633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2454BA3">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_Toc26593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lang w:val="en-US" w:eastAsia="zh-CN"/>
        </w:rPr>
        <w:t>受益人群问卷统计表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_Toc26593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DECAD7B">
      <w:pPr>
        <w:pStyle w:val="16"/>
        <w:keepNext w:val="0"/>
        <w:keepLines w:val="0"/>
        <w:pageBreakBefore w:val="0"/>
        <w:widowControl w:val="0"/>
        <w:tabs>
          <w:tab w:val="right" w:leader="dot" w:pos="8310"/>
        </w:tabs>
        <w:kinsoku/>
        <w:wordWrap/>
        <w:overflowPunct/>
        <w:topLinePunct w:val="0"/>
        <w:autoSpaceDE w:val="0"/>
        <w:autoSpaceDN w:val="0"/>
        <w:bidi w:val="0"/>
        <w:adjustRightInd/>
        <w:snapToGrid/>
        <w:spacing w:line="400" w:lineRule="exact"/>
        <w:ind w:firstLine="0" w:firstLineChars="0"/>
        <w:textAlignment w:val="auto"/>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_Toc1926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lang w:val="en-US" w:eastAsia="zh-CN"/>
        </w:rPr>
        <w:t>受益企业问卷统计表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_Toc1926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AC8CA2A">
      <w:pPr>
        <w:pStyle w:val="9"/>
        <w:keepNext w:val="0"/>
        <w:keepLines w:val="0"/>
        <w:pageBreakBefore w:val="0"/>
        <w:widowControl w:val="0"/>
        <w:kinsoku/>
        <w:wordWrap/>
        <w:overflowPunct w:val="0"/>
        <w:topLinePunct w:val="0"/>
        <w:autoSpaceDE w:val="0"/>
        <w:autoSpaceDN w:val="0"/>
        <w:bidi w:val="0"/>
        <w:adjustRightInd/>
        <w:snapToGrid/>
        <w:spacing w:line="400" w:lineRule="exact"/>
        <w:ind w:left="0" w:leftChars="0" w:firstLine="0" w:firstLineChars="0"/>
        <w:jc w:val="both"/>
        <w:textAlignment w:val="auto"/>
        <w:rPr>
          <w:rFonts w:ascii="黑体" w:hAnsi="黑体" w:eastAsia="黑体" w:cs="黑体"/>
          <w:sz w:val="36"/>
          <w:szCs w:val="36"/>
          <w:highlight w:val="none"/>
        </w:rPr>
        <w:sectPr>
          <w:headerReference r:id="rId10" w:type="default"/>
          <w:footerReference r:id="rId11" w:type="default"/>
          <w:pgSz w:w="11910" w:h="16840"/>
          <w:pgMar w:top="1440" w:right="1800" w:bottom="1440" w:left="1800" w:header="850" w:footer="1417" w:gutter="0"/>
          <w:pgNumType w:fmt="upperRoman" w:start="1"/>
          <w:cols w:space="720" w:num="1"/>
        </w:sectPr>
      </w:pPr>
      <w:r>
        <w:rPr>
          <w:rFonts w:ascii="黑体" w:hAnsi="黑体" w:eastAsia="黑体" w:cs="黑体"/>
          <w:szCs w:val="36"/>
          <w:highlight w:val="none"/>
        </w:rPr>
        <w:fldChar w:fldCharType="end"/>
      </w:r>
    </w:p>
    <w:p w14:paraId="4414A53E">
      <w:pPr>
        <w:pStyle w:val="3"/>
        <w:bidi w:val="0"/>
        <w:ind w:left="0" w:leftChars="0" w:firstLine="0" w:firstLineChars="0"/>
        <w:jc w:val="center"/>
        <w:rPr>
          <w:rFonts w:hint="eastAsia" w:ascii="方正小标宋简体" w:hAnsi="方正小标宋简体" w:eastAsia="方正小标宋简体" w:cs="方正小标宋简体"/>
          <w:sz w:val="44"/>
          <w:szCs w:val="44"/>
        </w:rPr>
      </w:pPr>
      <w:bookmarkStart w:id="1" w:name="_Toc28237"/>
      <w:bookmarkStart w:id="2" w:name="_Toc1763"/>
      <w:bookmarkStart w:id="3" w:name="_Toc29723"/>
      <w:bookmarkStart w:id="4" w:name="_Toc22629"/>
      <w:bookmarkStart w:id="5" w:name="_Toc23719"/>
      <w:bookmarkStart w:id="6" w:name="_Toc6964"/>
      <w:bookmarkStart w:id="7" w:name="_Toc692"/>
      <w:bookmarkStart w:id="8" w:name="_Toc21323"/>
      <w:bookmarkStart w:id="9" w:name="_Toc19527"/>
      <w:bookmarkStart w:id="10" w:name="_Toc29298"/>
      <w:bookmarkStart w:id="11" w:name="_Toc7820"/>
      <w:bookmarkStart w:id="12" w:name="_Toc10575"/>
      <w:bookmarkStart w:id="13" w:name="_Toc23987"/>
      <w:bookmarkStart w:id="14" w:name="_Toc24067"/>
      <w:bookmarkStart w:id="15" w:name="_Toc17747"/>
      <w:r>
        <w:rPr>
          <w:rFonts w:hint="eastAsia" w:ascii="方正小标宋简体" w:hAnsi="方正小标宋简体" w:eastAsia="方正小标宋简体" w:cs="方正小标宋简体"/>
          <w:sz w:val="44"/>
          <w:szCs w:val="44"/>
        </w:rPr>
        <w:t>摘</w:t>
      </w:r>
      <w:r>
        <w:rPr>
          <w:rFonts w:hint="eastAsia" w:ascii="方正小标宋简体" w:hAnsi="方正小标宋简体" w:eastAsia="方正小标宋简体" w:cs="方正小标宋简体"/>
          <w:sz w:val="44"/>
          <w:szCs w:val="44"/>
          <w:lang w:val="en-US"/>
        </w:rPr>
        <w:t xml:space="preserve">  </w:t>
      </w:r>
      <w:r>
        <w:rPr>
          <w:rFonts w:hint="eastAsia" w:ascii="方正小标宋简体" w:hAnsi="方正小标宋简体" w:eastAsia="方正小标宋简体" w:cs="方正小标宋简体"/>
          <w:sz w:val="44"/>
          <w:szCs w:val="44"/>
        </w:rPr>
        <w:t>要</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838F252">
      <w:pPr>
        <w:keepNext w:val="0"/>
        <w:keepLines w:val="0"/>
        <w:pageBreakBefore w:val="0"/>
        <w:widowControl w:val="0"/>
        <w:kinsoku/>
        <w:wordWrap/>
        <w:overflowPunct/>
        <w:topLinePunct w:val="0"/>
        <w:autoSpaceDE w:val="0"/>
        <w:autoSpaceDN w:val="0"/>
        <w:bidi w:val="0"/>
        <w:adjustRightInd/>
        <w:snapToGrid/>
        <w:jc w:val="both"/>
        <w:textAlignment w:val="auto"/>
        <w:rPr>
          <w:rFonts w:hint="eastAsia"/>
          <w:lang w:val="en-US" w:eastAsia="zh-CN"/>
        </w:rPr>
      </w:pPr>
      <w:bookmarkStart w:id="16" w:name="_Toc24923"/>
      <w:bookmarkStart w:id="17" w:name="_Toc15348"/>
      <w:bookmarkStart w:id="18" w:name="_Toc31730"/>
      <w:bookmarkStart w:id="19" w:name="_Toc23868"/>
      <w:bookmarkStart w:id="20" w:name="_Toc4554"/>
      <w:bookmarkStart w:id="21" w:name="_Toc24442"/>
      <w:r>
        <w:rPr>
          <w:rFonts w:hint="eastAsia"/>
          <w:lang w:val="zh-CN" w:eastAsia="zh-CN"/>
        </w:rPr>
        <w:t>枣庄市</w:t>
      </w:r>
      <w:r>
        <w:rPr>
          <w:rFonts w:hint="eastAsia"/>
          <w:lang w:val="en-US" w:eastAsia="zh-CN"/>
        </w:rPr>
        <w:t>高新区人力资源经费</w:t>
      </w:r>
      <w:r>
        <w:rPr>
          <w:rFonts w:hint="eastAsia"/>
          <w:lang w:val="zh-CN" w:eastAsia="zh-CN"/>
        </w:rPr>
        <w:t>项目</w:t>
      </w:r>
      <w:r>
        <w:rPr>
          <w:rFonts w:hint="eastAsia"/>
          <w:lang w:val="en-US" w:eastAsia="zh-CN"/>
        </w:rPr>
        <w:t>主要由各项政策性引进人才补贴组成</w:t>
      </w:r>
      <w:r>
        <w:rPr>
          <w:rFonts w:hint="eastAsia"/>
          <w:lang w:val="zh-CN" w:eastAsia="zh-CN"/>
        </w:rPr>
        <w:t>。</w:t>
      </w:r>
      <w:r>
        <w:rPr>
          <w:rFonts w:hint="eastAsia"/>
          <w:lang w:val="en-US" w:eastAsia="zh-CN"/>
        </w:rPr>
        <w:t>2022年度该项目预算资金800万元，调整后预算808.51万元，实际支出808.51万元。</w:t>
      </w:r>
      <w:r>
        <w:rPr>
          <w:rFonts w:hint="eastAsia"/>
          <w:lang w:val="zh-CN" w:eastAsia="zh-CN"/>
        </w:rPr>
        <w:t>受枣庄市</w:t>
      </w:r>
      <w:r>
        <w:rPr>
          <w:rFonts w:hint="eastAsia"/>
          <w:lang w:val="en-US" w:eastAsia="zh-CN"/>
        </w:rPr>
        <w:t>高新区</w:t>
      </w:r>
      <w:r>
        <w:rPr>
          <w:rFonts w:hint="eastAsia"/>
          <w:lang w:val="zh-CN" w:eastAsia="zh-CN"/>
        </w:rPr>
        <w:t>财政金融局委托，我公司特聘专家及选聘业务骨干组成评价组，</w:t>
      </w:r>
      <w:r>
        <w:rPr>
          <w:rFonts w:hint="eastAsia"/>
          <w:lang w:val="en-US" w:eastAsia="zh-CN"/>
        </w:rPr>
        <w:t>通过</w:t>
      </w:r>
      <w:r>
        <w:rPr>
          <w:rFonts w:hint="eastAsia"/>
          <w:lang w:val="zh-CN" w:eastAsia="zh-CN"/>
        </w:rPr>
        <w:t>比较法和</w:t>
      </w:r>
      <w:r>
        <w:rPr>
          <w:rFonts w:hint="eastAsia"/>
          <w:highlight w:val="none"/>
          <w:lang w:val="en-US" w:eastAsia="zh-CN"/>
        </w:rPr>
        <w:t>公众评判法</w:t>
      </w:r>
      <w:r>
        <w:rPr>
          <w:rFonts w:hint="eastAsia"/>
          <w:lang w:val="en-US" w:eastAsia="zh-CN"/>
        </w:rPr>
        <w:t>从决策、过程、产出、效益方面对本项目进行了全方位评价，以提高资金使用效率，为以后年度的决策提供依据。发现部分政策的享受人数或企业数较少，实际引才效果不佳，部分项目审核工作不规范、档案保存不完整，预算编制存在打包处理现象等问题，并对问题提出了相关的建议。经过综合评价，最终得分为92分，评价等级为“优”。</w:t>
      </w:r>
    </w:p>
    <w:p w14:paraId="17FC44F1">
      <w:pPr>
        <w:pStyle w:val="9"/>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hint="eastAsia"/>
          <w:sz w:val="32"/>
          <w:highlight w:val="none"/>
          <w:lang w:val="en-US" w:eastAsia="zh-CN"/>
        </w:rPr>
      </w:pPr>
      <w:r>
        <w:rPr>
          <w:rFonts w:hint="eastAsia" w:ascii="黑体" w:hAnsi="黑体" w:eastAsia="黑体" w:cs="黑体"/>
          <w:lang w:val="en-US" w:eastAsia="zh-CN"/>
        </w:rPr>
        <w:t>一、项目基本情况</w:t>
      </w:r>
      <w:bookmarkEnd w:id="16"/>
      <w:bookmarkEnd w:id="17"/>
      <w:bookmarkEnd w:id="18"/>
      <w:bookmarkEnd w:id="19"/>
      <w:bookmarkEnd w:id="20"/>
      <w:bookmarkEnd w:id="21"/>
    </w:p>
    <w:p w14:paraId="4512E11A">
      <w:pPr>
        <w:keepNext w:val="0"/>
        <w:keepLines w:val="0"/>
        <w:pageBreakBefore w:val="0"/>
        <w:widowControl w:val="0"/>
        <w:kinsoku/>
        <w:wordWrap/>
        <w:topLinePunct w:val="0"/>
        <w:autoSpaceDE w:val="0"/>
        <w:autoSpaceDN w:val="0"/>
        <w:bidi w:val="0"/>
        <w:adjustRightInd/>
        <w:snapToGrid/>
        <w:jc w:val="both"/>
        <w:textAlignment w:val="auto"/>
        <w:rPr>
          <w:rFonts w:hint="eastAsia" w:ascii="楷体_GB2312" w:hAnsi="楷体_GB2312" w:eastAsia="楷体_GB2312" w:cs="楷体_GB2312"/>
          <w:sz w:val="32"/>
          <w:szCs w:val="32"/>
          <w:lang w:val="en-US" w:eastAsia="zh-CN" w:bidi="zh-CN"/>
        </w:rPr>
      </w:pPr>
      <w:bookmarkStart w:id="22" w:name="_Toc21814"/>
      <w:bookmarkStart w:id="23" w:name="_Toc11198"/>
      <w:bookmarkStart w:id="24" w:name="_Toc12300"/>
      <w:bookmarkStart w:id="25" w:name="_Toc27651"/>
      <w:bookmarkStart w:id="26" w:name="_Toc30926"/>
      <w:bookmarkStart w:id="27" w:name="_Toc24833"/>
      <w:r>
        <w:rPr>
          <w:rFonts w:hint="eastAsia" w:ascii="楷体_GB2312" w:hAnsi="楷体_GB2312" w:eastAsia="楷体_GB2312" w:cs="楷体_GB2312"/>
          <w:sz w:val="32"/>
          <w:szCs w:val="32"/>
          <w:lang w:val="en-US" w:eastAsia="zh-CN" w:bidi="zh-CN"/>
        </w:rPr>
        <w:t>（一）项目背景</w:t>
      </w:r>
    </w:p>
    <w:p w14:paraId="70E70170">
      <w:pPr>
        <w:keepNext w:val="0"/>
        <w:keepLines w:val="0"/>
        <w:pageBreakBefore w:val="0"/>
        <w:widowControl w:val="0"/>
        <w:kinsoku/>
        <w:wordWrap/>
        <w:topLinePunct w:val="0"/>
        <w:autoSpaceDE w:val="0"/>
        <w:autoSpaceDN w:val="0"/>
        <w:bidi w:val="0"/>
        <w:adjustRightInd/>
        <w:snapToGrid/>
        <w:jc w:val="both"/>
        <w:textAlignment w:val="auto"/>
        <w:rPr>
          <w:rFonts w:hint="default" w:ascii="楷体_GB2312" w:hAnsi="楷体_GB2312" w:eastAsia="楷体_GB2312" w:cs="楷体_GB2312"/>
          <w:lang w:val="en-US"/>
        </w:rPr>
      </w:pPr>
      <w:r>
        <w:rPr>
          <w:rFonts w:hint="eastAsia" w:ascii="Times New Roman" w:hAnsi="Times New Roman" w:cs="Times New Roman"/>
          <w:b w:val="0"/>
          <w:color w:val="auto"/>
          <w:kern w:val="2"/>
          <w:sz w:val="32"/>
          <w:szCs w:val="24"/>
          <w:lang w:val="en-US" w:eastAsia="zh-CN" w:bidi="ar-SA"/>
        </w:rPr>
        <w:t>一方面，随着高端人才尤其是高科技领域人才在经济社会发展中的贡献度越来越高，在促进经济发展、产业结构升级、推进新旧动能转换中的作用越来越突出，国家多次发文强调人才战略的重要性，各地也陆续出台各种各样的人才政策，开启“抢人大战”。在此背景下，枣庄市委市政府提出一系列人才政策，枣庄市人社局积极响应，制定了保障人力资源可持续发展的一系列政策，枣庄市高新区社会事务综合服务中心积极落实各类引才政策</w:t>
      </w:r>
      <w:r>
        <w:rPr>
          <w:rFonts w:hint="eastAsia"/>
          <w:lang w:val="en-US" w:eastAsia="zh-CN"/>
        </w:rPr>
        <w:t>。另一方面，随着三年疫情对民生就业领域的冲击，党中央、国务院、山东省委省政府和枣庄市委市政府都提出稳就业保民生工作要求，枣庄市人社局制定了《枣庄市援企稳岗扩就业保民生政策清单》，人力资源经费项目涉及的一系列政策补贴均出自于该文件。</w:t>
      </w:r>
    </w:p>
    <w:p w14:paraId="6C9D3AEA">
      <w:pPr>
        <w:pStyle w:val="9"/>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二</w:t>
      </w:r>
      <w:r>
        <w:rPr>
          <w:rFonts w:hint="eastAsia" w:ascii="楷体_GB2312" w:hAnsi="楷体_GB2312" w:eastAsia="楷体_GB2312" w:cs="楷体_GB2312"/>
        </w:rPr>
        <w:t>）项目主要内容</w:t>
      </w:r>
      <w:bookmarkEnd w:id="22"/>
      <w:bookmarkEnd w:id="23"/>
      <w:bookmarkEnd w:id="24"/>
      <w:bookmarkEnd w:id="25"/>
      <w:bookmarkEnd w:id="26"/>
      <w:bookmarkEnd w:id="27"/>
    </w:p>
    <w:p w14:paraId="25F09A2C">
      <w:pPr>
        <w:pStyle w:val="9"/>
        <w:keepNext w:val="0"/>
        <w:keepLines w:val="0"/>
        <w:pageBreakBefore w:val="0"/>
        <w:widowControl w:val="0"/>
        <w:kinsoku/>
        <w:wordWrap/>
        <w:overflowPunct w:val="0"/>
        <w:topLinePunct w:val="0"/>
        <w:autoSpaceDE w:val="0"/>
        <w:autoSpaceDN w:val="0"/>
        <w:bidi w:val="0"/>
        <w:adjustRightInd/>
        <w:snapToGrid/>
        <w:spacing w:line="580" w:lineRule="atLeast"/>
        <w:ind w:firstLine="640" w:firstLineChars="200"/>
        <w:jc w:val="both"/>
        <w:textAlignment w:val="auto"/>
        <w:rPr>
          <w:rFonts w:hint="eastAsia"/>
          <w:color w:val="000000"/>
          <w:highlight w:val="none"/>
          <w:lang w:val="en-US"/>
        </w:rPr>
      </w:pPr>
      <w:r>
        <w:rPr>
          <w:rFonts w:hint="eastAsia"/>
          <w:color w:val="000000"/>
          <w:highlight w:val="none"/>
          <w:lang w:val="en-US"/>
        </w:rPr>
        <w:t>1.项目主要内容</w:t>
      </w:r>
    </w:p>
    <w:p w14:paraId="0BB48BC5">
      <w:pPr>
        <w:keepNext w:val="0"/>
        <w:keepLines w:val="0"/>
        <w:pageBreakBefore w:val="0"/>
        <w:widowControl w:val="0"/>
        <w:kinsoku/>
        <w:wordWrap/>
        <w:topLinePunct w:val="0"/>
        <w:autoSpaceDE w:val="0"/>
        <w:autoSpaceDN w:val="0"/>
        <w:bidi w:val="0"/>
        <w:adjustRightInd/>
        <w:snapToGrid/>
        <w:jc w:val="both"/>
        <w:textAlignment w:val="auto"/>
        <w:rPr>
          <w:rFonts w:hint="eastAsia"/>
          <w:lang w:val="en-US" w:eastAsia="zh-CN"/>
        </w:rPr>
      </w:pPr>
      <w:r>
        <w:rPr>
          <w:rFonts w:hint="eastAsia"/>
          <w:lang w:eastAsia="zh-CN"/>
        </w:rPr>
        <w:t>本项目主要内容是</w:t>
      </w:r>
      <w:r>
        <w:rPr>
          <w:rFonts w:hint="eastAsia"/>
          <w:lang w:val="en-US" w:eastAsia="zh-CN"/>
        </w:rPr>
        <w:t>落实人社局制定的一系列促就业人才发展政策，以就业创业补贴为主</w:t>
      </w:r>
      <w:bookmarkStart w:id="28" w:name="_Toc14339"/>
      <w:bookmarkStart w:id="29" w:name="_Toc25866"/>
      <w:bookmarkStart w:id="30" w:name="_Toc376"/>
      <w:bookmarkStart w:id="31" w:name="_Toc4436"/>
      <w:bookmarkStart w:id="32" w:name="_Toc18672"/>
      <w:bookmarkStart w:id="33" w:name="_Toc32418"/>
      <w:r>
        <w:rPr>
          <w:rFonts w:hint="eastAsia"/>
          <w:lang w:val="en-US" w:eastAsia="zh-CN"/>
        </w:rPr>
        <w:t>，主要包括以下项目：</w:t>
      </w:r>
    </w:p>
    <w:p w14:paraId="25EBF28B">
      <w:pPr>
        <w:pStyle w:val="21"/>
        <w:ind w:left="0" w:leftChars="0" w:firstLine="0" w:firstLineChars="0"/>
        <w:jc w:val="center"/>
        <w:rPr>
          <w:rFonts w:hint="eastAsia" w:ascii="黑体" w:hAnsi="黑体" w:eastAsia="黑体" w:cs="黑体"/>
          <w:sz w:val="24"/>
          <w:szCs w:val="20"/>
          <w:lang w:val="en-US" w:eastAsia="zh-CN"/>
        </w:rPr>
      </w:pPr>
      <w:r>
        <w:rPr>
          <w:rFonts w:hint="eastAsia" w:ascii="黑体" w:hAnsi="黑体" w:eastAsia="黑体" w:cs="黑体"/>
          <w:sz w:val="24"/>
          <w:szCs w:val="20"/>
          <w:lang w:val="en-US" w:eastAsia="zh-CN"/>
        </w:rPr>
        <w:t>表1.1：枣庄高新区人力资源项目清单</w:t>
      </w:r>
    </w:p>
    <w:tbl>
      <w:tblPr>
        <w:tblStyle w:val="22"/>
        <w:tblW w:w="9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8267"/>
      </w:tblGrid>
      <w:tr w14:paraId="6610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5D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78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大学生就业创业补贴</w:t>
            </w:r>
          </w:p>
        </w:tc>
      </w:tr>
      <w:tr w14:paraId="6557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4A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4A2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人才优选补贴</w:t>
            </w:r>
          </w:p>
        </w:tc>
      </w:tr>
      <w:tr w14:paraId="45AE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89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73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购房补助</w:t>
            </w:r>
          </w:p>
        </w:tc>
      </w:tr>
      <w:tr w14:paraId="53EA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DE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4E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招聘会</w:t>
            </w:r>
          </w:p>
        </w:tc>
      </w:tr>
      <w:tr w14:paraId="2B41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5B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072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企业急需紧缺人才津贴</w:t>
            </w:r>
          </w:p>
        </w:tc>
      </w:tr>
      <w:tr w14:paraId="25FC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B0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F5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大学生创业补贴</w:t>
            </w:r>
          </w:p>
        </w:tc>
      </w:tr>
      <w:tr w14:paraId="6306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32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C8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小微企业招用高校毕业生一次性吸纳就业补贴</w:t>
            </w:r>
          </w:p>
        </w:tc>
      </w:tr>
      <w:tr w14:paraId="40E0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58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84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小微企业招用高校毕业生社保补贴</w:t>
            </w:r>
          </w:p>
        </w:tc>
      </w:tr>
      <w:tr w14:paraId="2A65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A21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98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一次性创业补贴</w:t>
            </w:r>
          </w:p>
        </w:tc>
      </w:tr>
      <w:tr w14:paraId="23FB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73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56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一次性创业岗位开发补贴</w:t>
            </w:r>
          </w:p>
        </w:tc>
      </w:tr>
      <w:tr w14:paraId="3B0D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2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9B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流动人员人事档案</w:t>
            </w:r>
          </w:p>
        </w:tc>
      </w:tr>
      <w:tr w14:paraId="4B7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7B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1D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平台补贴</w:t>
            </w:r>
          </w:p>
        </w:tc>
      </w:tr>
      <w:tr w14:paraId="7E03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0D8DE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A8CF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职称评审费用</w:t>
            </w:r>
          </w:p>
        </w:tc>
      </w:tr>
      <w:tr w14:paraId="4C40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7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E3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创新创业人才招引工作经费</w:t>
            </w:r>
          </w:p>
        </w:tc>
      </w:tr>
    </w:tbl>
    <w:p w14:paraId="10748FC7">
      <w:pPr>
        <w:pStyle w:val="9"/>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（三）项目预算及实施情况</w:t>
      </w:r>
    </w:p>
    <w:p w14:paraId="1ECCB7B4">
      <w:pPr>
        <w:pStyle w:val="9"/>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hint="default" w:cs="仿宋_GB2312"/>
          <w:sz w:val="32"/>
          <w:szCs w:val="22"/>
          <w:lang w:val="en-US" w:eastAsia="zh-CN" w:bidi="zh-CN"/>
        </w:rPr>
      </w:pPr>
      <w:r>
        <w:rPr>
          <w:rFonts w:hint="eastAsia" w:ascii="仿宋_GB2312" w:hAnsi="仿宋_GB2312" w:eastAsia="仿宋_GB2312" w:cs="仿宋_GB2312"/>
          <w:sz w:val="32"/>
          <w:szCs w:val="22"/>
          <w:lang w:val="en-US" w:eastAsia="zh-CN" w:bidi="zh-CN"/>
        </w:rPr>
        <w:t>本项目预算批复800万元，</w:t>
      </w:r>
      <w:r>
        <w:rPr>
          <w:rFonts w:hint="eastAsia" w:cs="仿宋_GB2312"/>
          <w:sz w:val="32"/>
          <w:szCs w:val="22"/>
          <w:lang w:val="en-US" w:eastAsia="zh-CN" w:bidi="zh-CN"/>
        </w:rPr>
        <w:t>调整后预算808.51万元，</w:t>
      </w:r>
      <w:r>
        <w:rPr>
          <w:rFonts w:hint="eastAsia" w:ascii="仿宋_GB2312" w:hAnsi="仿宋_GB2312" w:eastAsia="仿宋_GB2312" w:cs="仿宋_GB2312"/>
          <w:sz w:val="32"/>
          <w:szCs w:val="22"/>
          <w:lang w:val="en-US" w:eastAsia="zh-CN" w:bidi="zh-CN"/>
        </w:rPr>
        <w:t>除因疫情未开展创新创业人才招引工作外，其余子项目全部实施完毕</w:t>
      </w:r>
      <w:r>
        <w:rPr>
          <w:rFonts w:hint="eastAsia" w:cs="仿宋_GB2312"/>
          <w:sz w:val="32"/>
          <w:szCs w:val="22"/>
          <w:lang w:val="en-US" w:eastAsia="zh-CN" w:bidi="zh-CN"/>
        </w:rPr>
        <w:t>，总支出808.51万元。</w:t>
      </w:r>
      <w:bookmarkEnd w:id="28"/>
      <w:bookmarkEnd w:id="29"/>
      <w:bookmarkEnd w:id="30"/>
      <w:bookmarkEnd w:id="31"/>
      <w:bookmarkEnd w:id="32"/>
      <w:bookmarkEnd w:id="33"/>
      <w:bookmarkStart w:id="34" w:name="_Toc30633"/>
      <w:bookmarkStart w:id="35" w:name="_Toc19058"/>
      <w:bookmarkStart w:id="36" w:name="_Toc18786"/>
      <w:bookmarkStart w:id="37" w:name="_Toc14951"/>
      <w:bookmarkStart w:id="38" w:name="_Toc2825"/>
      <w:bookmarkStart w:id="39" w:name="_Toc2605"/>
      <w:r>
        <w:rPr>
          <w:rFonts w:hint="eastAsia" w:cs="仿宋_GB2312"/>
          <w:sz w:val="32"/>
          <w:szCs w:val="22"/>
          <w:lang w:val="en-US" w:eastAsia="zh-CN" w:bidi="zh-CN"/>
        </w:rPr>
        <w:t>根据现场调研，枣庄高新区社会事务综合服务中心均按照上级政策文件据实发放各类补贴。</w:t>
      </w:r>
    </w:p>
    <w:p w14:paraId="5328DC45">
      <w:pPr>
        <w:pStyle w:val="9"/>
        <w:keepNext w:val="0"/>
        <w:keepLines w:val="0"/>
        <w:pageBreakBefore w:val="0"/>
        <w:widowControl w:val="0"/>
        <w:kinsoku/>
        <w:wordWrap/>
        <w:overflowPunct/>
        <w:topLinePunct w:val="0"/>
        <w:autoSpaceDE w:val="0"/>
        <w:autoSpaceDN w:val="0"/>
        <w:bidi w:val="0"/>
        <w:adjustRightInd/>
        <w:snapToGrid/>
        <w:spacing w:line="7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二、项目绩效目标</w:t>
      </w:r>
      <w:bookmarkEnd w:id="34"/>
      <w:bookmarkEnd w:id="35"/>
      <w:bookmarkEnd w:id="36"/>
      <w:bookmarkEnd w:id="37"/>
      <w:bookmarkEnd w:id="38"/>
      <w:bookmarkEnd w:id="39"/>
    </w:p>
    <w:p w14:paraId="635880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楷体_GB2312" w:hAnsi="楷体_GB2312" w:eastAsia="楷体_GB2312" w:cs="楷体_GB2312"/>
          <w:lang w:val="en-US" w:eastAsia="zh-CN"/>
        </w:rPr>
      </w:pPr>
      <w:bookmarkStart w:id="40" w:name="_Toc23546"/>
      <w:bookmarkStart w:id="41" w:name="_Toc8958"/>
      <w:bookmarkStart w:id="42" w:name="_Toc26494"/>
      <w:bookmarkStart w:id="43" w:name="_Toc307"/>
      <w:bookmarkStart w:id="44" w:name="_Toc30821"/>
      <w:bookmarkStart w:id="45" w:name="_Toc19460"/>
      <w:bookmarkStart w:id="46" w:name="_Toc23965"/>
      <w:bookmarkStart w:id="47" w:name="_Toc25502"/>
      <w:r>
        <w:rPr>
          <w:rFonts w:hint="eastAsia" w:ascii="楷体_GB2312" w:hAnsi="楷体_GB2312" w:eastAsia="楷体_GB2312" w:cs="楷体_GB2312"/>
          <w:lang w:val="en-US" w:eastAsia="zh-CN"/>
        </w:rPr>
        <w:t>（一）总体绩效目标</w:t>
      </w:r>
      <w:bookmarkEnd w:id="40"/>
      <w:bookmarkEnd w:id="41"/>
      <w:bookmarkEnd w:id="42"/>
      <w:bookmarkEnd w:id="43"/>
      <w:bookmarkEnd w:id="44"/>
      <w:bookmarkEnd w:id="45"/>
      <w:bookmarkEnd w:id="46"/>
      <w:bookmarkEnd w:id="47"/>
    </w:p>
    <w:p w14:paraId="792CE2CC">
      <w:pPr>
        <w:keepNext w:val="0"/>
        <w:keepLines w:val="0"/>
        <w:pageBreakBefore w:val="0"/>
        <w:widowControl w:val="0"/>
        <w:kinsoku/>
        <w:wordWrap/>
        <w:overflowPunct/>
        <w:topLinePunct w:val="0"/>
        <w:autoSpaceDE w:val="0"/>
        <w:autoSpaceDN w:val="0"/>
        <w:bidi w:val="0"/>
        <w:adjustRightInd/>
        <w:snapToGrid/>
        <w:jc w:val="both"/>
        <w:textAlignment w:val="auto"/>
        <w:rPr>
          <w:rFonts w:hint="eastAsia"/>
          <w:highlight w:val="none"/>
        </w:rPr>
      </w:pPr>
      <w:r>
        <w:rPr>
          <w:rFonts w:hint="eastAsia"/>
          <w:sz w:val="32"/>
          <w:szCs w:val="32"/>
          <w:lang w:eastAsia="zh-CN"/>
        </w:rPr>
        <w:t>本项目的</w:t>
      </w:r>
      <w:r>
        <w:rPr>
          <w:rFonts w:hint="eastAsia"/>
          <w:sz w:val="32"/>
          <w:szCs w:val="32"/>
          <w:lang w:val="en-US" w:eastAsia="zh-CN"/>
        </w:rPr>
        <w:t>总体</w:t>
      </w:r>
      <w:r>
        <w:rPr>
          <w:rFonts w:hint="eastAsia"/>
          <w:sz w:val="32"/>
          <w:szCs w:val="32"/>
          <w:lang w:eastAsia="zh-CN"/>
        </w:rPr>
        <w:t>目标是</w:t>
      </w:r>
      <w:r>
        <w:rPr>
          <w:rFonts w:hint="eastAsia"/>
          <w:sz w:val="32"/>
          <w:szCs w:val="32"/>
          <w:lang w:val="en-US" w:eastAsia="zh-CN"/>
        </w:rPr>
        <w:t>完成《枣庄市援企稳岗扩就业保民生政策清单》中的工作任务，充分做好政策解读工作，让企业群众明晰政策，持续推动各项政策落实服务落地，着力保市场主体保就业民生，不断提升企业群众获得感，确保就业形势持续稳定</w:t>
      </w:r>
      <w:r>
        <w:rPr>
          <w:rFonts w:hint="eastAsia" w:ascii="仿宋_GB2312" w:eastAsia="仿宋_GB2312"/>
          <w:sz w:val="32"/>
          <w:szCs w:val="32"/>
        </w:rPr>
        <w:t>。</w:t>
      </w:r>
    </w:p>
    <w:p w14:paraId="2481113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楷体_GB2312" w:hAnsi="楷体_GB2312" w:eastAsia="楷体_GB2312" w:cs="楷体_GB2312"/>
          <w:lang w:val="en-US" w:eastAsia="zh-CN"/>
        </w:rPr>
      </w:pPr>
      <w:bookmarkStart w:id="48" w:name="_Toc2629"/>
      <w:bookmarkStart w:id="49" w:name="_Toc19003"/>
      <w:bookmarkStart w:id="50" w:name="_Toc2065"/>
      <w:bookmarkStart w:id="51" w:name="_Toc22554"/>
      <w:bookmarkStart w:id="52" w:name="_Toc10497"/>
      <w:bookmarkStart w:id="53" w:name="_Toc13678"/>
      <w:bookmarkStart w:id="54" w:name="_Toc536"/>
      <w:bookmarkStart w:id="55" w:name="_Toc23342"/>
      <w:r>
        <w:rPr>
          <w:rFonts w:hint="eastAsia" w:ascii="楷体_GB2312" w:hAnsi="楷体_GB2312" w:eastAsia="楷体_GB2312" w:cs="楷体_GB2312"/>
          <w:lang w:val="en-US" w:eastAsia="zh-CN"/>
        </w:rPr>
        <w:t>（二）年度绩效目标</w:t>
      </w:r>
      <w:bookmarkEnd w:id="48"/>
      <w:bookmarkEnd w:id="49"/>
      <w:bookmarkEnd w:id="50"/>
      <w:bookmarkEnd w:id="51"/>
      <w:bookmarkEnd w:id="52"/>
      <w:bookmarkEnd w:id="53"/>
      <w:bookmarkEnd w:id="54"/>
      <w:bookmarkEnd w:id="55"/>
    </w:p>
    <w:p w14:paraId="502CD519">
      <w:pPr>
        <w:pStyle w:val="21"/>
        <w:rPr>
          <w:rFonts w:hint="default" w:ascii="仿宋_GB2312" w:hAnsi="仿宋_GB2312" w:eastAsia="仿宋_GB2312" w:cs="仿宋_GB2312"/>
          <w:sz w:val="32"/>
          <w:szCs w:val="32"/>
          <w:lang w:val="en-US" w:eastAsia="zh-CN" w:bidi="zh-CN"/>
        </w:rPr>
      </w:pPr>
      <w:r>
        <w:rPr>
          <w:rFonts w:hint="eastAsia" w:cs="仿宋_GB2312"/>
          <w:sz w:val="32"/>
          <w:szCs w:val="32"/>
          <w:lang w:val="en-US" w:eastAsia="zh-CN" w:bidi="zh-CN"/>
        </w:rPr>
        <w:t>为进一步方便对本项目的考核，评价组梳理了项目年度绩效目标，具体而言，</w:t>
      </w:r>
      <w:r>
        <w:rPr>
          <w:rFonts w:hint="eastAsia" w:ascii="仿宋_GB2312" w:hAnsi="仿宋_GB2312" w:eastAsia="仿宋_GB2312" w:cs="仿宋_GB2312"/>
          <w:sz w:val="32"/>
          <w:szCs w:val="32"/>
          <w:lang w:val="en-US" w:eastAsia="zh-CN" w:bidi="zh-CN"/>
        </w:rPr>
        <w:t>202</w:t>
      </w:r>
      <w:r>
        <w:rPr>
          <w:rFonts w:hint="eastAsia" w:cs="仿宋_GB2312"/>
          <w:sz w:val="32"/>
          <w:szCs w:val="32"/>
          <w:lang w:val="en-US" w:eastAsia="zh-CN" w:bidi="zh-CN"/>
        </w:rPr>
        <w:t>2</w:t>
      </w:r>
      <w:r>
        <w:rPr>
          <w:rFonts w:hint="eastAsia" w:ascii="仿宋_GB2312" w:hAnsi="仿宋_GB2312" w:eastAsia="仿宋_GB2312" w:cs="仿宋_GB2312"/>
          <w:sz w:val="32"/>
          <w:szCs w:val="32"/>
          <w:lang w:val="en-US" w:eastAsia="zh-CN" w:bidi="zh-CN"/>
        </w:rPr>
        <w:t>年度绩效目标为</w:t>
      </w:r>
      <w:r>
        <w:rPr>
          <w:rFonts w:hint="eastAsia" w:cs="仿宋_GB2312"/>
          <w:sz w:val="32"/>
          <w:szCs w:val="32"/>
          <w:lang w:val="en-US" w:eastAsia="zh-CN" w:bidi="zh-CN"/>
        </w:rPr>
        <w:t>补贴项目完成率100%；举办招聘会2次；开展职称评审1次；人事档案邮寄完成率100%；补贴审核准确率100%；资料审核和资金发放及时率100%;成本控制在808.51万元以内；推动各类政策应享尽享；档案保存完整；受益群众和企业满意度95%。</w:t>
      </w:r>
    </w:p>
    <w:p w14:paraId="34B3D415">
      <w:pPr>
        <w:pStyle w:val="9"/>
        <w:keepNext w:val="0"/>
        <w:keepLines w:val="0"/>
        <w:pageBreakBefore w:val="0"/>
        <w:widowControl w:val="0"/>
        <w:kinsoku/>
        <w:wordWrap/>
        <w:overflowPunct/>
        <w:topLinePunct w:val="0"/>
        <w:autoSpaceDE w:val="0"/>
        <w:autoSpaceDN w:val="0"/>
        <w:bidi w:val="0"/>
        <w:adjustRightInd/>
        <w:snapToGrid/>
        <w:spacing w:line="700" w:lineRule="exact"/>
        <w:ind w:left="0" w:leftChars="0" w:firstLine="640" w:firstLineChars="200"/>
        <w:textAlignment w:val="auto"/>
        <w:rPr>
          <w:rFonts w:hint="eastAsia" w:ascii="黑体" w:hAnsi="黑体" w:eastAsia="黑体" w:cs="黑体"/>
          <w:lang w:val="en-US" w:eastAsia="zh-CN"/>
        </w:rPr>
      </w:pPr>
      <w:bookmarkStart w:id="56" w:name="_Toc24751"/>
      <w:bookmarkStart w:id="57" w:name="_Toc8706"/>
      <w:bookmarkStart w:id="58" w:name="_Toc192"/>
      <w:bookmarkStart w:id="59" w:name="_Toc30748"/>
      <w:r>
        <w:rPr>
          <w:rFonts w:hint="eastAsia" w:ascii="黑体" w:hAnsi="黑体" w:eastAsia="黑体" w:cs="黑体"/>
          <w:lang w:val="en-US" w:eastAsia="zh-CN"/>
        </w:rPr>
        <w:t>三、评价基本情况</w:t>
      </w:r>
      <w:bookmarkEnd w:id="56"/>
      <w:bookmarkEnd w:id="57"/>
      <w:bookmarkEnd w:id="58"/>
      <w:bookmarkEnd w:id="59"/>
    </w:p>
    <w:p w14:paraId="3B665929">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楷体_GB2312" w:hAnsi="楷体_GB2312" w:eastAsia="楷体_GB2312" w:cs="楷体_GB2312"/>
          <w:lang w:val="en-US" w:eastAsia="zh-CN"/>
        </w:rPr>
      </w:pPr>
      <w:bookmarkStart w:id="60" w:name="_Toc5987"/>
      <w:bookmarkStart w:id="61" w:name="_Toc15360"/>
      <w:bookmarkStart w:id="62" w:name="_Toc25996"/>
      <w:bookmarkStart w:id="63" w:name="_Toc16905"/>
      <w:bookmarkStart w:id="64" w:name="_Toc11208"/>
      <w:bookmarkStart w:id="65" w:name="_Toc18623"/>
      <w:r>
        <w:rPr>
          <w:rFonts w:hint="eastAsia" w:ascii="楷体_GB2312" w:hAnsi="楷体_GB2312" w:eastAsia="楷体_GB2312" w:cs="楷体_GB2312"/>
          <w:lang w:val="en-US" w:eastAsia="zh-CN"/>
        </w:rPr>
        <w:t>（一）评价目的、对象与范围</w:t>
      </w:r>
      <w:bookmarkEnd w:id="60"/>
      <w:bookmarkEnd w:id="61"/>
      <w:bookmarkEnd w:id="62"/>
      <w:bookmarkEnd w:id="63"/>
      <w:bookmarkEnd w:id="64"/>
      <w:bookmarkEnd w:id="65"/>
    </w:p>
    <w:p w14:paraId="7D90EA4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lang w:val="en-US" w:eastAsia="zh-CN"/>
        </w:rPr>
      </w:pPr>
      <w:r>
        <w:rPr>
          <w:rFonts w:hint="eastAsia"/>
          <w:lang w:val="en-US" w:eastAsia="zh-CN"/>
        </w:rPr>
        <w:t>1.评价目的</w:t>
      </w:r>
    </w:p>
    <w:p w14:paraId="1084BD89">
      <w:pPr>
        <w:keepNext w:val="0"/>
        <w:keepLines w:val="0"/>
        <w:pageBreakBefore w:val="0"/>
        <w:widowControl w:val="0"/>
        <w:kinsoku/>
        <w:wordWrap/>
        <w:overflowPunct/>
        <w:topLinePunct w:val="0"/>
        <w:autoSpaceDE w:val="0"/>
        <w:autoSpaceDN w:val="0"/>
        <w:bidi w:val="0"/>
        <w:adjustRightInd/>
        <w:snapToGrid/>
        <w:ind w:firstLine="640"/>
        <w:jc w:val="both"/>
        <w:textAlignment w:val="auto"/>
        <w:rPr>
          <w:rFonts w:hint="eastAsia"/>
          <w:sz w:val="32"/>
          <w:szCs w:val="32"/>
          <w:highlight w:val="none"/>
          <w:lang w:val="en-US" w:eastAsia="zh-CN"/>
        </w:rPr>
      </w:pPr>
      <w:r>
        <w:rPr>
          <w:rFonts w:hint="eastAsia" w:ascii="仿宋_GB2312" w:eastAsia="仿宋_GB2312"/>
          <w:sz w:val="32"/>
          <w:szCs w:val="32"/>
        </w:rPr>
        <w:t>本次绩效评价工作从项目决策、过程、产出和效益等方面，评价</w:t>
      </w:r>
      <w:r>
        <w:rPr>
          <w:rFonts w:hint="eastAsia" w:ascii="仿宋_GB2312" w:eastAsia="仿宋_GB2312"/>
          <w:sz w:val="32"/>
          <w:szCs w:val="32"/>
          <w:lang w:val="en-US" w:eastAsia="zh-CN"/>
        </w:rPr>
        <w:t>202</w:t>
      </w:r>
      <w:r>
        <w:rPr>
          <w:rFonts w:hint="eastAsia"/>
          <w:sz w:val="32"/>
          <w:szCs w:val="32"/>
          <w:lang w:val="en-US" w:eastAsia="zh-CN"/>
        </w:rPr>
        <w:t>2</w:t>
      </w:r>
      <w:r>
        <w:rPr>
          <w:rFonts w:hint="eastAsia" w:ascii="仿宋_GB2312" w:eastAsia="仿宋_GB2312"/>
          <w:sz w:val="32"/>
          <w:szCs w:val="32"/>
          <w:lang w:val="en-US" w:eastAsia="zh-CN"/>
        </w:rPr>
        <w:t>年</w:t>
      </w:r>
      <w:r>
        <w:rPr>
          <w:rFonts w:hint="eastAsia"/>
          <w:sz w:val="32"/>
          <w:szCs w:val="32"/>
          <w:lang w:val="en-US" w:eastAsia="zh-CN"/>
        </w:rPr>
        <w:t>枣庄</w:t>
      </w:r>
      <w:r>
        <w:rPr>
          <w:rFonts w:hint="eastAsia" w:ascii="仿宋_GB2312" w:eastAsia="仿宋_GB2312"/>
          <w:sz w:val="32"/>
          <w:szCs w:val="32"/>
          <w:lang w:val="en-US" w:eastAsia="zh-CN"/>
        </w:rPr>
        <w:t>市</w:t>
      </w:r>
      <w:r>
        <w:rPr>
          <w:rFonts w:hint="eastAsia"/>
          <w:sz w:val="32"/>
          <w:szCs w:val="32"/>
          <w:lang w:val="en-US" w:eastAsia="zh-CN"/>
        </w:rPr>
        <w:t>高新区人力资源经费项目</w:t>
      </w:r>
      <w:r>
        <w:rPr>
          <w:rFonts w:hint="eastAsia" w:ascii="仿宋_GB2312" w:eastAsia="仿宋_GB2312"/>
          <w:sz w:val="32"/>
          <w:szCs w:val="32"/>
          <w:lang w:val="en-US" w:eastAsia="zh-CN"/>
        </w:rPr>
        <w:t>的</w:t>
      </w:r>
      <w:r>
        <w:rPr>
          <w:rFonts w:hint="eastAsia"/>
          <w:sz w:val="32"/>
          <w:szCs w:val="32"/>
          <w:lang w:val="en-US" w:eastAsia="zh-CN"/>
        </w:rPr>
        <w:t>资金</w:t>
      </w:r>
      <w:r>
        <w:rPr>
          <w:rFonts w:hint="eastAsia" w:ascii="仿宋_GB2312" w:eastAsia="仿宋_GB2312"/>
          <w:sz w:val="32"/>
          <w:szCs w:val="32"/>
          <w:lang w:val="en-US" w:eastAsia="zh-CN"/>
        </w:rPr>
        <w:t>使用情况。深入挖掘问题并提出相关建议，以提高资金使用效率，为</w:t>
      </w:r>
      <w:r>
        <w:rPr>
          <w:rFonts w:hint="eastAsia"/>
          <w:sz w:val="32"/>
          <w:szCs w:val="32"/>
          <w:lang w:val="en-US" w:eastAsia="zh-CN"/>
        </w:rPr>
        <w:t>以后年度预算安排</w:t>
      </w:r>
      <w:r>
        <w:rPr>
          <w:rFonts w:hint="eastAsia" w:ascii="仿宋_GB2312" w:eastAsia="仿宋_GB2312"/>
          <w:sz w:val="32"/>
          <w:szCs w:val="32"/>
          <w:lang w:val="en-US" w:eastAsia="zh-CN"/>
        </w:rPr>
        <w:t>提供决策依据。</w:t>
      </w:r>
    </w:p>
    <w:p w14:paraId="7C71354E">
      <w:pPr>
        <w:keepNext w:val="0"/>
        <w:keepLines w:val="0"/>
        <w:pageBreakBefore w:val="0"/>
        <w:widowControl w:val="0"/>
        <w:kinsoku/>
        <w:wordWrap/>
        <w:overflowPunct/>
        <w:topLinePunct w:val="0"/>
        <w:autoSpaceDE w:val="0"/>
        <w:autoSpaceDN w:val="0"/>
        <w:bidi w:val="0"/>
        <w:adjustRightInd/>
        <w:snapToGrid/>
        <w:jc w:val="both"/>
        <w:textAlignment w:val="auto"/>
      </w:pPr>
      <w:r>
        <w:rPr>
          <w:rFonts w:hint="eastAsia"/>
          <w:lang w:val="en-US" w:eastAsia="zh-CN"/>
        </w:rPr>
        <w:t>2.</w:t>
      </w:r>
      <w:r>
        <w:rPr>
          <w:rFonts w:hint="eastAsia"/>
        </w:rPr>
        <w:t>评价对象</w:t>
      </w:r>
    </w:p>
    <w:p w14:paraId="104A9132">
      <w:pPr>
        <w:keepNext w:val="0"/>
        <w:keepLines w:val="0"/>
        <w:pageBreakBefore w:val="0"/>
        <w:widowControl w:val="0"/>
        <w:kinsoku/>
        <w:wordWrap/>
        <w:overflowPunct/>
        <w:topLinePunct w:val="0"/>
        <w:autoSpaceDE w:val="0"/>
        <w:autoSpaceDN w:val="0"/>
        <w:bidi w:val="0"/>
        <w:adjustRightInd/>
        <w:snapToGrid/>
        <w:jc w:val="both"/>
        <w:textAlignment w:val="auto"/>
        <w:rPr>
          <w:rFonts w:hint="eastAsia"/>
        </w:rPr>
      </w:pPr>
      <w:r>
        <w:rPr>
          <w:rFonts w:hint="eastAsia"/>
          <w:lang w:eastAsia="zh-CN"/>
        </w:rPr>
        <w:t>本项目评价对象为</w:t>
      </w:r>
      <w:r>
        <w:rPr>
          <w:rFonts w:hint="eastAsia"/>
        </w:rPr>
        <w:t>202</w:t>
      </w:r>
      <w:r>
        <w:rPr>
          <w:rFonts w:hint="eastAsia"/>
          <w:lang w:val="en-US" w:eastAsia="zh-CN"/>
        </w:rPr>
        <w:t>2</w:t>
      </w:r>
      <w:r>
        <w:rPr>
          <w:rFonts w:hint="eastAsia"/>
        </w:rPr>
        <w:t>年</w:t>
      </w:r>
      <w:r>
        <w:rPr>
          <w:rFonts w:hint="eastAsia"/>
          <w:lang w:val="en-US" w:eastAsia="zh-CN"/>
        </w:rPr>
        <w:t>人力资源经费</w:t>
      </w:r>
      <w:r>
        <w:rPr>
          <w:rFonts w:hint="eastAsia"/>
        </w:rPr>
        <w:t>项目</w:t>
      </w:r>
      <w:r>
        <w:rPr>
          <w:rFonts w:hint="eastAsia"/>
          <w:lang w:val="en-US" w:eastAsia="zh-CN"/>
        </w:rPr>
        <w:t>808.51万元</w:t>
      </w:r>
      <w:r>
        <w:rPr>
          <w:rFonts w:hint="eastAsia"/>
        </w:rPr>
        <w:t>。</w:t>
      </w:r>
    </w:p>
    <w:p w14:paraId="53742FAD">
      <w:pPr>
        <w:keepNext w:val="0"/>
        <w:keepLines w:val="0"/>
        <w:pageBreakBefore w:val="0"/>
        <w:widowControl w:val="0"/>
        <w:kinsoku/>
        <w:wordWrap/>
        <w:overflowPunct/>
        <w:topLinePunct w:val="0"/>
        <w:autoSpaceDE w:val="0"/>
        <w:autoSpaceDN w:val="0"/>
        <w:bidi w:val="0"/>
        <w:adjustRightInd/>
        <w:snapToGrid/>
        <w:jc w:val="both"/>
        <w:textAlignment w:val="auto"/>
      </w:pPr>
      <w:r>
        <w:rPr>
          <w:rFonts w:hint="eastAsia"/>
          <w:lang w:val="en-US" w:eastAsia="zh-CN"/>
        </w:rPr>
        <w:t>3.</w:t>
      </w:r>
      <w:r>
        <w:rPr>
          <w:rFonts w:hint="eastAsia"/>
        </w:rPr>
        <w:t>评价范围</w:t>
      </w:r>
    </w:p>
    <w:p w14:paraId="30BFFAB4">
      <w:pPr>
        <w:keepNext w:val="0"/>
        <w:keepLines w:val="0"/>
        <w:pageBreakBefore w:val="0"/>
        <w:widowControl w:val="0"/>
        <w:kinsoku/>
        <w:wordWrap/>
        <w:overflowPunct/>
        <w:topLinePunct w:val="0"/>
        <w:autoSpaceDE w:val="0"/>
        <w:autoSpaceDN w:val="0"/>
        <w:bidi w:val="0"/>
        <w:adjustRightInd/>
        <w:snapToGrid/>
        <w:jc w:val="both"/>
        <w:textAlignment w:val="auto"/>
        <w:rPr>
          <w:rFonts w:hint="eastAsia"/>
          <w:lang w:val="en-US" w:eastAsia="zh-CN"/>
        </w:rPr>
      </w:pPr>
      <w:bookmarkStart w:id="66" w:name="_Toc22987"/>
      <w:bookmarkStart w:id="67" w:name="_Toc23090"/>
      <w:bookmarkStart w:id="68" w:name="_Toc32255"/>
      <w:bookmarkStart w:id="69" w:name="_Toc13270"/>
      <w:bookmarkStart w:id="70" w:name="_Toc17995"/>
      <w:bookmarkStart w:id="71" w:name="_Toc24657"/>
      <w:r>
        <w:rPr>
          <w:rFonts w:hint="eastAsia"/>
        </w:rPr>
        <w:t>本项目评价范围</w:t>
      </w:r>
      <w:r>
        <w:rPr>
          <w:rFonts w:hint="eastAsia"/>
          <w:lang w:val="en-US" w:eastAsia="zh-CN"/>
        </w:rPr>
        <w:t>是资金链条的全过程，涉及枣庄市高新区社会事务综合服务中心、财政金融局、部分项目单位，包括项目立项、预算编制情况、项目具体执行情况、项目产生的效果。</w:t>
      </w:r>
      <w:bookmarkEnd w:id="66"/>
      <w:bookmarkEnd w:id="67"/>
    </w:p>
    <w:p w14:paraId="6CA20B8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楷体_GB2312" w:hAnsi="楷体_GB2312" w:eastAsia="楷体_GB2312" w:cs="楷体_GB2312"/>
          <w:lang w:val="en-US"/>
        </w:rPr>
      </w:pPr>
      <w:bookmarkStart w:id="72" w:name="_Toc20152"/>
      <w:bookmarkStart w:id="73" w:name="_Toc932"/>
      <w:r>
        <w:rPr>
          <w:rFonts w:hint="eastAsia" w:ascii="楷体_GB2312" w:hAnsi="楷体_GB2312" w:eastAsia="楷体_GB2312" w:cs="楷体_GB2312"/>
          <w:lang w:val="en-US" w:eastAsia="zh-CN"/>
        </w:rPr>
        <w:t>（二）绩效评价原则、指标体系、评价方法、评价标准</w:t>
      </w:r>
      <w:bookmarkEnd w:id="68"/>
      <w:bookmarkEnd w:id="69"/>
      <w:bookmarkEnd w:id="70"/>
      <w:bookmarkEnd w:id="71"/>
      <w:bookmarkEnd w:id="72"/>
      <w:bookmarkEnd w:id="73"/>
      <w:r>
        <w:rPr>
          <w:rFonts w:hint="eastAsia" w:ascii="楷体_GB2312" w:hAnsi="楷体_GB2312" w:eastAsia="楷体_GB2312" w:cs="楷体_GB2312"/>
          <w:lang w:val="en-US" w:eastAsia="zh-CN"/>
        </w:rPr>
        <w:t xml:space="preserve">    </w:t>
      </w:r>
    </w:p>
    <w:p w14:paraId="2E59FC2A">
      <w:pPr>
        <w:keepNext w:val="0"/>
        <w:keepLines w:val="0"/>
        <w:pageBreakBefore w:val="0"/>
        <w:kinsoku/>
        <w:wordWrap/>
        <w:topLinePunct w:val="0"/>
        <w:autoSpaceDE w:val="0"/>
        <w:autoSpaceDN w:val="0"/>
        <w:bidi w:val="0"/>
        <w:adjustRightInd/>
        <w:snapToGrid/>
        <w:ind w:left="0" w:leftChars="0" w:firstLine="640" w:firstLineChars="200"/>
        <w:jc w:val="both"/>
        <w:textAlignment w:val="auto"/>
        <w:rPr>
          <w:highlight w:val="none"/>
          <w:lang w:val="en-US"/>
        </w:rPr>
      </w:pPr>
      <w:r>
        <w:rPr>
          <w:rFonts w:hint="eastAsia"/>
          <w:highlight w:val="none"/>
          <w:lang w:val="en-US"/>
        </w:rPr>
        <w:t>1.评价原则</w:t>
      </w:r>
    </w:p>
    <w:p w14:paraId="3F88DA0C">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rPr>
          <w:highlight w:val="none"/>
          <w:lang w:val="en-US"/>
        </w:rPr>
      </w:pPr>
      <w:r>
        <w:rPr>
          <w:highlight w:val="none"/>
          <w:lang w:val="en-US"/>
        </w:rPr>
        <w:t>本次绩效评价指标按照以下原则：</w:t>
      </w:r>
    </w:p>
    <w:p w14:paraId="3B769C80">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rPr>
          <w:highlight w:val="none"/>
          <w:lang w:val="en-US"/>
        </w:rPr>
      </w:pPr>
      <w:r>
        <w:rPr>
          <w:highlight w:val="none"/>
          <w:lang w:val="en-US"/>
        </w:rPr>
        <w:t>（1）科学规范。严格执行规定的流程步骤，做到指标合理、标准科学、方法适当、结果可信。</w:t>
      </w:r>
    </w:p>
    <w:p w14:paraId="32286B0B">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rPr>
          <w:highlight w:val="none"/>
          <w:lang w:val="en-US"/>
        </w:rPr>
      </w:pPr>
      <w:r>
        <w:rPr>
          <w:highlight w:val="none"/>
          <w:lang w:val="en-US"/>
        </w:rPr>
        <w:t>（2）绩效相关。评价结果清晰反映绩效目标的实现情况及预算支出和绩效之间的对应关系。</w:t>
      </w:r>
    </w:p>
    <w:p w14:paraId="20C72E93">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rPr>
          <w:rFonts w:hint="eastAsia" w:eastAsia="仿宋_GB2312"/>
          <w:highlight w:val="none"/>
          <w:lang w:val="en-US" w:eastAsia="zh-CN"/>
        </w:rPr>
      </w:pPr>
      <w:r>
        <w:rPr>
          <w:rFonts w:hint="eastAsia"/>
          <w:highlight w:val="none"/>
          <w:lang w:val="en-US" w:eastAsia="zh-CN"/>
        </w:rPr>
        <w:t>（3）公开透明。评价结果符合客观、真实、公正的要求，依法依规公开并接受监督。</w:t>
      </w:r>
    </w:p>
    <w:p w14:paraId="0736E123">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outlineLvl w:val="2"/>
        <w:rPr>
          <w:rFonts w:hint="eastAsia"/>
          <w:highlight w:val="none"/>
          <w:lang w:val="en-US"/>
        </w:rPr>
      </w:pPr>
      <w:bookmarkStart w:id="74" w:name="_Toc12934"/>
      <w:r>
        <w:rPr>
          <w:rFonts w:hint="eastAsia"/>
          <w:highlight w:val="none"/>
          <w:lang w:val="en-US" w:eastAsia="zh-CN"/>
        </w:rPr>
        <w:t>2、评价指标体系</w:t>
      </w:r>
      <w:bookmarkEnd w:id="74"/>
      <w:r>
        <w:rPr>
          <w:rFonts w:hint="eastAsia"/>
          <w:highlight w:val="none"/>
          <w:lang w:val="en-US" w:eastAsia="zh-CN"/>
        </w:rPr>
        <w:t xml:space="preserve"> </w:t>
      </w:r>
    </w:p>
    <w:p w14:paraId="710E8C81">
      <w:pPr>
        <w:keepNext w:val="0"/>
        <w:keepLines w:val="0"/>
        <w:pageBreakBefore w:val="0"/>
        <w:widowControl/>
        <w:suppressLineNumbers w:val="0"/>
        <w:kinsoku/>
        <w:wordWrap/>
        <w:topLinePunct w:val="0"/>
        <w:autoSpaceDE w:val="0"/>
        <w:autoSpaceDN w:val="0"/>
        <w:bidi w:val="0"/>
        <w:adjustRightInd/>
        <w:snapToGrid/>
        <w:jc w:val="both"/>
        <w:textAlignment w:val="auto"/>
        <w:rPr>
          <w:rFonts w:ascii="仿宋_GB2312" w:eastAsia="仿宋_GB2312"/>
          <w:sz w:val="32"/>
          <w:szCs w:val="32"/>
          <w:lang w:val="zh-CN"/>
        </w:rPr>
      </w:pPr>
      <w:r>
        <w:rPr>
          <w:rFonts w:hint="eastAsia" w:eastAsia="仿宋_GB2312"/>
          <w:sz w:val="32"/>
          <w:szCs w:val="32"/>
          <w:lang w:eastAsia="zh-CN"/>
        </w:rPr>
        <w:t>根据</w:t>
      </w:r>
      <w:r>
        <w:rPr>
          <w:rFonts w:hint="eastAsia" w:eastAsia="仿宋_GB2312"/>
          <w:sz w:val="32"/>
          <w:szCs w:val="32"/>
        </w:rPr>
        <w:t>《山东省省级项目支出绩效财政评价和部门评价工作规程》</w:t>
      </w:r>
      <w:r>
        <w:rPr>
          <w:rFonts w:hint="eastAsia" w:eastAsia="仿宋_GB2312"/>
          <w:sz w:val="32"/>
          <w:szCs w:val="32"/>
          <w:lang w:eastAsia="zh-CN"/>
        </w:rPr>
        <w:t>，为</w:t>
      </w:r>
      <w:r>
        <w:rPr>
          <w:rFonts w:ascii="仿宋_GB2312" w:hAnsi="宋体" w:eastAsia="仿宋_GB2312" w:cs="仿宋_GB2312"/>
          <w:color w:val="000000"/>
          <w:kern w:val="0"/>
          <w:sz w:val="32"/>
          <w:szCs w:val="32"/>
          <w:lang w:val="en-US" w:eastAsia="zh-CN" w:bidi="ar"/>
        </w:rPr>
        <w:t>突出结果导向，原则上产出、</w:t>
      </w:r>
      <w:r>
        <w:rPr>
          <w:rFonts w:hint="eastAsia" w:ascii="仿宋_GB2312" w:hAnsi="宋体" w:eastAsia="仿宋_GB2312" w:cs="仿宋_GB2312"/>
          <w:color w:val="000000"/>
          <w:kern w:val="0"/>
          <w:sz w:val="32"/>
          <w:szCs w:val="32"/>
          <w:lang w:val="en-US" w:eastAsia="zh-CN" w:bidi="ar"/>
        </w:rPr>
        <w:t>效益指标权重不低于60%</w:t>
      </w:r>
      <w:r>
        <w:rPr>
          <w:rFonts w:hint="eastAsia" w:eastAsia="仿宋_GB2312"/>
          <w:sz w:val="32"/>
          <w:szCs w:val="32"/>
          <w:lang w:eastAsia="zh-CN"/>
        </w:rPr>
        <w:t>，</w:t>
      </w:r>
      <w:r>
        <w:rPr>
          <w:rFonts w:hint="eastAsia" w:ascii="仿宋_GB2312" w:hAnsi="宋体" w:eastAsia="仿宋_GB2312" w:cs="仿宋_GB2312"/>
          <w:color w:val="000000"/>
          <w:kern w:val="0"/>
          <w:sz w:val="32"/>
          <w:szCs w:val="32"/>
          <w:lang w:val="en-US" w:eastAsia="zh-CN" w:bidi="ar"/>
        </w:rPr>
        <w:t>因此，</w:t>
      </w:r>
      <w:r>
        <w:rPr>
          <w:rFonts w:hint="eastAsia" w:eastAsia="仿宋_GB2312"/>
          <w:sz w:val="32"/>
          <w:szCs w:val="32"/>
        </w:rPr>
        <w:t>本项目指标体系框架</w:t>
      </w:r>
      <w:r>
        <w:rPr>
          <w:rFonts w:hint="eastAsia" w:eastAsia="仿宋_GB2312"/>
          <w:sz w:val="32"/>
          <w:szCs w:val="32"/>
          <w:lang w:eastAsia="zh-CN"/>
        </w:rPr>
        <w:t>设置</w:t>
      </w:r>
      <w:r>
        <w:rPr>
          <w:rFonts w:hint="eastAsia" w:eastAsia="仿宋_GB2312"/>
          <w:sz w:val="32"/>
          <w:szCs w:val="32"/>
        </w:rPr>
        <w:t>决策、过程、产出、效益4个</w:t>
      </w:r>
      <w:r>
        <w:rPr>
          <w:rFonts w:hint="eastAsia" w:eastAsia="仿宋_GB2312"/>
          <w:sz w:val="32"/>
          <w:szCs w:val="32"/>
          <w:lang w:eastAsia="zh-CN"/>
        </w:rPr>
        <w:t>一级</w:t>
      </w:r>
      <w:r>
        <w:rPr>
          <w:rFonts w:hint="eastAsia" w:eastAsia="仿宋_GB2312"/>
          <w:sz w:val="32"/>
          <w:szCs w:val="32"/>
        </w:rPr>
        <w:t>指标</w:t>
      </w:r>
      <w:r>
        <w:rPr>
          <w:rFonts w:hint="eastAsia" w:eastAsia="仿宋_GB2312"/>
          <w:sz w:val="32"/>
          <w:szCs w:val="32"/>
          <w:lang w:eastAsia="zh-CN"/>
        </w:rPr>
        <w:t>，分别占比</w:t>
      </w:r>
      <w:r>
        <w:rPr>
          <w:rFonts w:hint="eastAsia" w:eastAsia="仿宋_GB2312"/>
          <w:sz w:val="32"/>
          <w:szCs w:val="32"/>
          <w:lang w:val="en-US" w:eastAsia="zh-CN"/>
        </w:rPr>
        <w:t>2</w:t>
      </w:r>
      <w:r>
        <w:rPr>
          <w:rFonts w:hint="eastAsia"/>
          <w:sz w:val="32"/>
          <w:szCs w:val="32"/>
          <w:lang w:val="en-US" w:eastAsia="zh-CN"/>
        </w:rPr>
        <w:t>0</w:t>
      </w:r>
      <w:r>
        <w:rPr>
          <w:rFonts w:hint="eastAsia" w:eastAsia="仿宋_GB2312"/>
          <w:sz w:val="32"/>
          <w:szCs w:val="32"/>
          <w:lang w:val="en-US" w:eastAsia="zh-CN"/>
        </w:rPr>
        <w:t>%、</w:t>
      </w:r>
      <w:r>
        <w:rPr>
          <w:rFonts w:hint="eastAsia"/>
          <w:sz w:val="32"/>
          <w:szCs w:val="32"/>
          <w:lang w:val="en-US" w:eastAsia="zh-CN"/>
        </w:rPr>
        <w:t>20</w:t>
      </w:r>
      <w:r>
        <w:rPr>
          <w:rFonts w:hint="eastAsia" w:eastAsia="仿宋_GB2312"/>
          <w:sz w:val="32"/>
          <w:szCs w:val="32"/>
          <w:lang w:val="en-US" w:eastAsia="zh-CN"/>
        </w:rPr>
        <w:t>%、3</w:t>
      </w:r>
      <w:r>
        <w:rPr>
          <w:rFonts w:hint="eastAsia"/>
          <w:sz w:val="32"/>
          <w:szCs w:val="32"/>
          <w:lang w:val="en-US" w:eastAsia="zh-CN"/>
        </w:rPr>
        <w:t>0</w:t>
      </w:r>
      <w:r>
        <w:rPr>
          <w:rFonts w:hint="eastAsia" w:eastAsia="仿宋_GB2312"/>
          <w:sz w:val="32"/>
          <w:szCs w:val="32"/>
          <w:lang w:val="en-US" w:eastAsia="zh-CN"/>
        </w:rPr>
        <w:t>%、</w:t>
      </w:r>
      <w:r>
        <w:rPr>
          <w:rFonts w:hint="eastAsia"/>
          <w:sz w:val="32"/>
          <w:szCs w:val="32"/>
          <w:lang w:val="en-US" w:eastAsia="zh-CN"/>
        </w:rPr>
        <w:t>3</w:t>
      </w:r>
      <w:r>
        <w:rPr>
          <w:rFonts w:hint="eastAsia" w:eastAsia="仿宋_GB2312"/>
          <w:sz w:val="32"/>
          <w:szCs w:val="32"/>
          <w:lang w:val="en-US" w:eastAsia="zh-CN"/>
        </w:rPr>
        <w:t>0%</w:t>
      </w:r>
      <w:r>
        <w:rPr>
          <w:rFonts w:hint="eastAsia" w:eastAsia="仿宋_GB2312"/>
          <w:sz w:val="32"/>
          <w:szCs w:val="32"/>
        </w:rPr>
        <w:t>。</w:t>
      </w:r>
      <w:r>
        <w:rPr>
          <w:rFonts w:hint="eastAsia"/>
          <w:sz w:val="32"/>
          <w:szCs w:val="32"/>
          <w:lang w:eastAsia="zh-CN"/>
        </w:rPr>
        <w:t>具体指标设置情况详见附件一指标体系。</w:t>
      </w:r>
    </w:p>
    <w:p w14:paraId="60B05BE5">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outlineLvl w:val="2"/>
        <w:rPr>
          <w:highlight w:val="none"/>
          <w:lang w:val="en-US"/>
        </w:rPr>
      </w:pPr>
      <w:bookmarkStart w:id="75" w:name="_Toc6607"/>
      <w:r>
        <w:rPr>
          <w:rFonts w:hint="eastAsia"/>
          <w:highlight w:val="none"/>
          <w:lang w:val="en-US" w:eastAsia="zh-CN"/>
        </w:rPr>
        <w:t>3</w:t>
      </w:r>
      <w:r>
        <w:rPr>
          <w:rFonts w:hint="eastAsia"/>
          <w:highlight w:val="none"/>
          <w:lang w:val="en-US"/>
        </w:rPr>
        <w:t>.评价方法</w:t>
      </w:r>
      <w:bookmarkEnd w:id="75"/>
    </w:p>
    <w:p w14:paraId="6681A770">
      <w:pPr>
        <w:keepNext w:val="0"/>
        <w:keepLines w:val="0"/>
        <w:pageBreakBefore w:val="0"/>
        <w:kinsoku/>
        <w:wordWrap/>
        <w:topLinePunct w:val="0"/>
        <w:autoSpaceDE w:val="0"/>
        <w:autoSpaceDN w:val="0"/>
        <w:bidi w:val="0"/>
        <w:adjustRightInd/>
        <w:snapToGrid/>
        <w:ind w:firstLine="640"/>
        <w:jc w:val="both"/>
        <w:textAlignment w:val="auto"/>
        <w:rPr>
          <w:rFonts w:hint="eastAsia" w:eastAsia="仿宋_GB2312"/>
          <w:color w:val="C00000"/>
          <w:sz w:val="32"/>
          <w:szCs w:val="32"/>
          <w:lang w:val="en-US" w:eastAsia="zh-CN"/>
        </w:rPr>
      </w:pPr>
      <w:r>
        <w:rPr>
          <w:rFonts w:hint="eastAsia" w:eastAsia="仿宋_GB2312"/>
          <w:color w:val="000000" w:themeColor="text1"/>
          <w:sz w:val="32"/>
          <w:szCs w:val="32"/>
          <w14:textFill>
            <w14:solidFill>
              <w14:schemeClr w14:val="tx1"/>
            </w14:solidFill>
          </w14:textFill>
        </w:rPr>
        <w:t>本项目主要</w:t>
      </w:r>
      <w:r>
        <w:rPr>
          <w:rFonts w:hint="eastAsia"/>
          <w:color w:val="000000" w:themeColor="text1"/>
          <w:sz w:val="32"/>
          <w:szCs w:val="32"/>
          <w:lang w:eastAsia="zh-CN"/>
          <w14:textFill>
            <w14:solidFill>
              <w14:schemeClr w14:val="tx1"/>
            </w14:solidFill>
          </w14:textFill>
        </w:rPr>
        <w:t>使用</w:t>
      </w:r>
      <w:r>
        <w:rPr>
          <w:rFonts w:hint="eastAsia"/>
          <w:color w:val="000000" w:themeColor="text1"/>
          <w:sz w:val="32"/>
          <w:szCs w:val="32"/>
          <w:highlight w:val="none"/>
          <w:lang w:val="en-US" w:eastAsia="zh-CN"/>
          <w14:textFill>
            <w14:solidFill>
              <w14:schemeClr w14:val="tx1"/>
            </w14:solidFill>
          </w14:textFill>
        </w:rPr>
        <w:t>公众评判法</w:t>
      </w:r>
      <w:r>
        <w:rPr>
          <w:rFonts w:hint="eastAsia"/>
          <w:color w:val="000000" w:themeColor="text1"/>
          <w:sz w:val="32"/>
          <w:szCs w:val="32"/>
          <w:lang w:eastAsia="zh-CN"/>
          <w14:textFill>
            <w14:solidFill>
              <w14:schemeClr w14:val="tx1"/>
            </w14:solidFill>
          </w14:textFill>
        </w:rPr>
        <w:t>和</w:t>
      </w:r>
      <w:r>
        <w:rPr>
          <w:rFonts w:hint="eastAsia" w:eastAsia="仿宋_GB2312"/>
          <w:color w:val="000000" w:themeColor="text1"/>
          <w:sz w:val="32"/>
          <w:szCs w:val="32"/>
          <w:lang w:eastAsia="zh-CN"/>
          <w14:textFill>
            <w14:solidFill>
              <w14:schemeClr w14:val="tx1"/>
            </w14:solidFill>
          </w14:textFill>
        </w:rPr>
        <w:t>比较</w:t>
      </w:r>
      <w:r>
        <w:rPr>
          <w:rFonts w:hint="eastAsia" w:eastAsia="仿宋_GB2312"/>
          <w:color w:val="000000" w:themeColor="text1"/>
          <w:sz w:val="32"/>
          <w:szCs w:val="32"/>
          <w14:textFill>
            <w14:solidFill>
              <w14:schemeClr w14:val="tx1"/>
            </w14:solidFill>
          </w14:textFill>
        </w:rPr>
        <w:t>法</w:t>
      </w:r>
      <w:r>
        <w:rPr>
          <w:rFonts w:hint="eastAsia"/>
          <w:color w:val="000000" w:themeColor="text1"/>
          <w:sz w:val="32"/>
          <w:szCs w:val="32"/>
          <w:lang w:eastAsia="zh-CN"/>
          <w14:textFill>
            <w14:solidFill>
              <w14:schemeClr w14:val="tx1"/>
            </w14:solidFill>
          </w14:textFill>
        </w:rPr>
        <w:t>。</w:t>
      </w:r>
    </w:p>
    <w:p w14:paraId="5AD2ED3E">
      <w:pPr>
        <w:pStyle w:val="9"/>
        <w:keepNext w:val="0"/>
        <w:keepLines w:val="0"/>
        <w:pageBreakBefore w:val="0"/>
        <w:kinsoku/>
        <w:wordWrap/>
        <w:overflowPunct w:val="0"/>
        <w:topLinePunct w:val="0"/>
        <w:autoSpaceDE w:val="0"/>
        <w:autoSpaceDN w:val="0"/>
        <w:bidi w:val="0"/>
        <w:adjustRightInd/>
        <w:snapToGrid/>
        <w:spacing w:line="600" w:lineRule="exact"/>
        <w:ind w:firstLine="640" w:firstLineChars="200"/>
        <w:jc w:val="both"/>
        <w:textAlignment w:val="auto"/>
        <w:outlineLvl w:val="2"/>
        <w:rPr>
          <w:rFonts w:hint="eastAsia"/>
          <w:highlight w:val="none"/>
          <w:lang w:val="en-US" w:eastAsia="zh-CN"/>
        </w:rPr>
      </w:pPr>
      <w:bookmarkStart w:id="76" w:name="_Toc23686"/>
      <w:r>
        <w:rPr>
          <w:rFonts w:hint="eastAsia"/>
          <w:highlight w:val="none"/>
          <w:lang w:val="en-US" w:eastAsia="zh-CN"/>
        </w:rPr>
        <w:t>4、评价标准</w:t>
      </w:r>
      <w:bookmarkEnd w:id="76"/>
      <w:r>
        <w:rPr>
          <w:rFonts w:hint="eastAsia"/>
          <w:highlight w:val="none"/>
          <w:lang w:val="en-US" w:eastAsia="zh-CN"/>
        </w:rPr>
        <w:t xml:space="preserve"> </w:t>
      </w:r>
    </w:p>
    <w:p w14:paraId="38B3024B">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bidi="zh-CN"/>
        </w:rPr>
      </w:pPr>
      <w:r>
        <w:rPr>
          <w:rFonts w:hint="default" w:ascii="仿宋_GB2312" w:hAnsi="仿宋_GB2312" w:eastAsia="仿宋_GB2312" w:cs="仿宋_GB2312"/>
          <w:sz w:val="32"/>
          <w:szCs w:val="32"/>
          <w:highlight w:val="none"/>
          <w:lang w:val="en-US" w:eastAsia="zh-CN" w:bidi="zh-CN"/>
        </w:rPr>
        <w:t>本项目根据项目特点以及政策法规、行业标准</w:t>
      </w:r>
      <w:r>
        <w:rPr>
          <w:rFonts w:hint="eastAsia" w:cs="仿宋_GB2312"/>
          <w:sz w:val="32"/>
          <w:szCs w:val="32"/>
          <w:highlight w:val="none"/>
          <w:lang w:val="en-US" w:eastAsia="zh-CN" w:bidi="zh-CN"/>
        </w:rPr>
        <w:t>、历史标准</w:t>
      </w:r>
      <w:r>
        <w:rPr>
          <w:rFonts w:hint="default" w:ascii="仿宋_GB2312" w:hAnsi="仿宋_GB2312" w:eastAsia="仿宋_GB2312" w:cs="仿宋_GB2312"/>
          <w:sz w:val="32"/>
          <w:szCs w:val="32"/>
          <w:highlight w:val="none"/>
          <w:lang w:val="en-US" w:eastAsia="zh-CN" w:bidi="zh-CN"/>
        </w:rPr>
        <w:t>设置各项指标的评分标准以及指标标准值。评分标准的设定做到量化</w:t>
      </w:r>
      <w:r>
        <w:rPr>
          <w:rFonts w:hint="eastAsia" w:cs="仿宋_GB2312"/>
          <w:sz w:val="32"/>
          <w:szCs w:val="32"/>
          <w:highlight w:val="none"/>
          <w:lang w:val="en-US" w:eastAsia="zh-CN" w:bidi="zh-CN"/>
        </w:rPr>
        <w:t>、</w:t>
      </w:r>
      <w:r>
        <w:rPr>
          <w:rFonts w:hint="default" w:ascii="仿宋_GB2312" w:hAnsi="仿宋_GB2312" w:eastAsia="仿宋_GB2312" w:cs="仿宋_GB2312"/>
          <w:sz w:val="32"/>
          <w:szCs w:val="32"/>
          <w:highlight w:val="none"/>
          <w:lang w:val="en-US" w:eastAsia="zh-CN" w:bidi="zh-CN"/>
        </w:rPr>
        <w:t>可操作</w:t>
      </w:r>
      <w:r>
        <w:rPr>
          <w:rFonts w:hint="eastAsia" w:cs="仿宋_GB2312"/>
          <w:sz w:val="32"/>
          <w:szCs w:val="32"/>
          <w:highlight w:val="none"/>
          <w:lang w:val="en-US" w:eastAsia="zh-CN" w:bidi="zh-CN"/>
        </w:rPr>
        <w:t>。</w:t>
      </w:r>
      <w:r>
        <w:rPr>
          <w:rFonts w:hint="default" w:ascii="仿宋_GB2312" w:hAnsi="仿宋_GB2312" w:eastAsia="仿宋_GB2312" w:cs="仿宋_GB2312"/>
          <w:sz w:val="32"/>
          <w:szCs w:val="32"/>
          <w:highlight w:val="none"/>
          <w:lang w:val="en-US" w:eastAsia="zh-CN" w:bidi="zh-CN"/>
        </w:rPr>
        <w:t xml:space="preserve"> </w:t>
      </w:r>
    </w:p>
    <w:p w14:paraId="20F8CCFB">
      <w:pPr>
        <w:keepNext w:val="0"/>
        <w:keepLines w:val="0"/>
        <w:widowControl/>
        <w:suppressLineNumbers w:val="0"/>
        <w:ind w:firstLine="640" w:firstLineChars="200"/>
        <w:jc w:val="left"/>
        <w:rPr>
          <w:rFonts w:hint="eastAsia" w:ascii="楷体_GB2312" w:hAnsi="楷体_GB2312" w:eastAsia="楷体_GB2312" w:cs="楷体_GB2312"/>
          <w:sz w:val="32"/>
          <w:szCs w:val="32"/>
          <w:highlight w:val="none"/>
          <w:lang w:val="en-US" w:eastAsia="zh-CN" w:bidi="zh-CN"/>
        </w:rPr>
      </w:pPr>
      <w:r>
        <w:rPr>
          <w:rFonts w:hint="eastAsia" w:ascii="楷体_GB2312" w:hAnsi="楷体_GB2312" w:eastAsia="楷体_GB2312" w:cs="楷体_GB2312"/>
          <w:sz w:val="32"/>
          <w:szCs w:val="32"/>
          <w:highlight w:val="none"/>
          <w:lang w:val="en-US" w:eastAsia="zh-CN" w:bidi="zh-CN"/>
        </w:rPr>
        <w:t>（三）绩效评价工作过程</w:t>
      </w:r>
    </w:p>
    <w:p w14:paraId="4F232557">
      <w:pPr>
        <w:pStyle w:val="9"/>
        <w:overflowPunct w:val="0"/>
        <w:spacing w:line="600" w:lineRule="exact"/>
        <w:ind w:firstLine="640" w:firstLineChars="200"/>
        <w:jc w:val="both"/>
        <w:rPr>
          <w:rFonts w:hint="eastAsia"/>
          <w:highlight w:val="none"/>
        </w:rPr>
      </w:pPr>
      <w:r>
        <w:rPr>
          <w:rFonts w:hint="eastAsia" w:cs="Times New Roman"/>
          <w:highlight w:val="none"/>
          <w:lang w:val="en-US"/>
        </w:rPr>
        <w:t>评价工作分为前期准备、非现场评价、现场评价、综合分析、撰写与提交绩效评价报告五个阶段。</w:t>
      </w:r>
    </w:p>
    <w:p w14:paraId="56F4C53B">
      <w:pPr>
        <w:pStyle w:val="9"/>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hint="eastAsia" w:ascii="黑体" w:hAnsi="黑体" w:eastAsia="黑体" w:cs="黑体"/>
          <w:lang w:val="en-US" w:eastAsia="zh-CN"/>
        </w:rPr>
      </w:pPr>
      <w:bookmarkStart w:id="77" w:name="_Toc14219"/>
      <w:bookmarkStart w:id="78" w:name="_Toc11315"/>
      <w:bookmarkStart w:id="79" w:name="_Toc2044"/>
      <w:bookmarkStart w:id="80" w:name="_Toc2892"/>
      <w:bookmarkStart w:id="81" w:name="_Toc24936"/>
      <w:bookmarkStart w:id="82" w:name="_Toc29150"/>
      <w:r>
        <w:rPr>
          <w:rFonts w:hint="eastAsia" w:ascii="黑体" w:hAnsi="黑体" w:eastAsia="黑体" w:cs="黑体"/>
          <w:lang w:val="en-US" w:eastAsia="zh-CN"/>
        </w:rPr>
        <w:t>四、评价结论和绩效分析</w:t>
      </w:r>
      <w:bookmarkEnd w:id="77"/>
      <w:bookmarkEnd w:id="78"/>
      <w:bookmarkEnd w:id="79"/>
      <w:bookmarkEnd w:id="80"/>
      <w:bookmarkEnd w:id="81"/>
      <w:bookmarkEnd w:id="82"/>
    </w:p>
    <w:p w14:paraId="6FADE28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楷体_GB2312" w:hAnsi="楷体_GB2312" w:eastAsia="楷体_GB2312" w:cs="楷体_GB2312"/>
          <w:lang w:val="en-US" w:eastAsia="zh-CN"/>
        </w:rPr>
      </w:pPr>
      <w:bookmarkStart w:id="83" w:name="_Toc18145"/>
      <w:bookmarkStart w:id="84" w:name="_Toc2833"/>
      <w:bookmarkStart w:id="85" w:name="_Toc21551"/>
      <w:bookmarkStart w:id="86" w:name="_Toc22681"/>
      <w:bookmarkStart w:id="87" w:name="_Toc25324"/>
      <w:bookmarkStart w:id="88" w:name="_Toc5658"/>
      <w:bookmarkStart w:id="89" w:name="_Toc9198"/>
      <w:bookmarkStart w:id="90" w:name="_Toc1950"/>
      <w:bookmarkStart w:id="91" w:name="_Toc8015"/>
      <w:r>
        <w:rPr>
          <w:rFonts w:hint="eastAsia" w:ascii="楷体_GB2312" w:hAnsi="楷体_GB2312" w:eastAsia="楷体_GB2312" w:cs="楷体_GB2312"/>
          <w:lang w:val="en-US" w:eastAsia="zh-CN"/>
        </w:rPr>
        <w:t>（一）综合评价结论</w:t>
      </w:r>
      <w:bookmarkEnd w:id="83"/>
      <w:bookmarkEnd w:id="84"/>
      <w:bookmarkEnd w:id="85"/>
      <w:bookmarkEnd w:id="86"/>
      <w:bookmarkEnd w:id="87"/>
      <w:bookmarkEnd w:id="88"/>
      <w:bookmarkEnd w:id="89"/>
      <w:bookmarkEnd w:id="90"/>
      <w:bookmarkEnd w:id="91"/>
    </w:p>
    <w:p w14:paraId="15CE5014">
      <w:pPr>
        <w:autoSpaceDE/>
        <w:autoSpaceDN/>
        <w:spacing w:line="600" w:lineRule="exact"/>
        <w:ind w:firstLine="640" w:firstLineChars="200"/>
        <w:jc w:val="both"/>
        <w:rPr>
          <w:sz w:val="32"/>
          <w:szCs w:val="32"/>
          <w:highlight w:val="none"/>
          <w:lang w:val="en-US"/>
        </w:rPr>
      </w:pPr>
      <w:r>
        <w:rPr>
          <w:rFonts w:hint="eastAsia"/>
          <w:sz w:val="32"/>
          <w:szCs w:val="32"/>
          <w:highlight w:val="none"/>
          <w:lang w:val="en-US"/>
        </w:rPr>
        <w:t>本项目最终得分</w:t>
      </w:r>
      <w:r>
        <w:rPr>
          <w:rFonts w:hint="eastAsia"/>
          <w:sz w:val="32"/>
          <w:szCs w:val="32"/>
          <w:highlight w:val="none"/>
          <w:lang w:val="en-US" w:eastAsia="zh-CN"/>
        </w:rPr>
        <w:t>92</w:t>
      </w:r>
      <w:r>
        <w:rPr>
          <w:rFonts w:hint="eastAsia"/>
          <w:sz w:val="32"/>
          <w:szCs w:val="32"/>
          <w:highlight w:val="none"/>
          <w:lang w:val="en-US"/>
        </w:rPr>
        <w:t>分，评价结果为“</w:t>
      </w:r>
      <w:r>
        <w:rPr>
          <w:rFonts w:hint="eastAsia"/>
          <w:sz w:val="32"/>
          <w:szCs w:val="32"/>
          <w:highlight w:val="none"/>
          <w:lang w:val="en-US" w:eastAsia="zh-CN"/>
        </w:rPr>
        <w:t>优</w:t>
      </w:r>
      <w:r>
        <w:rPr>
          <w:rFonts w:hint="eastAsia"/>
          <w:sz w:val="32"/>
          <w:szCs w:val="32"/>
          <w:highlight w:val="none"/>
          <w:lang w:val="en-US"/>
        </w:rPr>
        <w:t>”。具体评分情况如表</w:t>
      </w:r>
      <w:r>
        <w:rPr>
          <w:rFonts w:hint="eastAsia"/>
          <w:sz w:val="32"/>
          <w:szCs w:val="32"/>
          <w:highlight w:val="none"/>
          <w:lang w:val="en-US" w:eastAsia="zh-CN"/>
        </w:rPr>
        <w:t>4.1</w:t>
      </w:r>
      <w:r>
        <w:rPr>
          <w:rFonts w:hint="eastAsia"/>
          <w:sz w:val="32"/>
          <w:szCs w:val="32"/>
          <w:highlight w:val="none"/>
          <w:lang w:val="en-US"/>
        </w:rPr>
        <w:t>所示：</w:t>
      </w:r>
    </w:p>
    <w:p w14:paraId="1DF89FE7">
      <w:pPr>
        <w:autoSpaceDE/>
        <w:autoSpaceDN/>
        <w:adjustRightInd w:val="0"/>
        <w:snapToGrid w:val="0"/>
        <w:ind w:left="0" w:leftChars="0" w:firstLine="0" w:firstLineChars="0"/>
        <w:jc w:val="center"/>
        <w:rPr>
          <w:sz w:val="24"/>
          <w:szCs w:val="24"/>
          <w:highlight w:val="none"/>
          <w:lang w:val="en-US"/>
        </w:rPr>
      </w:pPr>
      <w:bookmarkStart w:id="92" w:name="_Toc11621"/>
      <w:bookmarkStart w:id="93" w:name="_Toc32163"/>
      <w:bookmarkStart w:id="94" w:name="_Toc25949"/>
      <w:bookmarkStart w:id="95" w:name="_Toc21874"/>
      <w:bookmarkStart w:id="96" w:name="_Toc27769"/>
      <w:bookmarkStart w:id="97" w:name="_Toc29090"/>
      <w:r>
        <w:rPr>
          <w:rFonts w:hint="eastAsia" w:ascii="黑体" w:hAnsi="黑体" w:eastAsia="黑体" w:cs="黑体"/>
          <w:sz w:val="24"/>
          <w:szCs w:val="24"/>
          <w:highlight w:val="none"/>
          <w:lang w:val="en-US"/>
        </w:rPr>
        <w:t>表</w:t>
      </w:r>
      <w:r>
        <w:rPr>
          <w:rFonts w:hint="eastAsia" w:ascii="黑体" w:hAnsi="黑体" w:eastAsia="黑体" w:cs="黑体"/>
          <w:sz w:val="24"/>
          <w:szCs w:val="24"/>
          <w:highlight w:val="none"/>
          <w:lang w:val="en-US" w:eastAsia="zh-CN"/>
        </w:rPr>
        <w:t xml:space="preserve">4.1  </w:t>
      </w:r>
      <w:r>
        <w:rPr>
          <w:rFonts w:hint="eastAsia" w:ascii="黑体" w:hAnsi="黑体" w:eastAsia="黑体" w:cs="黑体"/>
          <w:sz w:val="24"/>
          <w:szCs w:val="24"/>
          <w:highlight w:val="none"/>
          <w:lang w:val="en-US"/>
        </w:rPr>
        <w:t xml:space="preserve"> 项目得分汇总表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45"/>
        <w:gridCol w:w="1452"/>
        <w:gridCol w:w="1588"/>
        <w:gridCol w:w="1534"/>
        <w:gridCol w:w="1510"/>
      </w:tblGrid>
      <w:tr w14:paraId="722D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3D82EB1D">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bookmarkStart w:id="98" w:name="_Toc20171"/>
            <w:bookmarkStart w:id="99" w:name="_Toc31174"/>
            <w:bookmarkStart w:id="100" w:name="_Toc30991"/>
            <w:r>
              <w:rPr>
                <w:rFonts w:hint="eastAsia" w:ascii="宋体" w:hAnsi="宋体" w:eastAsia="宋体" w:cs="宋体"/>
                <w:bCs/>
                <w:spacing w:val="-10"/>
                <w:sz w:val="18"/>
                <w:szCs w:val="18"/>
                <w:highlight w:val="none"/>
              </w:rPr>
              <w:t>项    目</w:t>
            </w:r>
          </w:p>
        </w:tc>
        <w:tc>
          <w:tcPr>
            <w:tcW w:w="797" w:type="pct"/>
            <w:vAlign w:val="center"/>
          </w:tcPr>
          <w:p w14:paraId="777EC016">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决策指标</w:t>
            </w:r>
          </w:p>
        </w:tc>
        <w:tc>
          <w:tcPr>
            <w:tcW w:w="801" w:type="pct"/>
            <w:vAlign w:val="center"/>
          </w:tcPr>
          <w:p w14:paraId="2B702AAF">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过程指标</w:t>
            </w:r>
          </w:p>
        </w:tc>
        <w:tc>
          <w:tcPr>
            <w:tcW w:w="876" w:type="pct"/>
            <w:vAlign w:val="center"/>
          </w:tcPr>
          <w:p w14:paraId="2F02658E">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产出指标</w:t>
            </w:r>
          </w:p>
        </w:tc>
        <w:tc>
          <w:tcPr>
            <w:tcW w:w="846" w:type="pct"/>
            <w:vAlign w:val="center"/>
          </w:tcPr>
          <w:p w14:paraId="0812F28B">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效益指标</w:t>
            </w:r>
          </w:p>
        </w:tc>
        <w:tc>
          <w:tcPr>
            <w:tcW w:w="832" w:type="pct"/>
            <w:vAlign w:val="center"/>
          </w:tcPr>
          <w:p w14:paraId="3BF4B387">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r>
              <w:rPr>
                <w:rFonts w:hint="eastAsia" w:ascii="宋体" w:hAnsi="宋体" w:eastAsia="宋体" w:cs="宋体"/>
                <w:bCs/>
                <w:spacing w:val="-10"/>
                <w:sz w:val="18"/>
                <w:szCs w:val="18"/>
                <w:highlight w:val="none"/>
              </w:rPr>
              <w:t>得分合计</w:t>
            </w:r>
          </w:p>
        </w:tc>
      </w:tr>
      <w:tr w14:paraId="6275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2CBD73BA">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r>
              <w:rPr>
                <w:rFonts w:hint="eastAsia" w:ascii="宋体" w:hAnsi="宋体" w:eastAsia="宋体" w:cs="宋体"/>
                <w:bCs/>
                <w:spacing w:val="-10"/>
                <w:sz w:val="18"/>
                <w:szCs w:val="18"/>
                <w:highlight w:val="none"/>
              </w:rPr>
              <w:t>标准分值</w:t>
            </w:r>
          </w:p>
        </w:tc>
        <w:tc>
          <w:tcPr>
            <w:tcW w:w="797" w:type="pct"/>
            <w:vAlign w:val="center"/>
          </w:tcPr>
          <w:p w14:paraId="75269144">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20</w:t>
            </w:r>
          </w:p>
        </w:tc>
        <w:tc>
          <w:tcPr>
            <w:tcW w:w="801" w:type="pct"/>
            <w:vAlign w:val="center"/>
          </w:tcPr>
          <w:p w14:paraId="7C5BB1D7">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20</w:t>
            </w:r>
          </w:p>
        </w:tc>
        <w:tc>
          <w:tcPr>
            <w:tcW w:w="876" w:type="pct"/>
            <w:vAlign w:val="center"/>
          </w:tcPr>
          <w:p w14:paraId="09A4BE88">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30</w:t>
            </w:r>
          </w:p>
        </w:tc>
        <w:tc>
          <w:tcPr>
            <w:tcW w:w="846" w:type="pct"/>
            <w:vAlign w:val="center"/>
          </w:tcPr>
          <w:p w14:paraId="7EC45200">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30</w:t>
            </w:r>
          </w:p>
        </w:tc>
        <w:tc>
          <w:tcPr>
            <w:tcW w:w="832" w:type="pct"/>
            <w:vAlign w:val="center"/>
          </w:tcPr>
          <w:p w14:paraId="18B738EE">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pacing w:val="-4"/>
                <w:sz w:val="18"/>
                <w:szCs w:val="18"/>
                <w:highlight w:val="none"/>
              </w:rPr>
            </w:pPr>
            <w:r>
              <w:rPr>
                <w:rFonts w:hint="eastAsia" w:ascii="宋体" w:hAnsi="宋体" w:eastAsia="宋体" w:cs="宋体"/>
                <w:bCs/>
                <w:spacing w:val="-4"/>
                <w:sz w:val="18"/>
                <w:szCs w:val="18"/>
                <w:highlight w:val="none"/>
              </w:rPr>
              <w:t>100</w:t>
            </w:r>
          </w:p>
        </w:tc>
      </w:tr>
      <w:tr w14:paraId="42A2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043B0AE3">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r>
              <w:rPr>
                <w:rFonts w:hint="eastAsia" w:ascii="宋体" w:hAnsi="宋体" w:eastAsia="宋体" w:cs="宋体"/>
                <w:bCs/>
                <w:spacing w:val="-10"/>
                <w:sz w:val="18"/>
                <w:szCs w:val="18"/>
                <w:highlight w:val="none"/>
              </w:rPr>
              <w:t>评价得分</w:t>
            </w:r>
          </w:p>
        </w:tc>
        <w:tc>
          <w:tcPr>
            <w:tcW w:w="797" w:type="pct"/>
            <w:vAlign w:val="center"/>
          </w:tcPr>
          <w:p w14:paraId="13586322">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16</w:t>
            </w:r>
          </w:p>
        </w:tc>
        <w:tc>
          <w:tcPr>
            <w:tcW w:w="801" w:type="pct"/>
            <w:vAlign w:val="center"/>
          </w:tcPr>
          <w:p w14:paraId="37F17AE6">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18</w:t>
            </w:r>
          </w:p>
        </w:tc>
        <w:tc>
          <w:tcPr>
            <w:tcW w:w="876" w:type="pct"/>
            <w:vAlign w:val="center"/>
          </w:tcPr>
          <w:p w14:paraId="78835905">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30</w:t>
            </w:r>
          </w:p>
        </w:tc>
        <w:tc>
          <w:tcPr>
            <w:tcW w:w="846" w:type="pct"/>
            <w:vAlign w:val="center"/>
          </w:tcPr>
          <w:p w14:paraId="43FA9277">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28</w:t>
            </w:r>
          </w:p>
        </w:tc>
        <w:tc>
          <w:tcPr>
            <w:tcW w:w="832" w:type="pct"/>
            <w:vAlign w:val="center"/>
          </w:tcPr>
          <w:p w14:paraId="4A1D56BA">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92</w:t>
            </w:r>
          </w:p>
        </w:tc>
      </w:tr>
    </w:tbl>
    <w:p w14:paraId="5C35854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（二）绩效分析</w:t>
      </w:r>
      <w:bookmarkEnd w:id="92"/>
      <w:bookmarkEnd w:id="93"/>
      <w:bookmarkEnd w:id="94"/>
      <w:bookmarkEnd w:id="95"/>
      <w:bookmarkEnd w:id="96"/>
      <w:bookmarkEnd w:id="97"/>
      <w:bookmarkEnd w:id="98"/>
      <w:bookmarkEnd w:id="99"/>
      <w:bookmarkEnd w:id="100"/>
    </w:p>
    <w:p w14:paraId="5165CF19">
      <w:pPr>
        <w:pStyle w:val="9"/>
        <w:overflowPunct w:val="0"/>
        <w:spacing w:line="600" w:lineRule="exact"/>
        <w:ind w:firstLine="640" w:firstLineChars="200"/>
        <w:jc w:val="both"/>
        <w:rPr>
          <w:highlight w:val="none"/>
          <w:lang w:val="en-US"/>
        </w:rPr>
      </w:pPr>
      <w:r>
        <w:rPr>
          <w:rFonts w:hint="eastAsia"/>
          <w:highlight w:val="none"/>
          <w:lang w:val="en-US"/>
        </w:rPr>
        <w:t>1.项目决策情况</w:t>
      </w:r>
    </w:p>
    <w:p w14:paraId="54390D7B">
      <w:pPr>
        <w:pStyle w:val="9"/>
        <w:overflowPunct w:val="0"/>
        <w:spacing w:line="600" w:lineRule="exact"/>
        <w:ind w:firstLine="640" w:firstLineChars="200"/>
        <w:jc w:val="both"/>
        <w:rPr>
          <w:rFonts w:hint="eastAsia" w:hAnsi="Times New Roman" w:cs="Times New Roman"/>
          <w:highlight w:val="none"/>
          <w:lang w:val="en-US" w:eastAsia="zh-CN"/>
        </w:rPr>
      </w:pPr>
      <w:r>
        <w:rPr>
          <w:rFonts w:hint="eastAsia" w:hAnsi="Times New Roman" w:cs="Times New Roman"/>
          <w:highlight w:val="none"/>
          <w:lang w:val="en-US" w:eastAsia="zh-CN"/>
        </w:rPr>
        <w:t>立项依据充分；立项程序规范；部门未设置绩效目标</w:t>
      </w:r>
      <w:r>
        <w:rPr>
          <w:rFonts w:hint="eastAsia"/>
          <w:lang w:val="en-US" w:eastAsia="zh-CN"/>
        </w:rPr>
        <w:t>；</w:t>
      </w:r>
      <w:r>
        <w:rPr>
          <w:rFonts w:hint="eastAsia" w:hAnsi="Times New Roman" w:cs="Times New Roman"/>
          <w:highlight w:val="none"/>
          <w:lang w:val="en-US" w:eastAsia="zh-CN"/>
        </w:rPr>
        <w:t>预算“打包”编制，未体现每个子项目的预算金额。</w:t>
      </w:r>
    </w:p>
    <w:p w14:paraId="4FE99B81">
      <w:pPr>
        <w:pStyle w:val="9"/>
        <w:overflowPunct w:val="0"/>
        <w:spacing w:line="600" w:lineRule="exact"/>
        <w:ind w:firstLine="640" w:firstLineChars="200"/>
        <w:jc w:val="both"/>
        <w:rPr>
          <w:highlight w:val="none"/>
          <w:lang w:val="en-US"/>
        </w:rPr>
      </w:pPr>
      <w:r>
        <w:rPr>
          <w:rFonts w:hint="eastAsia"/>
          <w:highlight w:val="none"/>
          <w:lang w:val="en-US"/>
        </w:rPr>
        <w:t>2.项目过程情况</w:t>
      </w:r>
    </w:p>
    <w:p w14:paraId="7101BD02">
      <w:pPr>
        <w:pStyle w:val="9"/>
        <w:overflowPunct w:val="0"/>
        <w:spacing w:line="600" w:lineRule="exact"/>
        <w:ind w:firstLine="640" w:firstLineChars="200"/>
        <w:jc w:val="both"/>
        <w:rPr>
          <w:rFonts w:hint="eastAsia"/>
          <w:highlight w:val="none"/>
          <w:lang w:val="en-US" w:eastAsia="zh-CN"/>
        </w:rPr>
      </w:pPr>
      <w:r>
        <w:rPr>
          <w:rFonts w:hint="eastAsia"/>
          <w:highlight w:val="none"/>
          <w:lang w:val="en-US" w:eastAsia="zh-CN"/>
        </w:rPr>
        <w:t>本项目</w:t>
      </w:r>
      <w:r>
        <w:rPr>
          <w:rFonts w:hint="eastAsia"/>
          <w:highlight w:val="none"/>
          <w:lang w:val="en-US"/>
        </w:rPr>
        <w:t>资金到位率</w:t>
      </w:r>
      <w:r>
        <w:rPr>
          <w:rFonts w:hint="eastAsia"/>
          <w:highlight w:val="none"/>
          <w:lang w:val="en-US" w:eastAsia="zh-CN"/>
        </w:rPr>
        <w:t>为100</w:t>
      </w:r>
      <w:r>
        <w:rPr>
          <w:rFonts w:hint="eastAsia"/>
          <w:highlight w:val="none"/>
          <w:lang w:val="en-US"/>
        </w:rPr>
        <w:t>%</w:t>
      </w:r>
      <w:r>
        <w:rPr>
          <w:rFonts w:hint="eastAsia"/>
          <w:highlight w:val="none"/>
          <w:lang w:val="en-US" w:eastAsia="zh-CN"/>
        </w:rPr>
        <w:t>；预算执行率100%；资金使用程序正当符合规定；内部管理制度健全且得到有效执行，但部分项目缺乏对第三方的监督。</w:t>
      </w:r>
    </w:p>
    <w:p w14:paraId="49F696EE">
      <w:pPr>
        <w:pStyle w:val="9"/>
        <w:overflowPunct w:val="0"/>
        <w:spacing w:line="600" w:lineRule="exact"/>
        <w:ind w:firstLine="640" w:firstLineChars="200"/>
        <w:jc w:val="both"/>
        <w:rPr>
          <w:highlight w:val="none"/>
          <w:lang w:val="en-US"/>
        </w:rPr>
      </w:pPr>
      <w:r>
        <w:rPr>
          <w:rFonts w:hint="eastAsia"/>
          <w:highlight w:val="none"/>
          <w:lang w:val="en-US"/>
        </w:rPr>
        <w:t>3.项目产出情况</w:t>
      </w:r>
    </w:p>
    <w:p w14:paraId="69E581A1">
      <w:pPr>
        <w:pStyle w:val="9"/>
        <w:overflowPunct w:val="0"/>
        <w:spacing w:line="600" w:lineRule="exact"/>
        <w:ind w:firstLine="640" w:firstLineChars="200"/>
        <w:jc w:val="both"/>
        <w:rPr>
          <w:rFonts w:hint="default" w:eastAsia="仿宋_GB2312"/>
          <w:highlight w:val="none"/>
          <w:lang w:val="en-US" w:eastAsia="zh-CN"/>
        </w:rPr>
      </w:pPr>
      <w:r>
        <w:rPr>
          <w:rFonts w:hint="eastAsia"/>
          <w:highlight w:val="none"/>
          <w:lang w:val="en-US" w:eastAsia="zh-CN"/>
        </w:rPr>
        <w:t>所有人力资源政策性补贴项目全部完成；职称评审、招聘会和流动人员档案邮寄工作全部完成；工作完成较为及时且质量较高；成本控制在合理范围内。</w:t>
      </w:r>
    </w:p>
    <w:p w14:paraId="3F35D137">
      <w:pPr>
        <w:pStyle w:val="9"/>
        <w:overflowPunct w:val="0"/>
        <w:spacing w:line="600" w:lineRule="exact"/>
        <w:ind w:firstLine="640" w:firstLineChars="200"/>
        <w:jc w:val="both"/>
        <w:rPr>
          <w:highlight w:val="none"/>
          <w:lang w:val="en-US"/>
        </w:rPr>
      </w:pPr>
      <w:r>
        <w:rPr>
          <w:rFonts w:hint="eastAsia"/>
          <w:highlight w:val="none"/>
          <w:lang w:val="en-US"/>
        </w:rPr>
        <w:t>4.项目效益情况</w:t>
      </w:r>
    </w:p>
    <w:p w14:paraId="6F25C893">
      <w:pPr>
        <w:pStyle w:val="9"/>
        <w:overflowPunct w:val="0"/>
        <w:spacing w:line="600" w:lineRule="exact"/>
        <w:ind w:firstLine="640" w:firstLineChars="200"/>
        <w:jc w:val="both"/>
        <w:rPr>
          <w:rFonts w:hint="eastAsia"/>
          <w:highlight w:val="none"/>
          <w:lang w:val="en-US" w:eastAsia="zh-CN"/>
        </w:rPr>
      </w:pPr>
      <w:r>
        <w:rPr>
          <w:rFonts w:hint="eastAsia"/>
          <w:highlight w:val="none"/>
          <w:lang w:val="en-US" w:eastAsia="zh-CN"/>
        </w:rPr>
        <w:t>项目开展稳定了就业引进了人才，但部分政策补贴的享受人群较少；部分项目档案保存不完整；受益企业和受益人群满意度较高。</w:t>
      </w:r>
      <w:bookmarkStart w:id="101" w:name="_Toc10595"/>
      <w:bookmarkStart w:id="102" w:name="_Toc13676"/>
      <w:bookmarkStart w:id="103" w:name="_Toc12242"/>
      <w:bookmarkStart w:id="104" w:name="_Toc3188"/>
      <w:bookmarkStart w:id="105" w:name="_Toc5894"/>
      <w:bookmarkStart w:id="106" w:name="_Toc28747"/>
    </w:p>
    <w:p w14:paraId="7A32AF63">
      <w:pPr>
        <w:pStyle w:val="9"/>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hint="eastAsia" w:ascii="黑体" w:hAnsi="黑体" w:eastAsia="黑体" w:cs="黑体"/>
          <w:lang w:eastAsia="zh-CN"/>
        </w:rPr>
      </w:pPr>
      <w:r>
        <w:rPr>
          <w:rFonts w:hint="eastAsia" w:ascii="黑体" w:hAnsi="黑体" w:eastAsia="黑体" w:cs="黑体"/>
          <w:lang w:eastAsia="zh-CN"/>
        </w:rPr>
        <w:t>五</w:t>
      </w:r>
      <w:r>
        <w:rPr>
          <w:rFonts w:hint="eastAsia" w:ascii="黑体" w:hAnsi="黑体" w:eastAsia="黑体" w:cs="黑体"/>
        </w:rPr>
        <w:t>、存在</w:t>
      </w:r>
      <w:r>
        <w:rPr>
          <w:rFonts w:hint="eastAsia" w:ascii="黑体" w:hAnsi="黑体" w:eastAsia="黑体" w:cs="黑体"/>
          <w:lang w:eastAsia="zh-CN"/>
        </w:rPr>
        <w:t>的</w:t>
      </w:r>
      <w:r>
        <w:rPr>
          <w:rFonts w:hint="eastAsia" w:ascii="黑体" w:hAnsi="黑体" w:eastAsia="黑体" w:cs="黑体"/>
        </w:rPr>
        <w:t>问题</w:t>
      </w:r>
      <w:bookmarkEnd w:id="101"/>
      <w:bookmarkEnd w:id="102"/>
      <w:bookmarkEnd w:id="103"/>
      <w:bookmarkEnd w:id="104"/>
      <w:bookmarkEnd w:id="105"/>
      <w:bookmarkEnd w:id="106"/>
    </w:p>
    <w:p w14:paraId="4A5EFD37">
      <w:pPr>
        <w:bidi w:val="0"/>
        <w:rPr>
          <w:rFonts w:hint="eastAsia" w:ascii="楷体_GB2312" w:hAnsi="楷体_GB2312" w:eastAsia="楷体_GB2312" w:cs="楷体_GB2312"/>
          <w:lang w:val="en-US" w:eastAsia="zh-CN"/>
        </w:rPr>
      </w:pPr>
      <w:bookmarkStart w:id="107" w:name="_Toc6819"/>
      <w:bookmarkStart w:id="108" w:name="_Toc17417"/>
      <w:r>
        <w:rPr>
          <w:rFonts w:hint="eastAsia" w:ascii="楷体_GB2312" w:hAnsi="楷体_GB2312" w:eastAsia="楷体_GB2312" w:cs="楷体_GB2312"/>
          <w:lang w:val="en-US" w:eastAsia="zh-CN"/>
        </w:rPr>
        <w:t>（一）政策宣传不到位，个别补贴政策申请企业或人数较少，未充分发挥通过政策补贴引进人才的目的</w:t>
      </w:r>
    </w:p>
    <w:p w14:paraId="185F5D01">
      <w:pPr>
        <w:keepNext w:val="0"/>
        <w:keepLines w:val="0"/>
        <w:pageBreakBefore w:val="0"/>
        <w:widowControl w:val="0"/>
        <w:kinsoku/>
        <w:wordWrap/>
        <w:overflowPunct/>
        <w:topLinePunct w:val="0"/>
        <w:autoSpaceDE w:val="0"/>
        <w:autoSpaceDN w:val="0"/>
        <w:bidi w:val="0"/>
        <w:adjustRightInd/>
        <w:snapToGrid/>
        <w:jc w:val="both"/>
        <w:textAlignment w:val="auto"/>
        <w:rPr>
          <w:rFonts w:hint="default"/>
          <w:lang w:val="en-US" w:eastAsia="zh-CN"/>
        </w:rPr>
      </w:pPr>
      <w:r>
        <w:rPr>
          <w:rStyle w:val="43"/>
          <w:rFonts w:hint="eastAsia"/>
          <w:lang w:val="en-US" w:eastAsia="zh-CN"/>
        </w:rPr>
        <w:t>根据部门提供的数据，小微企业招用高校毕业生一次性吸纳就业补贴项目仅有山东中成环境技术服务有限公司和山东弘尚环保科技有限公司共2家企业申请并最终享受该政策补贴，小微企业招用高校毕业生社保补贴只有山东飞羊数字科技股份有限公司申请并最终享受该政策补贴。提出申请的企业或员工过少，实际享受这两个政策的人数或企业数较少，达不到通过政策补贴引进人才的目的</w:t>
      </w:r>
      <w:r>
        <w:rPr>
          <w:rFonts w:hint="eastAsia"/>
          <w:highlight w:val="none"/>
          <w:lang w:val="en-US"/>
        </w:rPr>
        <w:t>。</w:t>
      </w:r>
      <w:r>
        <w:rPr>
          <w:rFonts w:hint="eastAsia"/>
          <w:highlight w:val="none"/>
          <w:lang w:val="en-US" w:eastAsia="zh-CN"/>
        </w:rPr>
        <w:t>经初步分析，社会事务综合服务中心并未出台相关政策的解读文件，宣传工作不够，造成大部分企业对相关政策的知晓率较低</w:t>
      </w:r>
      <w:r>
        <w:rPr>
          <w:rFonts w:hint="eastAsia"/>
          <w:lang w:val="en-US" w:eastAsia="zh-CN"/>
        </w:rPr>
        <w:t>。</w:t>
      </w:r>
    </w:p>
    <w:p w14:paraId="7AD8D0AD">
      <w:pPr>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（二）企业急需紧缺人才补贴项目审核工作不规范，档案保存不完整</w:t>
      </w:r>
    </w:p>
    <w:p w14:paraId="641B98D6">
      <w:pPr>
        <w:rPr>
          <w:rFonts w:hint="eastAsia"/>
          <w:highlight w:val="none"/>
          <w:lang w:val="en-US" w:eastAsia="zh-CN"/>
        </w:rPr>
      </w:pPr>
      <w:r>
        <w:rPr>
          <w:rFonts w:hint="eastAsia"/>
          <w:highlight w:val="none"/>
          <w:lang w:val="en-US" w:eastAsia="zh-CN"/>
        </w:rPr>
        <w:t>根据现场调研，企业急需紧缺人才项目的申请材料由枣庄智创人力资源服务有限公司进行审核，枣庄高新区社会事务综合服务中心未将相关资料进行存档，此操作不符合规范，补贴政策的核心工作是对申请人提交的相关材料的真实性全面性的审核，需要主管部门进行严格把关，对第三方监管，要求审核报告</w:t>
      </w:r>
      <w:r>
        <w:rPr>
          <w:rFonts w:hint="eastAsia"/>
          <w:highlight w:val="none"/>
          <w:lang w:val="en-US"/>
        </w:rPr>
        <w:t>。</w:t>
      </w:r>
    </w:p>
    <w:p w14:paraId="28B5C9DC">
      <w:pPr>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（三）预算编制不合理，存在多个项目打包处理现象</w:t>
      </w:r>
    </w:p>
    <w:p w14:paraId="24C1630D">
      <w:pPr>
        <w:pStyle w:val="21"/>
        <w:rPr>
          <w:rFonts w:hint="default"/>
          <w:lang w:val="en-US" w:eastAsia="zh-CN"/>
        </w:rPr>
      </w:pPr>
      <w:r>
        <w:rPr>
          <w:rFonts w:hint="eastAsia" w:ascii="仿宋_GB2312" w:hAnsi="仿宋_GB2312" w:eastAsia="仿宋_GB2312" w:cs="仿宋_GB2312"/>
          <w:sz w:val="32"/>
          <w:szCs w:val="32"/>
          <w:highlight w:val="none"/>
          <w:lang w:val="en-US" w:eastAsia="zh-CN" w:bidi="zh-CN"/>
        </w:rPr>
        <w:t>根据部门提供的预算材料以及公开信息，枣庄高新区社会事务综合服务中心将所有的人力政策补贴项目打包编制预算，未分析每个项目的预算金额，不利于资金的日常管理和合理使用</w:t>
      </w:r>
      <w:r>
        <w:rPr>
          <w:rFonts w:hint="eastAsia" w:cs="仿宋_GB2312"/>
          <w:sz w:val="32"/>
          <w:szCs w:val="32"/>
          <w:highlight w:val="none"/>
          <w:lang w:val="en-US" w:eastAsia="zh-CN" w:bidi="zh-CN"/>
        </w:rPr>
        <w:t>。</w:t>
      </w:r>
    </w:p>
    <w:p w14:paraId="4CF76474">
      <w:pPr>
        <w:bidi w:val="0"/>
        <w:rPr>
          <w:rFonts w:hint="eastAsia" w:ascii="黑体" w:hAnsi="黑体" w:eastAsia="黑体" w:cs="黑体"/>
          <w:lang w:val="en-US" w:eastAsia="zh-CN"/>
        </w:rPr>
      </w:pPr>
      <w:bookmarkStart w:id="109" w:name="_Toc3116"/>
      <w:r>
        <w:rPr>
          <w:rFonts w:hint="eastAsia" w:ascii="黑体" w:hAnsi="黑体" w:eastAsia="黑体" w:cs="黑体"/>
          <w:lang w:val="en-US" w:eastAsia="zh-CN"/>
        </w:rPr>
        <w:t>六、相关建议</w:t>
      </w:r>
      <w:bookmarkEnd w:id="109"/>
    </w:p>
    <w:p w14:paraId="2A05164D">
      <w:pPr>
        <w:bidi w:val="0"/>
        <w:rPr>
          <w:rFonts w:hint="default"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lang w:val="en-US" w:eastAsia="zh-CN"/>
        </w:rPr>
        <w:t>（一）加强政策宣传，加大政策解读</w:t>
      </w:r>
    </w:p>
    <w:p w14:paraId="43D59BEF">
      <w:pPr>
        <w:pStyle w:val="6"/>
        <w:keepNext w:val="0"/>
        <w:keepLines w:val="0"/>
        <w:pageBreakBefore w:val="0"/>
        <w:widowControl w:val="0"/>
        <w:numPr>
          <w:ilvl w:val="0"/>
          <w:numId w:val="0"/>
        </w:numPr>
        <w:kinsoku/>
        <w:wordWrap/>
        <w:topLinePunct w:val="0"/>
        <w:autoSpaceDE w:val="0"/>
        <w:autoSpaceDN w:val="0"/>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bidi="zh-CN"/>
        </w:rPr>
      </w:pPr>
      <w:r>
        <w:rPr>
          <w:rFonts w:hint="default" w:ascii="仿宋_GB2312" w:hAnsi="仿宋_GB2312" w:eastAsia="仿宋_GB2312" w:cs="仿宋_GB2312"/>
          <w:sz w:val="32"/>
          <w:szCs w:val="32"/>
          <w:highlight w:val="none"/>
          <w:lang w:val="en-US" w:eastAsia="zh-CN" w:bidi="zh-CN"/>
        </w:rPr>
        <w:t>通过查询公开信息，在枣庄市高新区管委会及高新区社会事务综合服务中心的官方网站、公众号等信息传播渠道并未找到宣传相关人力资源政策的信息，政策宣传工作不到位。建议高新区社会事务综合服务中心充分利用各种工作力量和各类媒体平台，大范围、多层次、高密度、全方位开展政策宣传工作；针对市级部门出台的政策做好解读工作，让群众明晰政策口径、使用标准、办理方式，做到政策解读分众化、服务群众精准化，推动各类政策应知尽知、应享尽享。</w:t>
      </w:r>
    </w:p>
    <w:p w14:paraId="23517DE5">
      <w:pPr>
        <w:bidi w:val="0"/>
        <w:rPr>
          <w:rFonts w:hint="default"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lang w:val="en-US" w:eastAsia="zh-CN"/>
        </w:rPr>
        <w:t>（二）进一步规范审核工作和档案管理工作</w:t>
      </w:r>
    </w:p>
    <w:p w14:paraId="1F1C524E">
      <w:pPr>
        <w:pStyle w:val="6"/>
        <w:keepNext w:val="0"/>
        <w:keepLines w:val="0"/>
        <w:pageBreakBefore w:val="0"/>
        <w:widowControl w:val="0"/>
        <w:numPr>
          <w:ilvl w:val="0"/>
          <w:numId w:val="0"/>
        </w:numPr>
        <w:kinsoku/>
        <w:wordWrap/>
        <w:topLinePunct w:val="0"/>
        <w:autoSpaceDE w:val="0"/>
        <w:autoSpaceDN w:val="0"/>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bidi="zh-CN"/>
        </w:rPr>
      </w:pPr>
      <w:r>
        <w:rPr>
          <w:rFonts w:hint="default" w:ascii="仿宋_GB2312" w:hAnsi="仿宋_GB2312" w:eastAsia="仿宋_GB2312" w:cs="仿宋_GB2312"/>
          <w:sz w:val="32"/>
          <w:szCs w:val="32"/>
          <w:highlight w:val="none"/>
          <w:lang w:val="en-US" w:eastAsia="zh-CN" w:bidi="zh-CN"/>
        </w:rPr>
        <w:t>枣庄高新区社会事务综合服务中心要加强对各项补贴申请资料的审核力度，原则上要由政府承担审核工作，涉及高端人才专业领域等项目、政府内部无法审核的可委托第三方专业机构参与。第三方仅是参与审核工作起辅助作用，主管部门仍然为主导，枣庄高新区社会事务综合服务中心要对第三方的工作进行有效监督，保证审核工作的客观性、真实性、公平性。建议对第三方实行考核，第三方的工作要形成汇报材料，对工作的组织开展情况、资料审核情况、最终结果情况等进行书面报告。这样既能加强对第三方的监督又能加强对项目的了解，还能通过与第三方的交流形成工作经验。</w:t>
      </w:r>
    </w:p>
    <w:p w14:paraId="21D19B02">
      <w:pPr>
        <w:pStyle w:val="9"/>
        <w:overflowPunct w:val="0"/>
        <w:spacing w:line="600" w:lineRule="exact"/>
        <w:ind w:firstLine="640" w:firstLineChars="200"/>
        <w:jc w:val="both"/>
        <w:rPr>
          <w:rFonts w:hint="default"/>
          <w:highlight w:val="none"/>
          <w:lang w:val="en-US" w:eastAsia="zh-CN"/>
        </w:rPr>
      </w:pPr>
      <w:r>
        <w:rPr>
          <w:rFonts w:hint="eastAsia"/>
          <w:lang w:val="en-US" w:eastAsia="zh-CN"/>
        </w:rPr>
        <w:t>要更加重视档案管理工作，人力资源经费项目涉及的子项目较多，要更加有序地整理存放档案，不可出现随意堆放、缺页少页等情况；所有项目的审核资料都要存档备查，委托第三方审核的部分也要做好备份，保证档案完整性。</w:t>
      </w:r>
    </w:p>
    <w:p w14:paraId="64030A9B">
      <w:pPr>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（三）细化预算编制，明确每个项目的预算额，避免“打包”编制预算</w:t>
      </w:r>
    </w:p>
    <w:p w14:paraId="79E48E69">
      <w:pPr>
        <w:keepNext w:val="0"/>
        <w:keepLines w:val="0"/>
        <w:pageBreakBefore w:val="0"/>
        <w:widowControl w:val="0"/>
        <w:kinsoku/>
        <w:wordWrap/>
        <w:overflowPunct/>
        <w:topLinePunct w:val="0"/>
        <w:autoSpaceDE w:val="0"/>
        <w:autoSpaceDN w:val="0"/>
        <w:bidi w:val="0"/>
        <w:adjustRightInd/>
        <w:snapToGrid/>
        <w:jc w:val="both"/>
        <w:textAlignment w:val="auto"/>
        <w:rPr>
          <w:rFonts w:hint="default"/>
          <w:lang w:val="en-US" w:eastAsia="zh-CN"/>
        </w:rPr>
      </w:pPr>
      <w:r>
        <w:rPr>
          <w:rFonts w:hint="eastAsia"/>
          <w:lang w:val="en-US" w:eastAsia="zh-CN"/>
        </w:rPr>
        <w:t>进一步规范预算管理，取消打包编制预算的方式，建议部门对每个子项目进行预算编制，便于精确化管理资金和节约资金，同时避免各项目资金混合使用，提高资金使用效率。</w:t>
      </w:r>
    </w:p>
    <w:p w14:paraId="436F2F0E">
      <w:pPr>
        <w:pStyle w:val="6"/>
        <w:keepNext w:val="0"/>
        <w:keepLines w:val="0"/>
        <w:pageBreakBefore w:val="0"/>
        <w:widowControl w:val="0"/>
        <w:numPr>
          <w:ilvl w:val="0"/>
          <w:numId w:val="0"/>
        </w:numPr>
        <w:kinsoku/>
        <w:wordWrap/>
        <w:topLinePunct w:val="0"/>
        <w:autoSpaceDE w:val="0"/>
        <w:autoSpaceDN w:val="0"/>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bidi="zh-CN"/>
        </w:rPr>
      </w:pPr>
      <w:r>
        <w:rPr>
          <w:rFonts w:hint="eastAsia" w:cs="仿宋_GB2312"/>
          <w:sz w:val="32"/>
          <w:szCs w:val="32"/>
          <w:highlight w:val="none"/>
          <w:lang w:val="en-US" w:eastAsia="zh-CN" w:bidi="zh-CN"/>
        </w:rPr>
        <w:t xml:space="preserve"> </w:t>
      </w:r>
    </w:p>
    <w:p w14:paraId="4FEE0175">
      <w:pPr>
        <w:rPr>
          <w:rFonts w:hint="eastAsia" w:ascii="方正小标宋简体" w:hAnsi="仿宋_GB2312" w:eastAsia="方正小标宋简体" w:cs="仿宋_GB2312"/>
          <w:color w:val="auto"/>
          <w:sz w:val="44"/>
          <w:szCs w:val="22"/>
          <w:lang w:val="zh-CN" w:eastAsia="zh-CN" w:bidi="zh-CN"/>
        </w:rPr>
      </w:pPr>
      <w:bookmarkStart w:id="110" w:name="_Toc7432"/>
      <w:bookmarkStart w:id="111" w:name="_Toc603"/>
      <w:bookmarkStart w:id="112" w:name="_Toc13183"/>
      <w:bookmarkStart w:id="113" w:name="_Toc12429"/>
      <w:bookmarkStart w:id="114" w:name="_Toc31895"/>
      <w:bookmarkStart w:id="115" w:name="_Toc18782"/>
      <w:bookmarkStart w:id="116" w:name="_Toc21050"/>
      <w:bookmarkStart w:id="117" w:name="_Toc19050"/>
      <w:bookmarkStart w:id="118" w:name="_Toc15917"/>
      <w:bookmarkStart w:id="119" w:name="_Toc18163"/>
      <w:r>
        <w:rPr>
          <w:rFonts w:hint="eastAsia" w:ascii="方正小标宋简体" w:hAnsi="仿宋_GB2312" w:eastAsia="方正小标宋简体" w:cs="仿宋_GB2312"/>
          <w:color w:val="auto"/>
          <w:sz w:val="44"/>
          <w:szCs w:val="22"/>
          <w:lang w:val="zh-CN" w:eastAsia="zh-CN" w:bidi="zh-CN"/>
        </w:rPr>
        <w:br w:type="page"/>
      </w:r>
    </w:p>
    <w:p w14:paraId="37A655EE">
      <w:pPr>
        <w:pStyle w:val="3"/>
        <w:bidi w:val="0"/>
        <w:ind w:left="0" w:leftChars="0" w:firstLine="0" w:firstLineChars="0"/>
        <w:jc w:val="center"/>
      </w:pPr>
      <w:bookmarkStart w:id="120" w:name="_Toc9732"/>
      <w:bookmarkStart w:id="121" w:name="_Toc8646"/>
      <w:bookmarkStart w:id="122" w:name="_Toc27111"/>
      <w:bookmarkStart w:id="123" w:name="_Toc31358"/>
      <w:bookmarkStart w:id="124" w:name="_Toc13187"/>
      <w:r>
        <w:rPr>
          <w:rFonts w:hint="eastAsia" w:ascii="方正小标宋简体" w:hAnsi="仿宋_GB2312" w:eastAsia="方正小标宋简体" w:cs="仿宋_GB2312"/>
          <w:color w:val="auto"/>
          <w:sz w:val="44"/>
          <w:szCs w:val="22"/>
          <w:lang w:val="zh-CN" w:eastAsia="zh-CN" w:bidi="zh-CN"/>
        </w:rPr>
        <w:t>正</w:t>
      </w:r>
      <w:r>
        <w:rPr>
          <w:rFonts w:hint="eastAsia" w:ascii="方正小标宋简体" w:hAnsi="仿宋_GB2312" w:eastAsia="方正小标宋简体" w:cs="仿宋_GB2312"/>
          <w:color w:val="auto"/>
          <w:sz w:val="44"/>
          <w:szCs w:val="22"/>
          <w:lang w:val="en-US" w:eastAsia="zh-CN" w:bidi="zh-CN"/>
        </w:rPr>
        <w:t xml:space="preserve">  </w:t>
      </w:r>
      <w:r>
        <w:rPr>
          <w:rFonts w:hint="eastAsia" w:ascii="方正小标宋简体" w:hAnsi="仿宋_GB2312" w:eastAsia="方正小标宋简体" w:cs="仿宋_GB2312"/>
          <w:color w:val="auto"/>
          <w:sz w:val="44"/>
          <w:szCs w:val="22"/>
          <w:lang w:val="zh-CN" w:eastAsia="zh-CN" w:bidi="zh-CN"/>
        </w:rPr>
        <w:t>文</w:t>
      </w:r>
      <w:bookmarkEnd w:id="107"/>
      <w:bookmarkEnd w:id="1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6481687">
      <w:pPr>
        <w:keepNext w:val="0"/>
        <w:keepLines w:val="0"/>
        <w:pageBreakBefore w:val="0"/>
        <w:widowControl w:val="0"/>
        <w:kinsoku/>
        <w:wordWrap/>
        <w:overflowPunct/>
        <w:topLinePunct w:val="0"/>
        <w:autoSpaceDE w:val="0"/>
        <w:autoSpaceDN w:val="0"/>
        <w:bidi w:val="0"/>
        <w:adjustRightInd/>
        <w:snapToGrid/>
        <w:ind w:firstLine="640"/>
        <w:jc w:val="both"/>
        <w:textAlignment w:val="auto"/>
        <w:rPr>
          <w:rFonts w:ascii="仿宋" w:hAnsi="仿宋" w:eastAsia="仿宋" w:cs="仿宋"/>
          <w:sz w:val="21"/>
          <w:szCs w:val="20"/>
          <w:highlight w:val="none"/>
        </w:rPr>
      </w:pPr>
      <w:r>
        <w:rPr>
          <w:rFonts w:hint="eastAsia"/>
          <w:color w:val="auto"/>
        </w:rPr>
        <w:t>为提升</w:t>
      </w:r>
      <w:r>
        <w:rPr>
          <w:rFonts w:hint="eastAsia"/>
          <w:color w:val="auto"/>
          <w:lang w:eastAsia="zh-CN"/>
        </w:rPr>
        <w:t>项目</w:t>
      </w:r>
      <w:r>
        <w:rPr>
          <w:rFonts w:hint="eastAsia"/>
          <w:color w:val="auto"/>
        </w:rPr>
        <w:t>管理水平，充分提高资金使用效率，根据</w:t>
      </w:r>
      <w:r>
        <w:rPr>
          <w:rFonts w:hint="eastAsia"/>
          <w:lang w:val="zh-CN"/>
        </w:rPr>
        <w:t>《中共山东省委山东省人民政府关于全面推进预算绩效管理的实施意见》（鲁发〔2019〕2号）</w:t>
      </w:r>
      <w:r>
        <w:rPr>
          <w:rFonts w:hint="eastAsia"/>
          <w:color w:val="auto"/>
        </w:rPr>
        <w:t>，我</w:t>
      </w:r>
      <w:r>
        <w:rPr>
          <w:rFonts w:hint="eastAsia"/>
          <w:i w:val="0"/>
          <w:iCs w:val="0"/>
          <w:color w:val="auto"/>
        </w:rPr>
        <w:t>司受</w:t>
      </w:r>
      <w:r>
        <w:rPr>
          <w:rFonts w:hint="eastAsia"/>
          <w:color w:val="auto"/>
          <w:lang w:eastAsia="zh-CN"/>
        </w:rPr>
        <w:t>枣庄</w:t>
      </w:r>
      <w:r>
        <w:rPr>
          <w:rFonts w:hint="eastAsia"/>
          <w:color w:val="auto"/>
        </w:rPr>
        <w:t>市</w:t>
      </w:r>
      <w:r>
        <w:rPr>
          <w:rFonts w:hint="eastAsia"/>
          <w:color w:val="auto"/>
          <w:lang w:val="en-US" w:eastAsia="zh-CN"/>
        </w:rPr>
        <w:t>高新区</w:t>
      </w:r>
      <w:r>
        <w:rPr>
          <w:rFonts w:hint="eastAsia"/>
          <w:color w:val="auto"/>
        </w:rPr>
        <w:t>财政</w:t>
      </w:r>
      <w:r>
        <w:rPr>
          <w:rFonts w:hint="eastAsia"/>
          <w:color w:val="auto"/>
          <w:lang w:val="en-US" w:eastAsia="zh-CN"/>
        </w:rPr>
        <w:t>金融</w:t>
      </w:r>
      <w:r>
        <w:rPr>
          <w:rFonts w:hint="eastAsia"/>
          <w:color w:val="auto"/>
        </w:rPr>
        <w:t>局委托，</w:t>
      </w:r>
      <w:r>
        <w:rPr>
          <w:rFonts w:hint="eastAsia"/>
          <w:color w:val="auto"/>
          <w:lang w:eastAsia="zh-CN"/>
        </w:rPr>
        <w:t>组成绩效评价组</w:t>
      </w:r>
      <w:r>
        <w:rPr>
          <w:rFonts w:hint="eastAsia"/>
          <w:color w:val="auto"/>
        </w:rPr>
        <w:t>对</w:t>
      </w:r>
      <w:r>
        <w:rPr>
          <w:rFonts w:hint="eastAsia"/>
          <w:color w:val="auto"/>
          <w:lang w:eastAsia="zh-CN"/>
        </w:rPr>
        <w:t>枣庄市</w:t>
      </w:r>
      <w:r>
        <w:rPr>
          <w:rFonts w:hint="eastAsia"/>
          <w:color w:val="auto"/>
          <w:lang w:val="en-US" w:eastAsia="zh-CN"/>
        </w:rPr>
        <w:t>高新区人力资源经费</w:t>
      </w:r>
      <w:r>
        <w:rPr>
          <w:rFonts w:hint="eastAsia"/>
          <w:color w:val="auto"/>
          <w:lang w:eastAsia="zh-CN"/>
        </w:rPr>
        <w:t>项目进行了</w:t>
      </w:r>
      <w:r>
        <w:rPr>
          <w:rFonts w:hint="eastAsia"/>
          <w:color w:val="auto"/>
        </w:rPr>
        <w:t>绩效评价。</w:t>
      </w:r>
      <w:r>
        <w:rPr>
          <w:rFonts w:hint="eastAsia"/>
          <w:color w:val="auto"/>
          <w:lang w:eastAsia="zh-CN"/>
        </w:rPr>
        <w:t>本项目</w:t>
      </w:r>
      <w:r>
        <w:rPr>
          <w:rFonts w:hint="eastAsia"/>
          <w:color w:val="auto"/>
          <w:lang w:val="en-US" w:eastAsia="zh-CN"/>
        </w:rPr>
        <w:t>主要由各类政策性补贴组成</w:t>
      </w:r>
      <w:r>
        <w:rPr>
          <w:rFonts w:hint="eastAsia"/>
          <w:color w:val="auto"/>
          <w:lang w:eastAsia="zh-CN"/>
        </w:rPr>
        <w:t>，</w:t>
      </w:r>
      <w:r>
        <w:rPr>
          <w:rFonts w:hint="eastAsia"/>
          <w:color w:val="auto"/>
          <w:lang w:val="en-US" w:eastAsia="zh-CN"/>
        </w:rPr>
        <w:t>2022年初</w:t>
      </w:r>
      <w:r>
        <w:rPr>
          <w:rFonts w:hint="eastAsia"/>
          <w:color w:val="auto"/>
          <w:lang w:eastAsia="zh-CN"/>
        </w:rPr>
        <w:t>预算</w:t>
      </w:r>
      <w:r>
        <w:rPr>
          <w:rFonts w:hint="eastAsia"/>
          <w:color w:val="auto"/>
          <w:lang w:val="en-US" w:eastAsia="zh-CN"/>
        </w:rPr>
        <w:t>800万元，调整后预算808.51万元，实际支出808.51万元。</w:t>
      </w:r>
      <w:r>
        <w:rPr>
          <w:rFonts w:hint="eastAsia"/>
          <w:color w:val="auto"/>
        </w:rPr>
        <w:t>本次绩效评价工作</w:t>
      </w:r>
      <w:r>
        <w:rPr>
          <w:rFonts w:hint="eastAsia"/>
          <w:color w:val="auto"/>
          <w:lang w:eastAsia="zh-CN"/>
        </w:rPr>
        <w:t>主要用比较法和公众评判法</w:t>
      </w:r>
      <w:r>
        <w:rPr>
          <w:rFonts w:hint="eastAsia"/>
          <w:color w:val="auto"/>
        </w:rPr>
        <w:t>从</w:t>
      </w:r>
      <w:r>
        <w:rPr>
          <w:rFonts w:hint="eastAsia"/>
          <w:color w:val="auto"/>
          <w:lang w:eastAsia="zh-CN"/>
        </w:rPr>
        <w:t>决策、过程、产出、效益</w:t>
      </w:r>
      <w:r>
        <w:rPr>
          <w:rFonts w:hint="eastAsia"/>
          <w:color w:val="auto"/>
        </w:rPr>
        <w:t>等方面展开了综合评价，</w:t>
      </w:r>
      <w:r>
        <w:rPr>
          <w:rFonts w:hint="eastAsia"/>
          <w:lang w:val="en-US" w:eastAsia="zh-CN"/>
        </w:rPr>
        <w:t>发现部分政策的享受人数或企业数较少，实际引才效果不佳，部分项目审核工作不规范、档案保存不完整，预算编制存在打包处理现象等问题，并提出了相关的建议。经过综合评价，最终得分为92分，评价等级为“优”。</w:t>
      </w:r>
      <w:r>
        <w:rPr>
          <w:rFonts w:hint="eastAsia"/>
          <w:color w:val="auto"/>
        </w:rPr>
        <w:t>现将</w:t>
      </w:r>
      <w:r>
        <w:rPr>
          <w:rFonts w:hint="eastAsia"/>
          <w:color w:val="auto"/>
          <w:lang w:eastAsia="zh-CN"/>
        </w:rPr>
        <w:t>具体</w:t>
      </w:r>
      <w:r>
        <w:rPr>
          <w:rFonts w:hint="eastAsia"/>
          <w:color w:val="auto"/>
        </w:rPr>
        <w:t>评价情况作如下报告：</w:t>
      </w:r>
    </w:p>
    <w:p w14:paraId="2184478D">
      <w:pPr>
        <w:pStyle w:val="3"/>
        <w:bidi w:val="0"/>
      </w:pPr>
      <w:bookmarkStart w:id="125" w:name="_Toc24305"/>
      <w:bookmarkStart w:id="126" w:name="_Toc8218"/>
      <w:bookmarkStart w:id="127" w:name="_Toc17165"/>
      <w:bookmarkStart w:id="128" w:name="_Toc12841"/>
      <w:bookmarkStart w:id="129" w:name="_Toc7278"/>
      <w:bookmarkStart w:id="130" w:name="_Toc5145"/>
      <w:bookmarkStart w:id="131" w:name="_Toc2701"/>
      <w:bookmarkStart w:id="132" w:name="_Toc16019"/>
      <w:bookmarkStart w:id="133" w:name="_Toc4969"/>
      <w:bookmarkStart w:id="134" w:name="_Toc10199"/>
      <w:bookmarkStart w:id="135" w:name="_Toc29666"/>
      <w:bookmarkStart w:id="136" w:name="_Toc11179"/>
      <w:bookmarkStart w:id="137" w:name="_Toc15924"/>
      <w:bookmarkStart w:id="138" w:name="_Toc23412"/>
      <w:bookmarkStart w:id="139" w:name="_Toc13037"/>
      <w:r>
        <w:rPr>
          <w:rFonts w:hint="eastAsia"/>
        </w:rPr>
        <w:t>一、项目基本情况</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36A4857">
      <w:pPr>
        <w:pStyle w:val="4"/>
        <w:bidi w:val="0"/>
        <w:rPr>
          <w:rFonts w:hint="default" w:eastAsia="楷体_GB2312"/>
          <w:lang w:val="en-US" w:eastAsia="zh-CN"/>
        </w:rPr>
      </w:pPr>
      <w:bookmarkStart w:id="140" w:name="_Toc5028"/>
      <w:bookmarkStart w:id="141" w:name="_Toc16804"/>
      <w:bookmarkStart w:id="142" w:name="_Toc1594"/>
      <w:bookmarkStart w:id="143" w:name="_Toc12223"/>
      <w:bookmarkStart w:id="144" w:name="_Toc24364"/>
      <w:bookmarkStart w:id="145" w:name="_Toc14835"/>
      <w:bookmarkStart w:id="146" w:name="_Toc17272"/>
      <w:bookmarkStart w:id="147" w:name="_Toc27425"/>
      <w:bookmarkStart w:id="148" w:name="_Toc23496"/>
      <w:bookmarkStart w:id="149" w:name="_Toc13617"/>
      <w:bookmarkStart w:id="150" w:name="_Toc28888"/>
      <w:bookmarkStart w:id="151" w:name="_Toc17488"/>
      <w:bookmarkStart w:id="152" w:name="_Toc2725"/>
      <w:bookmarkStart w:id="153" w:name="_Toc8258"/>
      <w:bookmarkStart w:id="154" w:name="_Toc25379"/>
      <w:r>
        <w:rPr>
          <w:rFonts w:hint="eastAsia"/>
        </w:rPr>
        <w:t>（一）项目立项</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lang w:val="en-US" w:eastAsia="zh-CN"/>
        </w:rPr>
        <w:t xml:space="preserve"> </w:t>
      </w:r>
    </w:p>
    <w:p w14:paraId="6AAAD5A8">
      <w:pPr>
        <w:pStyle w:val="5"/>
        <w:keepNext/>
        <w:keepLines/>
        <w:pageBreakBefore w:val="0"/>
        <w:widowControl w:val="0"/>
        <w:kinsoku/>
        <w:wordWrap/>
        <w:overflowPunct/>
        <w:topLinePunct w:val="0"/>
        <w:autoSpaceDE w:val="0"/>
        <w:autoSpaceDN w:val="0"/>
        <w:bidi w:val="0"/>
        <w:adjustRightInd/>
        <w:snapToGrid/>
        <w:spacing w:line="580" w:lineRule="exact"/>
        <w:jc w:val="both"/>
        <w:textAlignment w:val="auto"/>
        <w:rPr>
          <w:rFonts w:hint="eastAsia"/>
        </w:rPr>
      </w:pPr>
      <w:bookmarkStart w:id="155" w:name="_Toc26483"/>
      <w:r>
        <w:rPr>
          <w:rFonts w:hint="eastAsia"/>
          <w:lang w:val="en-US"/>
        </w:rPr>
        <w:t>1.</w:t>
      </w:r>
      <w:r>
        <w:rPr>
          <w:rFonts w:hint="eastAsia"/>
        </w:rPr>
        <w:t>项目立项的环境和条件</w:t>
      </w:r>
      <w:bookmarkEnd w:id="155"/>
    </w:p>
    <w:p w14:paraId="5F31CFCE">
      <w:pPr>
        <w:keepNext w:val="0"/>
        <w:keepLines w:val="0"/>
        <w:pageBreakBefore w:val="0"/>
        <w:widowControl w:val="0"/>
        <w:kinsoku/>
        <w:wordWrap/>
        <w:topLinePunct w:val="0"/>
        <w:autoSpaceDE w:val="0"/>
        <w:autoSpaceDN w:val="0"/>
        <w:bidi w:val="0"/>
        <w:adjustRightInd/>
        <w:snapToGrid/>
        <w:jc w:val="both"/>
        <w:textAlignment w:val="auto"/>
        <w:rPr>
          <w:rFonts w:hint="eastAsia"/>
          <w:lang w:val="en-US" w:eastAsia="zh-CN"/>
        </w:rPr>
      </w:pPr>
      <w:r>
        <w:rPr>
          <w:rFonts w:hint="eastAsia" w:ascii="Times New Roman" w:hAnsi="Times New Roman" w:cs="Times New Roman"/>
          <w:b w:val="0"/>
          <w:color w:val="auto"/>
          <w:kern w:val="2"/>
          <w:sz w:val="32"/>
          <w:szCs w:val="24"/>
          <w:lang w:val="en-US" w:eastAsia="zh-CN" w:bidi="ar-SA"/>
        </w:rPr>
        <w:t>随着高端人才尤其是高科技领域人才在经济社会发展中的贡献度越来越高，在促进经济发展、产业结构升级、推进新旧动能转换中的作用越来越突出，国家多次发文强调人才战略的重要性，各地也陆续出台各种各样的人才政策，开启“抢人大战”。在此背景下，山东省委省政府提出“人才兴鲁”，枣庄市委市政府也提出一系列人才战略部署，枣庄市人社局积极响应，制定了保障人力资源可持续发展的一些列政策措施，枣庄市高新区社会事务综合服务中心积极落实各类引才政策</w:t>
      </w:r>
      <w:r>
        <w:rPr>
          <w:rFonts w:hint="eastAsia"/>
          <w:lang w:val="en-US" w:eastAsia="zh-CN"/>
        </w:rPr>
        <w:t>。</w:t>
      </w:r>
    </w:p>
    <w:p w14:paraId="313EC9B0">
      <w:pPr>
        <w:keepNext w:val="0"/>
        <w:keepLines w:val="0"/>
        <w:pageBreakBefore w:val="0"/>
        <w:widowControl w:val="0"/>
        <w:kinsoku/>
        <w:wordWrap/>
        <w:topLinePunct w:val="0"/>
        <w:autoSpaceDE w:val="0"/>
        <w:autoSpaceDN w:val="0"/>
        <w:bidi w:val="0"/>
        <w:adjustRightInd/>
        <w:snapToGrid/>
        <w:jc w:val="both"/>
        <w:textAlignment w:val="auto"/>
        <w:rPr>
          <w:rFonts w:hint="default"/>
          <w:lang w:val="en-US" w:eastAsia="zh-CN"/>
        </w:rPr>
      </w:pPr>
      <w:r>
        <w:rPr>
          <w:rFonts w:hint="eastAsia"/>
          <w:lang w:val="en-US" w:eastAsia="zh-CN"/>
        </w:rPr>
        <w:t>三年疫情对民生就业领域造成一定的冲击，党中央、</w:t>
      </w:r>
      <w:bookmarkStart w:id="724" w:name="_GoBack"/>
      <w:bookmarkEnd w:id="724"/>
      <w:r>
        <w:rPr>
          <w:rFonts w:hint="eastAsia"/>
          <w:lang w:val="en-US" w:eastAsia="zh-CN"/>
        </w:rPr>
        <w:t>国务院、省委省政府和枣庄市委市政府都提出稳就业保民生工作要求，枣庄市人社局制定了《枣庄市援企稳岗扩就业保民生政策清单》，以促进就业改善民生。</w:t>
      </w:r>
    </w:p>
    <w:p w14:paraId="0ACAA403">
      <w:pPr>
        <w:pStyle w:val="5"/>
        <w:pageBreakBefore w:val="0"/>
        <w:widowControl w:val="0"/>
        <w:kinsoku/>
        <w:wordWrap/>
        <w:overflowPunct/>
        <w:topLinePunct w:val="0"/>
        <w:autoSpaceDE w:val="0"/>
        <w:autoSpaceDN w:val="0"/>
        <w:bidi w:val="0"/>
        <w:adjustRightInd/>
        <w:snapToGrid/>
        <w:jc w:val="both"/>
        <w:textAlignment w:val="auto"/>
        <w:rPr>
          <w:rFonts w:hint="eastAsia"/>
        </w:rPr>
      </w:pPr>
      <w:bookmarkStart w:id="156" w:name="_Toc32612"/>
      <w:r>
        <w:rPr>
          <w:rFonts w:hint="eastAsia"/>
          <w:lang w:val="en-US" w:eastAsia="zh-CN"/>
        </w:rPr>
        <w:t>2.</w:t>
      </w:r>
      <w:r>
        <w:rPr>
          <w:rFonts w:hint="eastAsia"/>
        </w:rPr>
        <w:t>实施项目达到的目标和意义</w:t>
      </w:r>
      <w:bookmarkEnd w:id="156"/>
    </w:p>
    <w:p w14:paraId="5CC5F6FF">
      <w:pPr>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eastAsia="仿宋_GB2312"/>
          <w:lang w:val="en-US" w:eastAsia="zh-CN"/>
        </w:rPr>
      </w:pPr>
      <w:r>
        <w:rPr>
          <w:rFonts w:hint="eastAsia"/>
          <w:sz w:val="32"/>
          <w:szCs w:val="32"/>
          <w:lang w:eastAsia="zh-CN"/>
        </w:rPr>
        <w:t>本项目的目标是</w:t>
      </w:r>
      <w:r>
        <w:rPr>
          <w:rFonts w:hint="eastAsia"/>
          <w:sz w:val="32"/>
          <w:szCs w:val="32"/>
          <w:lang w:val="en-US" w:eastAsia="zh-CN"/>
        </w:rPr>
        <w:t>完成枣庄市人力资源和社会保障局印发的《枣庄市援企稳岗扩就业保民生政策清单》中的任务，充分做好政策解读工作，让企业群众明晰政策，持续推动各项政策落实服务落地，着力保市场主体保就业民生，不断提升企业群众获得感，确保就业形势持续稳定</w:t>
      </w:r>
      <w:r>
        <w:rPr>
          <w:rFonts w:hint="eastAsia"/>
          <w:sz w:val="32"/>
          <w:szCs w:val="32"/>
          <w:lang w:eastAsia="zh-CN"/>
        </w:rPr>
        <w:t>。</w:t>
      </w:r>
    </w:p>
    <w:p w14:paraId="128963C5">
      <w:pPr>
        <w:pStyle w:val="5"/>
        <w:pageBreakBefore w:val="0"/>
        <w:widowControl w:val="0"/>
        <w:kinsoku/>
        <w:wordWrap/>
        <w:overflowPunct/>
        <w:topLinePunct w:val="0"/>
        <w:autoSpaceDE w:val="0"/>
        <w:autoSpaceDN w:val="0"/>
        <w:bidi w:val="0"/>
        <w:adjustRightInd/>
        <w:snapToGrid/>
        <w:jc w:val="both"/>
        <w:textAlignment w:val="auto"/>
        <w:rPr>
          <w:rFonts w:hint="eastAsia"/>
        </w:rPr>
      </w:pPr>
      <w:bookmarkStart w:id="157" w:name="_Toc7095"/>
      <w:r>
        <w:rPr>
          <w:rFonts w:hint="eastAsia"/>
          <w:lang w:val="en-US" w:eastAsia="zh-CN"/>
        </w:rPr>
        <w:t>3.</w:t>
      </w:r>
      <w:r>
        <w:rPr>
          <w:rFonts w:hint="eastAsia"/>
        </w:rPr>
        <w:t>项目立项依据</w:t>
      </w:r>
      <w:bookmarkEnd w:id="157"/>
    </w:p>
    <w:p w14:paraId="1B0835E8">
      <w:pPr>
        <w:pStyle w:val="21"/>
        <w:pageBreakBefore w:val="0"/>
        <w:widowControl w:val="0"/>
        <w:kinsoku/>
        <w:wordWrap/>
        <w:overflowPunct/>
        <w:topLinePunct w:val="0"/>
        <w:autoSpaceDE w:val="0"/>
        <w:autoSpaceDN w:val="0"/>
        <w:bidi w:val="0"/>
        <w:adjustRightInd/>
        <w:snapToGrid/>
        <w:jc w:val="both"/>
        <w:textAlignment w:val="auto"/>
        <w:rPr>
          <w:rFonts w:hint="eastAsia" w:cs="仿宋_GB2312"/>
          <w:kern w:val="2"/>
          <w:sz w:val="32"/>
          <w:szCs w:val="24"/>
          <w:lang w:val="en-US" w:eastAsia="zh-CN" w:bidi="ar-SA"/>
        </w:rPr>
      </w:pPr>
      <w:r>
        <w:rPr>
          <w:rFonts w:hint="eastAsia" w:ascii="仿宋_GB2312" w:hAnsi="仿宋_GB2312" w:eastAsia="仿宋_GB2312" w:cs="仿宋_GB2312"/>
          <w:sz w:val="32"/>
          <w:szCs w:val="22"/>
          <w:lang w:val="en-US" w:eastAsia="zh-CN" w:bidi="zh-CN"/>
        </w:rPr>
        <w:t>2021年9月枣庄市委市政府印发《枣庄市引进培养用好青年人才支持“工业强市，产业兴市”若干措施》（枣办发〔2021〕17号）</w:t>
      </w:r>
      <w:r>
        <w:rPr>
          <w:rFonts w:hint="eastAsia" w:ascii="Times New Roman" w:hAnsi="Times New Roman" w:cs="Times New Roman"/>
          <w:kern w:val="2"/>
          <w:sz w:val="32"/>
          <w:szCs w:val="24"/>
          <w:lang w:val="en-US" w:eastAsia="zh-CN" w:bidi="ar-SA"/>
        </w:rPr>
        <w:t>，</w:t>
      </w:r>
      <w:r>
        <w:rPr>
          <w:rFonts w:hint="eastAsia" w:ascii="仿宋_GB2312" w:hAnsi="仿宋_GB2312" w:eastAsia="仿宋_GB2312" w:cs="仿宋_GB2312"/>
          <w:kern w:val="2"/>
          <w:sz w:val="32"/>
          <w:szCs w:val="24"/>
          <w:lang w:val="en-US" w:eastAsia="zh-CN" w:bidi="ar-SA"/>
        </w:rPr>
        <w:t>提出对各类人才进行政策性补贴</w:t>
      </w:r>
      <w:r>
        <w:rPr>
          <w:rFonts w:hint="eastAsia" w:cs="仿宋_GB2312"/>
          <w:kern w:val="2"/>
          <w:sz w:val="32"/>
          <w:szCs w:val="24"/>
          <w:lang w:val="en-US" w:eastAsia="zh-CN" w:bidi="ar-SA"/>
        </w:rPr>
        <w:t>。</w:t>
      </w:r>
    </w:p>
    <w:p w14:paraId="6A4AA6DB">
      <w:pPr>
        <w:pStyle w:val="21"/>
        <w:pageBreakBefore w:val="0"/>
        <w:widowControl w:val="0"/>
        <w:kinsoku/>
        <w:wordWrap/>
        <w:overflowPunct/>
        <w:topLinePunct w:val="0"/>
        <w:autoSpaceDE w:val="0"/>
        <w:autoSpaceDN w:val="0"/>
        <w:bidi w:val="0"/>
        <w:adjustRightInd/>
        <w:snapToGrid/>
        <w:jc w:val="both"/>
        <w:textAlignment w:val="auto"/>
        <w:rPr>
          <w:rFonts w:hint="default"/>
          <w:sz w:val="32"/>
          <w:lang w:val="en-US" w:eastAsia="zh-CN"/>
        </w:rPr>
      </w:pPr>
      <w:r>
        <w:rPr>
          <w:rFonts w:hint="eastAsia"/>
          <w:lang w:val="en-US" w:eastAsia="zh-CN"/>
        </w:rPr>
        <w:t>枣庄市人力资源和社会保障局《枣庄市援企稳岗扩就业保民生政策清单》明确了各项补贴政策的主要内容、适用对象、政策支持等</w:t>
      </w:r>
      <w:r>
        <w:rPr>
          <w:rFonts w:hint="eastAsia"/>
          <w:sz w:val="32"/>
          <w:lang w:eastAsia="zh-CN"/>
        </w:rPr>
        <w:t>。</w:t>
      </w:r>
    </w:p>
    <w:p w14:paraId="348D0CCA">
      <w:pPr>
        <w:pStyle w:val="4"/>
        <w:bidi w:val="0"/>
      </w:pPr>
      <w:bookmarkStart w:id="158" w:name="_Toc27039"/>
      <w:bookmarkStart w:id="159" w:name="_Toc32564"/>
      <w:bookmarkStart w:id="160" w:name="_Toc26201"/>
      <w:bookmarkStart w:id="161" w:name="_Toc16787"/>
      <w:bookmarkStart w:id="162" w:name="_Toc26300"/>
      <w:bookmarkStart w:id="163" w:name="_Toc6037"/>
      <w:bookmarkStart w:id="164" w:name="_Toc17136"/>
      <w:bookmarkStart w:id="165" w:name="_Toc20291"/>
      <w:bookmarkStart w:id="166" w:name="_Toc21565"/>
      <w:bookmarkStart w:id="167" w:name="_Toc11887"/>
      <w:bookmarkStart w:id="168" w:name="_Toc17976"/>
      <w:bookmarkStart w:id="169" w:name="_Toc2225"/>
      <w:bookmarkStart w:id="170" w:name="_Toc16446"/>
      <w:bookmarkStart w:id="171" w:name="_Toc30311"/>
      <w:bookmarkStart w:id="172" w:name="_Toc15797"/>
      <w:r>
        <w:rPr>
          <w:rFonts w:hint="eastAsia"/>
        </w:rPr>
        <w:t>（二）项目实施内容</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19FCEC3">
      <w:pPr>
        <w:pStyle w:val="5"/>
        <w:bidi w:val="0"/>
        <w:rPr>
          <w:lang w:val="en-US"/>
        </w:rPr>
      </w:pPr>
      <w:bookmarkStart w:id="173" w:name="_Toc5214"/>
      <w:r>
        <w:rPr>
          <w:rFonts w:hint="eastAsia"/>
          <w:lang w:val="en-US"/>
        </w:rPr>
        <w:t>1.项目立项时间</w:t>
      </w:r>
      <w:bookmarkEnd w:id="173"/>
    </w:p>
    <w:p w14:paraId="33F2326B">
      <w:pPr>
        <w:pStyle w:val="9"/>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highlight w:val="none"/>
          <w:lang w:val="en-US"/>
        </w:rPr>
      </w:pPr>
      <w:r>
        <w:rPr>
          <w:rFonts w:hint="eastAsia"/>
          <w:highlight w:val="none"/>
          <w:lang w:val="en-US"/>
        </w:rPr>
        <w:t>本项目立项时间为20</w:t>
      </w:r>
      <w:r>
        <w:rPr>
          <w:rFonts w:hint="eastAsia"/>
          <w:highlight w:val="none"/>
          <w:lang w:val="en-US" w:eastAsia="zh-CN"/>
        </w:rPr>
        <w:t>19</w:t>
      </w:r>
      <w:r>
        <w:rPr>
          <w:rFonts w:hint="eastAsia"/>
          <w:highlight w:val="none"/>
          <w:lang w:val="en-US"/>
        </w:rPr>
        <w:t>年。</w:t>
      </w:r>
    </w:p>
    <w:p w14:paraId="01E73786">
      <w:pPr>
        <w:pStyle w:val="5"/>
        <w:pageBreakBefore w:val="0"/>
        <w:widowControl w:val="0"/>
        <w:kinsoku/>
        <w:wordWrap/>
        <w:topLinePunct w:val="0"/>
        <w:autoSpaceDE w:val="0"/>
        <w:autoSpaceDN w:val="0"/>
        <w:bidi w:val="0"/>
        <w:adjustRightInd/>
        <w:snapToGrid/>
        <w:jc w:val="both"/>
        <w:textAlignment w:val="auto"/>
        <w:rPr>
          <w:lang w:val="en-US"/>
        </w:rPr>
      </w:pPr>
      <w:bookmarkStart w:id="174" w:name="_Toc8272"/>
      <w:r>
        <w:rPr>
          <w:rFonts w:hint="eastAsia"/>
          <w:lang w:val="en-US"/>
        </w:rPr>
        <w:t>2.项目批复单位</w:t>
      </w:r>
      <w:bookmarkEnd w:id="174"/>
    </w:p>
    <w:p w14:paraId="632DE9F1">
      <w:pPr>
        <w:pStyle w:val="9"/>
        <w:pageBreakBefore w:val="0"/>
        <w:widowControl w:val="0"/>
        <w:kinsoku/>
        <w:wordWrap/>
        <w:topLinePunct w:val="0"/>
        <w:autoSpaceDE w:val="0"/>
        <w:autoSpaceDN w:val="0"/>
        <w:bidi w:val="0"/>
        <w:adjustRightInd/>
        <w:snapToGrid/>
        <w:jc w:val="both"/>
        <w:textAlignment w:val="auto"/>
        <w:rPr>
          <w:rFonts w:hint="default"/>
          <w:highlight w:val="none"/>
          <w:lang w:val="en-US"/>
        </w:rPr>
      </w:pPr>
      <w:r>
        <w:rPr>
          <w:rFonts w:hint="eastAsia"/>
          <w:lang w:val="en-US" w:eastAsia="zh-CN"/>
        </w:rPr>
        <w:t>人力资源经费项目包含若干子项目，</w:t>
      </w:r>
      <w:r>
        <w:rPr>
          <w:rFonts w:hint="eastAsia"/>
        </w:rPr>
        <w:t>批复单位为</w:t>
      </w:r>
      <w:r>
        <w:rPr>
          <w:rFonts w:hint="eastAsia"/>
          <w:lang w:eastAsia="zh-CN"/>
        </w:rPr>
        <w:t>枣庄市委</w:t>
      </w:r>
      <w:r>
        <w:rPr>
          <w:rFonts w:hint="eastAsia"/>
        </w:rPr>
        <w:t>市</w:t>
      </w:r>
      <w:r>
        <w:rPr>
          <w:rFonts w:hint="eastAsia"/>
          <w:lang w:val="en-US" w:eastAsia="zh-CN"/>
        </w:rPr>
        <w:t>政府和枣庄市人力资源和社会保障局。2021年9月枣庄市委市政府印发《枣庄市引进培养用好青年人才支持“工业强市，产业兴市”若干措施》（枣办发</w:t>
      </w:r>
      <w:r>
        <w:rPr>
          <w:rFonts w:hint="eastAsia"/>
          <w:sz w:val="32"/>
          <w:lang w:eastAsia="zh-CN"/>
        </w:rPr>
        <w:t>〔2</w:t>
      </w:r>
      <w:r>
        <w:rPr>
          <w:rFonts w:hint="eastAsia"/>
          <w:sz w:val="32"/>
          <w:lang w:val="en-US" w:eastAsia="zh-CN"/>
        </w:rPr>
        <w:t>021</w:t>
      </w:r>
      <w:r>
        <w:rPr>
          <w:rFonts w:hint="eastAsia"/>
          <w:sz w:val="32"/>
          <w:lang w:eastAsia="zh-CN"/>
        </w:rPr>
        <w:t>〕</w:t>
      </w:r>
      <w:r>
        <w:rPr>
          <w:rFonts w:hint="eastAsia"/>
          <w:lang w:val="en-US" w:eastAsia="zh-CN"/>
        </w:rPr>
        <w:t>17号），提出对各类人才进行政策性补贴；枣庄市人力资源和社会保障局根据市委市政府的要求制定了若干政策性文件保障人才工作的开展。</w:t>
      </w:r>
    </w:p>
    <w:p w14:paraId="74815068">
      <w:pPr>
        <w:pStyle w:val="5"/>
        <w:pageBreakBefore w:val="0"/>
        <w:widowControl w:val="0"/>
        <w:kinsoku/>
        <w:wordWrap/>
        <w:topLinePunct w:val="0"/>
        <w:autoSpaceDE w:val="0"/>
        <w:autoSpaceDN w:val="0"/>
        <w:bidi w:val="0"/>
        <w:adjustRightInd/>
        <w:snapToGrid/>
        <w:jc w:val="both"/>
        <w:textAlignment w:val="auto"/>
        <w:rPr>
          <w:rFonts w:hint="eastAsia"/>
          <w:lang w:val="en-US"/>
        </w:rPr>
      </w:pPr>
      <w:bookmarkStart w:id="175" w:name="_Toc15145"/>
      <w:r>
        <w:rPr>
          <w:rFonts w:hint="eastAsia"/>
          <w:lang w:val="en-US"/>
        </w:rPr>
        <w:t>3.项目具体内容</w:t>
      </w:r>
      <w:bookmarkEnd w:id="175"/>
    </w:p>
    <w:p w14:paraId="540A9CD8">
      <w:pPr>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eastAsia="仿宋_GB2312"/>
          <w:lang w:val="en-US" w:eastAsia="zh-CN"/>
        </w:rPr>
      </w:pPr>
      <w:r>
        <w:rPr>
          <w:rFonts w:hint="eastAsia"/>
          <w:lang w:val="en-US" w:eastAsia="zh-CN"/>
        </w:rPr>
        <w:t>本项目主要内容是对各类人才以及引进人才的企业进行补贴</w:t>
      </w:r>
      <w:r>
        <w:rPr>
          <w:rFonts w:hint="eastAsia"/>
          <w:sz w:val="32"/>
          <w:szCs w:val="32"/>
          <w:lang w:eastAsia="zh-CN"/>
        </w:rPr>
        <w:t>。</w:t>
      </w:r>
      <w:r>
        <w:rPr>
          <w:rFonts w:hint="eastAsia"/>
          <w:sz w:val="32"/>
          <w:szCs w:val="32"/>
          <w:lang w:val="en-US" w:eastAsia="zh-CN"/>
        </w:rPr>
        <w:t xml:space="preserve"> </w:t>
      </w:r>
    </w:p>
    <w:p w14:paraId="03FBD8DF">
      <w:pPr>
        <w:pStyle w:val="5"/>
        <w:pageBreakBefore w:val="0"/>
        <w:widowControl w:val="0"/>
        <w:kinsoku/>
        <w:wordWrap/>
        <w:topLinePunct w:val="0"/>
        <w:autoSpaceDE w:val="0"/>
        <w:autoSpaceDN w:val="0"/>
        <w:bidi w:val="0"/>
        <w:adjustRightInd/>
        <w:snapToGrid/>
        <w:spacing w:line="580" w:lineRule="exact"/>
        <w:ind w:firstLine="640"/>
        <w:textAlignment w:val="auto"/>
        <w:rPr>
          <w:rFonts w:hint="eastAsia"/>
          <w:highlight w:val="none"/>
          <w:lang w:val="en-US"/>
        </w:rPr>
      </w:pPr>
      <w:bookmarkStart w:id="176" w:name="_Toc8468"/>
      <w:r>
        <w:rPr>
          <w:rFonts w:hint="eastAsia"/>
          <w:highlight w:val="none"/>
          <w:lang w:val="en-US"/>
        </w:rPr>
        <w:t>4.项目所在区域</w:t>
      </w:r>
      <w:bookmarkEnd w:id="176"/>
    </w:p>
    <w:p w14:paraId="1B24D6E5">
      <w:pPr>
        <w:bidi w:val="0"/>
        <w:rPr>
          <w:rFonts w:hint="eastAsia"/>
          <w:lang w:eastAsia="zh-CN"/>
        </w:rPr>
      </w:pPr>
      <w:r>
        <w:rPr>
          <w:rFonts w:hint="eastAsia"/>
          <w:lang w:val="en-US" w:eastAsia="zh-CN"/>
        </w:rPr>
        <w:t>本项目所在区域是枣庄市高新区。</w:t>
      </w:r>
    </w:p>
    <w:p w14:paraId="52B525FF">
      <w:pPr>
        <w:pStyle w:val="5"/>
        <w:bidi w:val="0"/>
        <w:rPr>
          <w:rFonts w:hint="eastAsia"/>
          <w:lang w:val="en-US" w:eastAsia="zh-CN"/>
        </w:rPr>
      </w:pPr>
      <w:bookmarkStart w:id="177" w:name="_Toc24835"/>
      <w:r>
        <w:rPr>
          <w:rFonts w:hint="eastAsia"/>
          <w:lang w:val="en-US" w:eastAsia="zh-CN"/>
        </w:rPr>
        <w:t>5.项目计划完成时间</w:t>
      </w:r>
      <w:bookmarkEnd w:id="177"/>
    </w:p>
    <w:p w14:paraId="2B138D83">
      <w:pPr>
        <w:bidi w:val="0"/>
        <w:rPr>
          <w:rFonts w:hint="default"/>
          <w:lang w:val="en-US"/>
        </w:rPr>
      </w:pPr>
      <w:r>
        <w:rPr>
          <w:rFonts w:hint="eastAsia"/>
          <w:lang w:val="en-US" w:eastAsia="zh-CN"/>
        </w:rPr>
        <w:t>本项目是连续性项目，计划完成时间为2022年1月1日至2022年12月31日。</w:t>
      </w:r>
    </w:p>
    <w:p w14:paraId="57C1D032">
      <w:pPr>
        <w:pStyle w:val="5"/>
        <w:bidi w:val="0"/>
        <w:rPr>
          <w:rFonts w:hint="eastAsia" w:eastAsia="仿宋_GB2312"/>
          <w:lang w:val="en-US" w:eastAsia="zh-CN"/>
        </w:rPr>
      </w:pPr>
      <w:bookmarkStart w:id="178" w:name="_Toc8655"/>
      <w:r>
        <w:rPr>
          <w:rFonts w:hint="eastAsia"/>
          <w:lang w:val="en-US" w:eastAsia="zh-CN"/>
        </w:rPr>
        <w:t>6.</w:t>
      </w:r>
      <w:r>
        <w:rPr>
          <w:rFonts w:hint="eastAsia"/>
          <w:lang w:val="en-US"/>
        </w:rPr>
        <w:t>项目实施</w:t>
      </w:r>
      <w:bookmarkEnd w:id="178"/>
      <w:r>
        <w:rPr>
          <w:rFonts w:hint="eastAsia"/>
          <w:lang w:val="en-US" w:eastAsia="zh-CN"/>
        </w:rPr>
        <w:t>进度</w:t>
      </w:r>
    </w:p>
    <w:p w14:paraId="616AE434">
      <w:pPr>
        <w:pStyle w:val="6"/>
        <w:ind w:left="0" w:lef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highlight w:val="none"/>
          <w:lang w:val="en-US" w:eastAsia="zh-CN"/>
        </w:rPr>
        <w:t>表1.1：项目实施情况</w:t>
      </w:r>
    </w:p>
    <w:tbl>
      <w:tblPr>
        <w:tblStyle w:val="22"/>
        <w:tblW w:w="9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0"/>
        <w:gridCol w:w="3384"/>
      </w:tblGrid>
      <w:tr w14:paraId="3B5A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9C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bookmarkStart w:id="179" w:name="_Toc5322"/>
            <w:bookmarkStart w:id="180" w:name="_Toc11586"/>
            <w:bookmarkStart w:id="181" w:name="_Toc22210"/>
            <w:bookmarkStart w:id="182" w:name="_Toc8620"/>
            <w:bookmarkStart w:id="183" w:name="_Toc15765"/>
            <w:bookmarkStart w:id="184" w:name="_Toc15464"/>
            <w:bookmarkStart w:id="185" w:name="_Toc6708"/>
            <w:bookmarkStart w:id="186" w:name="_Toc27107"/>
            <w:bookmarkStart w:id="187" w:name="_Toc5417"/>
            <w:bookmarkStart w:id="188" w:name="_Toc32250"/>
            <w:bookmarkStart w:id="189" w:name="_Toc30373"/>
            <w:bookmarkStart w:id="190" w:name="_Toc1211"/>
            <w:r>
              <w:rPr>
                <w:rFonts w:hint="eastAsia" w:ascii="宋体" w:hAnsi="宋体" w:eastAsia="宋体" w:cs="宋体"/>
                <w:i w:val="0"/>
                <w:iCs w:val="0"/>
                <w:color w:val="auto"/>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97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实施进度</w:t>
            </w:r>
          </w:p>
        </w:tc>
      </w:tr>
      <w:tr w14:paraId="2EBA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7F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大学生就业创业补贴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21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2022年12月完成</w:t>
            </w:r>
          </w:p>
        </w:tc>
      </w:tr>
      <w:tr w14:paraId="3054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68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人才优选补贴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D9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2022年12月完成</w:t>
            </w:r>
          </w:p>
        </w:tc>
      </w:tr>
      <w:tr w14:paraId="2061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34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购房补助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A6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2022年9月完成</w:t>
            </w:r>
          </w:p>
        </w:tc>
      </w:tr>
      <w:tr w14:paraId="25C9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E5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C9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2022年10月、12月开展2次</w:t>
            </w:r>
          </w:p>
        </w:tc>
      </w:tr>
      <w:tr w14:paraId="2A64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A62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企业急需紧缺人才津贴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95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2022年4月完成</w:t>
            </w:r>
          </w:p>
        </w:tc>
      </w:tr>
      <w:tr w14:paraId="6989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64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38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2022年7月完成</w:t>
            </w:r>
          </w:p>
        </w:tc>
      </w:tr>
      <w:tr w14:paraId="28B8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EF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小微企业招用高校毕业生一次性吸纳就业补贴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C8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2022年12月完成</w:t>
            </w:r>
          </w:p>
        </w:tc>
      </w:tr>
      <w:tr w14:paraId="4F3E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B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小微企业招用高校毕业生社保补贴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873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2022年9月完成</w:t>
            </w:r>
          </w:p>
        </w:tc>
      </w:tr>
      <w:tr w14:paraId="2507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86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83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2022年10月完成</w:t>
            </w:r>
          </w:p>
        </w:tc>
      </w:tr>
      <w:tr w14:paraId="002A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E3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一次性创业岗位开发补贴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F7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2022年8月完成</w:t>
            </w:r>
          </w:p>
        </w:tc>
      </w:tr>
      <w:tr w14:paraId="0D9A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82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流动人员人事档案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EA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2022年5月完成</w:t>
            </w:r>
          </w:p>
        </w:tc>
      </w:tr>
      <w:tr w14:paraId="5990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8D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省级博士后创新实践基地平台补贴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9C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2022年10月完成</w:t>
            </w:r>
          </w:p>
        </w:tc>
      </w:tr>
      <w:tr w14:paraId="3006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FDF8E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职称评审费用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74EF4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2022年10月完成</w:t>
            </w:r>
          </w:p>
        </w:tc>
      </w:tr>
      <w:tr w14:paraId="6E57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5FD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创新创业人才招引工作经费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21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疫情原因未开展</w:t>
            </w:r>
          </w:p>
        </w:tc>
      </w:tr>
    </w:tbl>
    <w:p w14:paraId="2D422DAA">
      <w:pPr>
        <w:pStyle w:val="4"/>
        <w:bidi w:val="0"/>
      </w:pPr>
      <w:bookmarkStart w:id="191" w:name="_Toc2141"/>
      <w:bookmarkStart w:id="192" w:name="_Toc8764"/>
      <w:bookmarkStart w:id="193" w:name="_Toc24006"/>
      <w:r>
        <w:rPr>
          <w:rFonts w:hint="eastAsia"/>
        </w:rPr>
        <w:t>（三）项目预算</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4ECEC64">
      <w:pPr>
        <w:pStyle w:val="5"/>
        <w:bidi w:val="0"/>
        <w:rPr>
          <w:lang w:val="en-US"/>
        </w:rPr>
      </w:pPr>
      <w:bookmarkStart w:id="194" w:name="_Toc28660"/>
      <w:r>
        <w:rPr>
          <w:rFonts w:hint="eastAsia"/>
          <w:lang w:val="en-US"/>
        </w:rPr>
        <w:t>1.预算分配的依据及因素</w:t>
      </w:r>
      <w:bookmarkEnd w:id="194"/>
    </w:p>
    <w:p w14:paraId="3B46E4D9">
      <w:pPr>
        <w:keepNext w:val="0"/>
        <w:keepLines w:val="0"/>
        <w:pageBreakBefore w:val="0"/>
        <w:widowControl w:val="0"/>
        <w:kinsoku/>
        <w:wordWrap/>
        <w:overflowPunct/>
        <w:topLinePunct w:val="0"/>
        <w:autoSpaceDE w:val="0"/>
        <w:autoSpaceDN w:val="0"/>
        <w:bidi w:val="0"/>
        <w:adjustRightInd/>
        <w:snapToGrid/>
        <w:spacing w:line="600" w:lineRule="exact"/>
        <w:ind w:firstLine="641"/>
        <w:textAlignment w:val="auto"/>
        <w:rPr>
          <w:rFonts w:eastAsia="仿宋_GB2312"/>
          <w:sz w:val="32"/>
          <w:szCs w:val="32"/>
          <w:highlight w:val="none"/>
        </w:rPr>
      </w:pPr>
      <w:r>
        <w:rPr>
          <w:rFonts w:hint="eastAsia" w:eastAsia="仿宋_GB2312"/>
          <w:sz w:val="32"/>
          <w:szCs w:val="32"/>
          <w:highlight w:val="none"/>
        </w:rPr>
        <w:t>（1）《中华人民共和国预算法》</w:t>
      </w:r>
    </w:p>
    <w:p w14:paraId="7209A343">
      <w:pPr>
        <w:keepNext w:val="0"/>
        <w:keepLines w:val="0"/>
        <w:pageBreakBefore w:val="0"/>
        <w:widowControl w:val="0"/>
        <w:kinsoku/>
        <w:wordWrap/>
        <w:overflowPunct/>
        <w:topLinePunct w:val="0"/>
        <w:autoSpaceDE w:val="0"/>
        <w:autoSpaceDN w:val="0"/>
        <w:bidi w:val="0"/>
        <w:adjustRightInd/>
        <w:snapToGrid/>
        <w:spacing w:line="600" w:lineRule="exact"/>
        <w:ind w:firstLine="641"/>
        <w:textAlignment w:val="auto"/>
        <w:rPr>
          <w:highlight w:val="none"/>
        </w:rPr>
      </w:pPr>
      <w:r>
        <w:rPr>
          <w:rFonts w:hint="eastAsia" w:eastAsia="仿宋_GB2312"/>
          <w:sz w:val="32"/>
          <w:szCs w:val="32"/>
          <w:highlight w:val="none"/>
        </w:rPr>
        <w:t>（2）《中华人民共和国预算法实施条例》</w:t>
      </w:r>
    </w:p>
    <w:p w14:paraId="3479B09F">
      <w:pPr>
        <w:keepNext w:val="0"/>
        <w:keepLines w:val="0"/>
        <w:pageBreakBefore w:val="0"/>
        <w:widowControl w:val="0"/>
        <w:kinsoku/>
        <w:wordWrap/>
        <w:overflowPunct/>
        <w:topLinePunct w:val="0"/>
        <w:autoSpaceDE w:val="0"/>
        <w:autoSpaceDN w:val="0"/>
        <w:bidi w:val="0"/>
        <w:adjustRightInd/>
        <w:snapToGrid/>
        <w:spacing w:line="600" w:lineRule="exact"/>
        <w:ind w:firstLine="641"/>
        <w:jc w:val="both"/>
        <w:textAlignment w:val="auto"/>
        <w:rPr>
          <w:rFonts w:hint="eastAsia" w:hAnsiTheme="minorEastAsia"/>
          <w:sz w:val="32"/>
          <w:szCs w:val="32"/>
          <w:highlight w:val="none"/>
        </w:rPr>
      </w:pPr>
      <w:r>
        <w:rPr>
          <w:rFonts w:hint="eastAsia" w:hAnsiTheme="minorEastAsia"/>
          <w:sz w:val="32"/>
          <w:szCs w:val="32"/>
          <w:highlight w:val="none"/>
          <w:lang w:eastAsia="zh-CN"/>
        </w:rPr>
        <w:t>枣庄市</w:t>
      </w:r>
      <w:r>
        <w:rPr>
          <w:rFonts w:hint="eastAsia" w:hAnsiTheme="minorEastAsia"/>
          <w:sz w:val="32"/>
          <w:szCs w:val="32"/>
          <w:highlight w:val="none"/>
          <w:lang w:val="en-US" w:eastAsia="zh-CN"/>
        </w:rPr>
        <w:t>高新区社会事务综合服务中心</w:t>
      </w:r>
      <w:r>
        <w:rPr>
          <w:rFonts w:hint="eastAsia" w:hAnsiTheme="minorEastAsia"/>
          <w:sz w:val="32"/>
          <w:szCs w:val="32"/>
          <w:highlight w:val="none"/>
        </w:rPr>
        <w:t>根据实际工作情况</w:t>
      </w:r>
      <w:r>
        <w:rPr>
          <w:rFonts w:hint="eastAsia" w:hAnsiTheme="minorEastAsia"/>
          <w:sz w:val="32"/>
          <w:szCs w:val="32"/>
          <w:highlight w:val="none"/>
          <w:lang w:eastAsia="zh-CN"/>
        </w:rPr>
        <w:t>、</w:t>
      </w:r>
      <w:r>
        <w:rPr>
          <w:rFonts w:hint="eastAsia" w:hAnsiTheme="minorEastAsia"/>
          <w:sz w:val="32"/>
          <w:szCs w:val="32"/>
          <w:highlight w:val="none"/>
        </w:rPr>
        <w:t>项目进展进行</w:t>
      </w:r>
      <w:r>
        <w:rPr>
          <w:rFonts w:hint="eastAsia" w:hAnsiTheme="minorEastAsia"/>
          <w:sz w:val="32"/>
          <w:szCs w:val="32"/>
          <w:highlight w:val="none"/>
          <w:lang w:val="en-US" w:eastAsia="zh-CN"/>
        </w:rPr>
        <w:t>资金</w:t>
      </w:r>
      <w:r>
        <w:rPr>
          <w:rFonts w:hint="eastAsia" w:hAnsiTheme="minorEastAsia"/>
          <w:sz w:val="32"/>
          <w:szCs w:val="32"/>
          <w:highlight w:val="none"/>
        </w:rPr>
        <w:t>分配。</w:t>
      </w:r>
    </w:p>
    <w:p w14:paraId="09833F94">
      <w:pPr>
        <w:pStyle w:val="5"/>
        <w:bidi w:val="0"/>
        <w:rPr>
          <w:rFonts w:hint="eastAsia"/>
          <w:lang w:val="en-US"/>
        </w:rPr>
      </w:pPr>
      <w:bookmarkStart w:id="195" w:name="_Toc10036"/>
      <w:r>
        <w:rPr>
          <w:rFonts w:hint="eastAsia"/>
          <w:lang w:val="en-US" w:eastAsia="zh-CN"/>
        </w:rPr>
        <w:t>2.</w:t>
      </w:r>
      <w:r>
        <w:rPr>
          <w:rFonts w:hint="eastAsia"/>
          <w:lang w:val="en-US"/>
        </w:rPr>
        <w:t>项目投资情况</w:t>
      </w:r>
      <w:bookmarkEnd w:id="195"/>
    </w:p>
    <w:p w14:paraId="6B72752C">
      <w:pPr>
        <w:pStyle w:val="5"/>
        <w:bidi w:val="0"/>
        <w:rPr>
          <w:rFonts w:hint="default" w:eastAsia="仿宋_GB2312"/>
          <w:lang w:val="en-US" w:eastAsia="zh-CN"/>
        </w:rPr>
      </w:pPr>
      <w:r>
        <w:rPr>
          <w:rFonts w:hint="eastAsia"/>
          <w:lang w:val="en-US" w:eastAsia="zh-CN"/>
        </w:rPr>
        <w:t>本项目2022年年初预算800万元，调整后预算808.51万元，部门未明确每个子项目的资金额。</w:t>
      </w:r>
    </w:p>
    <w:p w14:paraId="5AC5EFD5">
      <w:pPr>
        <w:rPr>
          <w:rFonts w:hint="eastAsia"/>
          <w:lang w:val="en-US" w:eastAsia="zh-CN"/>
        </w:rPr>
      </w:pPr>
      <w:bookmarkStart w:id="196" w:name="_Toc14349"/>
      <w:r>
        <w:rPr>
          <w:rFonts w:hint="eastAsia"/>
          <w:lang w:val="en-US" w:eastAsia="zh-CN"/>
        </w:rPr>
        <w:t>3.</w:t>
      </w:r>
      <w:r>
        <w:rPr>
          <w:rFonts w:hint="eastAsia"/>
          <w:lang w:val="en-US"/>
        </w:rPr>
        <w:t>预算变更情况及变更原因</w:t>
      </w:r>
      <w:bookmarkEnd w:id="196"/>
    </w:p>
    <w:p w14:paraId="649FBFB3">
      <w:pPr>
        <w:pStyle w:val="9"/>
        <w:numPr>
          <w:ilvl w:val="0"/>
          <w:numId w:val="0"/>
        </w:numPr>
        <w:overflowPunct w:val="0"/>
        <w:spacing w:line="600" w:lineRule="exact"/>
        <w:ind w:firstLine="640" w:firstLineChars="200"/>
        <w:jc w:val="both"/>
        <w:outlineLvl w:val="2"/>
        <w:rPr>
          <w:rFonts w:hint="default" w:eastAsia="仿宋_GB2312"/>
          <w:highlight w:val="none"/>
          <w:lang w:val="en-US" w:eastAsia="zh-CN"/>
        </w:rPr>
      </w:pPr>
      <w:r>
        <w:rPr>
          <w:rFonts w:hint="eastAsia"/>
          <w:highlight w:val="none"/>
          <w:lang w:val="en-US" w:eastAsia="zh-CN"/>
        </w:rPr>
        <w:t>人力资源经费包括多个子项目，部门在编制预算时并未将子项目预算金额单独列示。在实际执行时，部门根据各个子项目实际支出向财政金融局提出申请，财政金融局根据部门的申请拨付资金，造成实际支出金额与预算金额有差异。</w:t>
      </w:r>
    </w:p>
    <w:p w14:paraId="0BEC3438">
      <w:pPr>
        <w:pStyle w:val="8"/>
        <w:bidi w:val="0"/>
        <w:rPr>
          <w:lang w:val="en-US"/>
        </w:rPr>
      </w:pPr>
      <w:r>
        <w:rPr>
          <w:rFonts w:hint="eastAsia"/>
          <w:lang w:val="en-US"/>
        </w:rPr>
        <w:t>4.资金来源</w:t>
      </w:r>
    </w:p>
    <w:p w14:paraId="5E5C4700">
      <w:pPr>
        <w:keepNext w:val="0"/>
        <w:keepLines w:val="0"/>
        <w:pageBreakBefore w:val="0"/>
        <w:widowControl w:val="0"/>
        <w:kinsoku/>
        <w:wordWrap/>
        <w:overflowPunct/>
        <w:topLinePunct w:val="0"/>
        <w:autoSpaceDE w:val="0"/>
        <w:autoSpaceDN w:val="0"/>
        <w:bidi w:val="0"/>
        <w:adjustRightInd/>
        <w:snapToGrid/>
        <w:jc w:val="both"/>
        <w:textAlignment w:val="auto"/>
        <w:rPr>
          <w:rFonts w:hint="default"/>
          <w:lang w:val="en-US" w:eastAsia="zh-CN"/>
        </w:rPr>
      </w:pPr>
      <w:bookmarkStart w:id="197" w:name="_Toc22526"/>
      <w:bookmarkStart w:id="198" w:name="_Toc14303"/>
      <w:bookmarkStart w:id="199" w:name="_Toc14501"/>
      <w:bookmarkStart w:id="200" w:name="_Toc3936"/>
      <w:r>
        <w:rPr>
          <w:rFonts w:hint="eastAsia"/>
          <w:lang w:eastAsia="zh-CN"/>
        </w:rPr>
        <w:t>本项目</w:t>
      </w:r>
      <w:r>
        <w:rPr>
          <w:rFonts w:hint="eastAsia"/>
          <w:lang w:val="en-US" w:eastAsia="zh-CN"/>
        </w:rPr>
        <w:t>2022年</w:t>
      </w:r>
      <w:r>
        <w:rPr>
          <w:rFonts w:hint="eastAsia"/>
          <w:lang w:eastAsia="zh-CN"/>
        </w:rPr>
        <w:t>预算资金</w:t>
      </w:r>
      <w:r>
        <w:rPr>
          <w:rFonts w:hint="eastAsia"/>
          <w:lang w:val="en-US" w:eastAsia="zh-CN"/>
        </w:rPr>
        <w:t>800</w:t>
      </w:r>
      <w:r>
        <w:rPr>
          <w:rFonts w:hint="eastAsia"/>
          <w:lang w:eastAsia="zh-CN"/>
        </w:rPr>
        <w:t>万元，</w:t>
      </w:r>
      <w:r>
        <w:rPr>
          <w:rFonts w:hint="eastAsia"/>
          <w:lang w:val="en-US" w:eastAsia="zh-CN"/>
        </w:rPr>
        <w:t>调整预算808.51万元，实际支出808.51万元</w:t>
      </w:r>
      <w:r>
        <w:rPr>
          <w:rFonts w:hint="eastAsia"/>
          <w:lang w:eastAsia="zh-CN"/>
        </w:rPr>
        <w:t>全部为枣庄市</w:t>
      </w:r>
      <w:r>
        <w:rPr>
          <w:rFonts w:hint="eastAsia"/>
          <w:lang w:val="en-US" w:eastAsia="zh-CN"/>
        </w:rPr>
        <w:t>高新区</w:t>
      </w:r>
      <w:r>
        <w:rPr>
          <w:rFonts w:hint="eastAsia"/>
          <w:lang w:eastAsia="zh-CN"/>
        </w:rPr>
        <w:t>财政拨款补助资金</w:t>
      </w:r>
      <w:bookmarkEnd w:id="197"/>
      <w:bookmarkEnd w:id="198"/>
      <w:bookmarkEnd w:id="199"/>
      <w:bookmarkEnd w:id="200"/>
      <w:r>
        <w:rPr>
          <w:rFonts w:hint="eastAsia"/>
          <w:lang w:eastAsia="zh-CN"/>
        </w:rPr>
        <w:t>。</w:t>
      </w:r>
    </w:p>
    <w:p w14:paraId="5A0A0F5D">
      <w:pPr>
        <w:pStyle w:val="4"/>
        <w:bidi w:val="0"/>
      </w:pPr>
      <w:bookmarkStart w:id="201" w:name="_Toc26334"/>
      <w:bookmarkStart w:id="202" w:name="_Toc16020"/>
      <w:bookmarkStart w:id="203" w:name="_Toc9887"/>
      <w:bookmarkStart w:id="204" w:name="_Toc8596"/>
      <w:bookmarkStart w:id="205" w:name="_Toc31536"/>
      <w:bookmarkStart w:id="206" w:name="_Toc22969"/>
      <w:bookmarkStart w:id="207" w:name="_Toc12730"/>
      <w:bookmarkStart w:id="208" w:name="_Toc8072"/>
      <w:bookmarkStart w:id="209" w:name="_Toc23771"/>
      <w:bookmarkStart w:id="210" w:name="_Toc21949"/>
      <w:bookmarkStart w:id="211" w:name="_Toc26863"/>
      <w:bookmarkStart w:id="212" w:name="_Toc31169"/>
      <w:bookmarkStart w:id="213" w:name="_Toc1359"/>
      <w:bookmarkStart w:id="214" w:name="_Toc11769"/>
      <w:bookmarkStart w:id="215" w:name="_Toc21625"/>
      <w:r>
        <w:rPr>
          <w:rFonts w:hint="eastAsia"/>
        </w:rPr>
        <w:t>（四）项目组织管理</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C320101">
      <w:pPr>
        <w:pStyle w:val="5"/>
        <w:pageBreakBefore w:val="0"/>
        <w:widowControl w:val="0"/>
        <w:numPr>
          <w:ilvl w:val="0"/>
          <w:numId w:val="0"/>
        </w:numPr>
        <w:kinsoku/>
        <w:wordWrap/>
        <w:overflowPunct/>
        <w:topLinePunct w:val="0"/>
        <w:bidi w:val="0"/>
        <w:adjustRightInd/>
        <w:snapToGrid/>
        <w:spacing w:line="580" w:lineRule="exact"/>
        <w:ind w:firstLine="640" w:firstLineChars="200"/>
        <w:jc w:val="both"/>
        <w:textAlignment w:val="auto"/>
      </w:pPr>
      <w:bookmarkStart w:id="216" w:name="_Toc24565"/>
      <w:bookmarkStart w:id="217" w:name="_Toc25333"/>
      <w:r>
        <w:rPr>
          <w:rFonts w:hint="eastAsia"/>
          <w:lang w:val="en-US" w:eastAsia="zh-CN"/>
        </w:rPr>
        <w:t>1.</w:t>
      </w:r>
      <w:r>
        <w:rPr>
          <w:rFonts w:hint="eastAsia"/>
          <w:lang w:eastAsia="zh-CN"/>
        </w:rPr>
        <w:t>本项目涉及的部门和单位及</w:t>
      </w:r>
      <w:r>
        <w:t>各自</w:t>
      </w:r>
      <w:r>
        <w:rPr>
          <w:rFonts w:hint="eastAsia"/>
          <w:lang w:eastAsia="zh-CN"/>
        </w:rPr>
        <w:t>的</w:t>
      </w:r>
      <w:r>
        <w:t>职责</w:t>
      </w:r>
      <w:bookmarkEnd w:id="216"/>
      <w:bookmarkEnd w:id="217"/>
    </w:p>
    <w:p w14:paraId="4CF9499D">
      <w:pPr>
        <w:pStyle w:val="21"/>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hAnsiTheme="minorEastAsia"/>
          <w:sz w:val="32"/>
          <w:szCs w:val="32"/>
          <w:lang w:eastAsia="zh-CN"/>
        </w:rPr>
      </w:pPr>
      <w:r>
        <w:rPr>
          <w:rFonts w:hint="eastAsia" w:hAnsiTheme="minorEastAsia"/>
          <w:sz w:val="32"/>
          <w:szCs w:val="32"/>
          <w:lang w:eastAsia="zh-CN"/>
        </w:rPr>
        <w:t>枣庄市财政金融局负责项目资金的审核拨付,项目资金使用监管。</w:t>
      </w:r>
    </w:p>
    <w:p w14:paraId="40B2BDB6">
      <w:pPr>
        <w:pStyle w:val="21"/>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lang w:val="en-US"/>
        </w:rPr>
      </w:pPr>
      <w:r>
        <w:rPr>
          <w:rFonts w:hint="eastAsia" w:hAnsiTheme="minorEastAsia"/>
          <w:sz w:val="32"/>
          <w:szCs w:val="32"/>
          <w:lang w:eastAsia="zh-CN"/>
        </w:rPr>
        <w:t>枣庄市</w:t>
      </w:r>
      <w:r>
        <w:rPr>
          <w:rFonts w:hint="eastAsia" w:hAnsiTheme="minorEastAsia"/>
          <w:sz w:val="32"/>
          <w:szCs w:val="32"/>
          <w:lang w:val="en-US" w:eastAsia="zh-CN"/>
        </w:rPr>
        <w:t>高新区社会事务综合服务中心</w:t>
      </w:r>
      <w:r>
        <w:rPr>
          <w:rFonts w:hint="eastAsia" w:hAnsiTheme="minorEastAsia"/>
          <w:sz w:val="32"/>
          <w:szCs w:val="32"/>
          <w:lang w:eastAsia="zh-CN"/>
        </w:rPr>
        <w:t>是项目主管单位,负责项目预算资金的申请、拨付,</w:t>
      </w:r>
      <w:r>
        <w:rPr>
          <w:rFonts w:hint="eastAsia" w:hAnsiTheme="minorEastAsia"/>
          <w:sz w:val="32"/>
          <w:szCs w:val="32"/>
          <w:lang w:val="en-US" w:eastAsia="zh-CN"/>
        </w:rPr>
        <w:t>以及项目具体实施。</w:t>
      </w:r>
      <w:bookmarkStart w:id="218" w:name="_Toc22214"/>
    </w:p>
    <w:p w14:paraId="351C4EB4">
      <w:pPr>
        <w:pStyle w:val="5"/>
        <w:bidi w:val="0"/>
        <w:rPr>
          <w:rFonts w:hint="eastAsia"/>
          <w:sz w:val="32"/>
          <w:szCs w:val="32"/>
          <w:highlight w:val="none"/>
          <w:lang w:val="en-US"/>
        </w:rPr>
      </w:pPr>
      <w:r>
        <w:rPr>
          <w:rFonts w:hint="eastAsia"/>
          <w:lang w:val="en-US"/>
        </w:rPr>
        <w:t>2.</w:t>
      </w:r>
      <w:r>
        <w:rPr>
          <w:rFonts w:hint="eastAsia"/>
        </w:rPr>
        <w:t>项目组织管理架构图</w:t>
      </w:r>
      <w:bookmarkEnd w:id="218"/>
    </w:p>
    <w:p w14:paraId="22459DFF">
      <w:pPr>
        <w:ind w:firstLine="560"/>
        <w:jc w:val="both"/>
        <w:rPr>
          <w:rFonts w:hint="eastAsia"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drawing>
          <wp:anchor distT="0" distB="0" distL="114300" distR="114300" simplePos="0" relativeHeight="251661312" behindDoc="1" locked="0" layoutInCell="1" allowOverlap="1">
            <wp:simplePos x="0" y="0"/>
            <wp:positionH relativeFrom="column">
              <wp:posOffset>956945</wp:posOffset>
            </wp:positionH>
            <wp:positionV relativeFrom="paragraph">
              <wp:posOffset>42545</wp:posOffset>
            </wp:positionV>
            <wp:extent cx="3619500" cy="2257425"/>
            <wp:effectExtent l="0" t="0" r="0" b="9525"/>
            <wp:wrapNone/>
            <wp:docPr id="4" name="图片 4" descr="未命名文件(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7)"/>
                    <pic:cNvPicPr>
                      <a:picLocks noChangeAspect="1"/>
                    </pic:cNvPicPr>
                  </pic:nvPicPr>
                  <pic:blipFill>
                    <a:blip r:embed="rId14"/>
                    <a:stretch>
                      <a:fillRect/>
                    </a:stretch>
                  </pic:blipFill>
                  <pic:spPr>
                    <a:xfrm>
                      <a:off x="0" y="0"/>
                      <a:ext cx="3619500" cy="2257425"/>
                    </a:xfrm>
                    <a:prstGeom prst="rect">
                      <a:avLst/>
                    </a:prstGeom>
                  </pic:spPr>
                </pic:pic>
              </a:graphicData>
            </a:graphic>
          </wp:anchor>
        </w:drawing>
      </w:r>
    </w:p>
    <w:p w14:paraId="4D931494">
      <w:pPr>
        <w:pStyle w:val="21"/>
        <w:rPr>
          <w:rFonts w:hint="eastAsia" w:ascii="黑体" w:hAnsi="黑体" w:eastAsia="黑体" w:cs="黑体"/>
          <w:sz w:val="18"/>
          <w:szCs w:val="18"/>
          <w:highlight w:val="none"/>
          <w:lang w:val="en-US" w:eastAsia="zh-CN"/>
        </w:rPr>
      </w:pPr>
    </w:p>
    <w:p w14:paraId="12C29FEB">
      <w:pPr>
        <w:pStyle w:val="20"/>
        <w:rPr>
          <w:rFonts w:hint="eastAsia" w:ascii="黑体" w:hAnsi="黑体" w:eastAsia="黑体" w:cs="黑体"/>
          <w:sz w:val="18"/>
          <w:szCs w:val="18"/>
          <w:highlight w:val="none"/>
          <w:lang w:val="en-US" w:eastAsia="zh-CN"/>
        </w:rPr>
      </w:pPr>
    </w:p>
    <w:p w14:paraId="30E80A60">
      <w:pPr>
        <w:pStyle w:val="21"/>
        <w:rPr>
          <w:rFonts w:hint="eastAsia" w:ascii="黑体" w:hAnsi="黑体" w:eastAsia="黑体" w:cs="黑体"/>
          <w:sz w:val="18"/>
          <w:szCs w:val="18"/>
          <w:highlight w:val="none"/>
          <w:lang w:val="en-US" w:eastAsia="zh-CN"/>
        </w:rPr>
      </w:pPr>
    </w:p>
    <w:p w14:paraId="0972B794">
      <w:pPr>
        <w:pStyle w:val="20"/>
        <w:rPr>
          <w:rFonts w:hint="eastAsia" w:ascii="黑体" w:hAnsi="黑体" w:eastAsia="黑体" w:cs="黑体"/>
          <w:sz w:val="18"/>
          <w:szCs w:val="18"/>
          <w:highlight w:val="none"/>
          <w:lang w:val="en-US" w:eastAsia="zh-CN"/>
        </w:rPr>
      </w:pPr>
    </w:p>
    <w:p w14:paraId="278CF241">
      <w:pPr>
        <w:pStyle w:val="21"/>
        <w:rPr>
          <w:rFonts w:hint="eastAsia" w:ascii="黑体" w:hAnsi="黑体" w:eastAsia="黑体" w:cs="黑体"/>
          <w:sz w:val="18"/>
          <w:szCs w:val="18"/>
          <w:highlight w:val="none"/>
          <w:lang w:val="en-US" w:eastAsia="zh-CN"/>
        </w:rPr>
      </w:pPr>
    </w:p>
    <w:p w14:paraId="53535CC8">
      <w:pPr>
        <w:tabs>
          <w:tab w:val="left" w:pos="3063"/>
        </w:tabs>
        <w:bidi w:val="0"/>
        <w:ind w:left="0" w:lef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图1-1  项目组织管理架构图</w:t>
      </w:r>
      <w:bookmarkStart w:id="219" w:name="_Toc17393"/>
    </w:p>
    <w:p w14:paraId="4A4AB56F">
      <w:pPr>
        <w:pStyle w:val="5"/>
        <w:bidi w:val="0"/>
      </w:pPr>
      <w:r>
        <w:rPr>
          <w:rFonts w:hint="eastAsia"/>
          <w:lang w:val="en-US"/>
        </w:rPr>
        <w:t>3.</w:t>
      </w:r>
      <w:r>
        <w:rPr>
          <w:rFonts w:hint="eastAsia"/>
        </w:rPr>
        <w:t>项目具体实施流程</w:t>
      </w:r>
      <w:bookmarkEnd w:id="219"/>
    </w:p>
    <w:p w14:paraId="5DA8C674">
      <w:pPr>
        <w:pStyle w:val="9"/>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highlight w:val="none"/>
        </w:rPr>
      </w:pPr>
      <w:r>
        <w:rPr>
          <w:rFonts w:hint="eastAsia"/>
          <w:highlight w:val="none"/>
        </w:rPr>
        <w:t>本项目具体实施</w:t>
      </w:r>
      <w:r>
        <w:rPr>
          <w:rFonts w:hint="eastAsia"/>
          <w:highlight w:val="none"/>
          <w:lang w:val="en-US" w:eastAsia="zh-CN"/>
        </w:rPr>
        <w:t>流程如下</w:t>
      </w:r>
      <w:r>
        <w:rPr>
          <w:rFonts w:hint="eastAsia"/>
          <w:highlight w:val="none"/>
        </w:rPr>
        <w:t>：</w:t>
      </w:r>
    </w:p>
    <w:p w14:paraId="23351A4D">
      <w:pPr>
        <w:pStyle w:val="6"/>
        <w:rPr>
          <w:rFonts w:hint="eastAsia"/>
        </w:rPr>
      </w:pPr>
      <w:r>
        <w:rPr>
          <w:rFonts w:hint="eastAsia"/>
        </w:rPr>
        <w:drawing>
          <wp:anchor distT="0" distB="0" distL="114300" distR="114300" simplePos="0" relativeHeight="251661312" behindDoc="1" locked="0" layoutInCell="1" allowOverlap="1">
            <wp:simplePos x="0" y="0"/>
            <wp:positionH relativeFrom="column">
              <wp:posOffset>812165</wp:posOffset>
            </wp:positionH>
            <wp:positionV relativeFrom="paragraph">
              <wp:posOffset>177800</wp:posOffset>
            </wp:positionV>
            <wp:extent cx="3942715" cy="3886835"/>
            <wp:effectExtent l="0" t="0" r="635" b="18415"/>
            <wp:wrapNone/>
            <wp:docPr id="6" name="图片 1" descr="一次性创业岗位开发补贴申领经办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一次性创业岗位开发补贴申领经办流程"/>
                    <pic:cNvPicPr>
                      <a:picLocks noChangeAspect="1"/>
                    </pic:cNvPicPr>
                  </pic:nvPicPr>
                  <pic:blipFill>
                    <a:blip r:embed="rId15"/>
                    <a:stretch>
                      <a:fillRect/>
                    </a:stretch>
                  </pic:blipFill>
                  <pic:spPr>
                    <a:xfrm>
                      <a:off x="0" y="0"/>
                      <a:ext cx="3942715" cy="3886835"/>
                    </a:xfrm>
                    <a:prstGeom prst="rect">
                      <a:avLst/>
                    </a:prstGeom>
                    <a:noFill/>
                    <a:ln>
                      <a:noFill/>
                    </a:ln>
                  </pic:spPr>
                </pic:pic>
              </a:graphicData>
            </a:graphic>
          </wp:anchor>
        </w:drawing>
      </w:r>
    </w:p>
    <w:p w14:paraId="7E6DA33D">
      <w:pPr>
        <w:bidi w:val="0"/>
        <w:rPr>
          <w:rFonts w:hint="eastAsia"/>
          <w:lang w:eastAsia="zh-CN"/>
        </w:rPr>
      </w:pPr>
    </w:p>
    <w:p w14:paraId="2C6CC3A0">
      <w:pPr>
        <w:bidi w:val="0"/>
        <w:rPr>
          <w:rFonts w:hint="eastAsia"/>
          <w:lang w:eastAsia="zh-CN"/>
        </w:rPr>
      </w:pPr>
    </w:p>
    <w:p w14:paraId="7D2185A6">
      <w:pPr>
        <w:bidi w:val="0"/>
        <w:rPr>
          <w:rFonts w:hint="eastAsia"/>
          <w:lang w:eastAsia="zh-CN"/>
        </w:rPr>
      </w:pPr>
    </w:p>
    <w:p w14:paraId="438DBAD3">
      <w:pPr>
        <w:bidi w:val="0"/>
        <w:rPr>
          <w:rFonts w:hint="eastAsia"/>
          <w:lang w:eastAsia="zh-CN"/>
        </w:rPr>
      </w:pPr>
    </w:p>
    <w:p w14:paraId="315D2D96">
      <w:pPr>
        <w:bidi w:val="0"/>
        <w:rPr>
          <w:rFonts w:hint="eastAsia"/>
          <w:lang w:eastAsia="zh-CN"/>
        </w:rPr>
      </w:pPr>
    </w:p>
    <w:p w14:paraId="48FF9F9F">
      <w:pPr>
        <w:bidi w:val="0"/>
        <w:rPr>
          <w:rFonts w:hint="eastAsia"/>
          <w:lang w:eastAsia="zh-CN"/>
        </w:rPr>
      </w:pPr>
    </w:p>
    <w:p w14:paraId="05D65124">
      <w:pPr>
        <w:bidi w:val="0"/>
        <w:rPr>
          <w:rFonts w:hint="eastAsia"/>
          <w:lang w:eastAsia="zh-CN"/>
        </w:rPr>
      </w:pPr>
    </w:p>
    <w:p w14:paraId="4437B1A5">
      <w:pPr>
        <w:bidi w:val="0"/>
        <w:rPr>
          <w:rFonts w:hint="eastAsia"/>
          <w:lang w:eastAsia="zh-CN"/>
        </w:rPr>
      </w:pPr>
    </w:p>
    <w:p w14:paraId="48A25ECE">
      <w:pPr>
        <w:bidi w:val="0"/>
        <w:rPr>
          <w:rFonts w:hint="eastAsia"/>
          <w:lang w:eastAsia="zh-CN"/>
        </w:rPr>
      </w:pPr>
    </w:p>
    <w:p w14:paraId="7D545A51">
      <w:pPr>
        <w:bidi w:val="0"/>
        <w:rPr>
          <w:rFonts w:hint="eastAsia"/>
          <w:lang w:eastAsia="zh-CN"/>
        </w:rPr>
      </w:pPr>
    </w:p>
    <w:p w14:paraId="1270DB34">
      <w:pPr>
        <w:tabs>
          <w:tab w:val="left" w:pos="3063"/>
        </w:tabs>
        <w:bidi w:val="0"/>
        <w:ind w:left="0" w:leftChars="0" w:firstLine="0" w:firstLineChars="0"/>
        <w:jc w:val="center"/>
        <w:rPr>
          <w:rFonts w:hint="eastAsia"/>
          <w:lang w:val="en-US"/>
        </w:rPr>
      </w:pPr>
      <w:r>
        <w:rPr>
          <w:rFonts w:hint="eastAsia" w:ascii="黑体" w:hAnsi="黑体" w:eastAsia="黑体" w:cs="黑体"/>
          <w:sz w:val="24"/>
          <w:szCs w:val="24"/>
          <w:lang w:val="en-US" w:eastAsia="zh-CN"/>
        </w:rPr>
        <w:t>图1-2  项目实施流程（以一次性创业岗位开发补贴为例）</w:t>
      </w:r>
      <w:bookmarkStart w:id="220" w:name="_Toc32005"/>
    </w:p>
    <w:p w14:paraId="7153EA80">
      <w:pPr>
        <w:pStyle w:val="5"/>
        <w:numPr>
          <w:ilvl w:val="0"/>
          <w:numId w:val="1"/>
        </w:numPr>
        <w:bidi w:val="0"/>
        <w:rPr>
          <w:rFonts w:hint="eastAsia"/>
          <w:lang w:val="en-US"/>
        </w:rPr>
      </w:pPr>
      <w:r>
        <w:rPr>
          <w:rFonts w:hint="eastAsia"/>
          <w:lang w:val="en-US"/>
        </w:rPr>
        <w:t>资金拨付流程</w:t>
      </w:r>
      <w:bookmarkEnd w:id="220"/>
    </w:p>
    <w:p w14:paraId="2D06E03E">
      <w:pPr>
        <w:widowControl w:val="0"/>
        <w:numPr>
          <w:ilvl w:val="0"/>
          <w:numId w:val="0"/>
        </w:numPr>
        <w:autoSpaceDE w:val="0"/>
        <w:autoSpaceDN w:val="0"/>
        <w:spacing w:line="580" w:lineRule="exact"/>
        <w:jc w:val="both"/>
        <w:rPr>
          <w:rFonts w:hint="eastAsia"/>
        </w:rPr>
      </w:pPr>
      <w:r>
        <w:rPr>
          <w:rFonts w:hint="eastAsia" w:eastAsia="仿宋_GB2312"/>
          <w:lang w:val="en-US" w:eastAsia="zh-CN"/>
        </w:rPr>
        <w:drawing>
          <wp:anchor distT="0" distB="0" distL="114300" distR="114300" simplePos="0" relativeHeight="251661312" behindDoc="1" locked="0" layoutInCell="1" allowOverlap="1">
            <wp:simplePos x="0" y="0"/>
            <wp:positionH relativeFrom="column">
              <wp:posOffset>628015</wp:posOffset>
            </wp:positionH>
            <wp:positionV relativeFrom="paragraph">
              <wp:posOffset>154305</wp:posOffset>
            </wp:positionV>
            <wp:extent cx="4329430" cy="2428875"/>
            <wp:effectExtent l="0" t="0" r="0" b="0"/>
            <wp:wrapNone/>
            <wp:docPr id="8"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wps"/>
                    <pic:cNvPicPr>
                      <a:picLocks noChangeAspect="1"/>
                    </pic:cNvPicPr>
                  </pic:nvPicPr>
                  <pic:blipFill>
                    <a:blip r:embed="rId16"/>
                    <a:srcRect t="11987" b="7992"/>
                    <a:stretch>
                      <a:fillRect/>
                    </a:stretch>
                  </pic:blipFill>
                  <pic:spPr>
                    <a:xfrm>
                      <a:off x="0" y="0"/>
                      <a:ext cx="4329430" cy="2428875"/>
                    </a:xfrm>
                    <a:prstGeom prst="rect">
                      <a:avLst/>
                    </a:prstGeom>
                  </pic:spPr>
                </pic:pic>
              </a:graphicData>
            </a:graphic>
          </wp:anchor>
        </w:drawing>
      </w:r>
    </w:p>
    <w:p w14:paraId="6017D073">
      <w:pPr>
        <w:widowControl w:val="0"/>
        <w:numPr>
          <w:ilvl w:val="0"/>
          <w:numId w:val="0"/>
        </w:numPr>
        <w:autoSpaceDE w:val="0"/>
        <w:autoSpaceDN w:val="0"/>
        <w:spacing w:line="580" w:lineRule="exact"/>
        <w:jc w:val="both"/>
        <w:rPr>
          <w:rFonts w:hint="eastAsia"/>
        </w:rPr>
      </w:pPr>
    </w:p>
    <w:p w14:paraId="3ABC3E82">
      <w:pPr>
        <w:widowControl w:val="0"/>
        <w:numPr>
          <w:ilvl w:val="0"/>
          <w:numId w:val="0"/>
        </w:numPr>
        <w:autoSpaceDE w:val="0"/>
        <w:autoSpaceDN w:val="0"/>
        <w:spacing w:line="580" w:lineRule="exact"/>
        <w:jc w:val="both"/>
        <w:rPr>
          <w:rFonts w:hint="eastAsia"/>
        </w:rPr>
      </w:pPr>
    </w:p>
    <w:p w14:paraId="742FD21C">
      <w:pPr>
        <w:pStyle w:val="21"/>
        <w:rPr>
          <w:rFonts w:hint="eastAsia"/>
        </w:rPr>
      </w:pPr>
    </w:p>
    <w:p w14:paraId="4641CEF1">
      <w:pPr>
        <w:pStyle w:val="20"/>
        <w:rPr>
          <w:rFonts w:hint="eastAsia"/>
        </w:rPr>
      </w:pPr>
    </w:p>
    <w:p w14:paraId="67B078C2">
      <w:pPr>
        <w:pStyle w:val="20"/>
        <w:ind w:left="0" w:leftChars="0" w:firstLine="0" w:firstLineChars="0"/>
        <w:rPr>
          <w:rFonts w:hint="eastAsia" w:ascii="黑体" w:hAnsi="黑体" w:eastAsia="黑体" w:cs="黑体"/>
          <w:sz w:val="18"/>
          <w:szCs w:val="18"/>
          <w:lang w:eastAsia="zh-CN"/>
        </w:rPr>
      </w:pPr>
    </w:p>
    <w:p w14:paraId="153859CE">
      <w:pPr>
        <w:pStyle w:val="20"/>
        <w:rPr>
          <w:rFonts w:hint="eastAsia" w:ascii="黑体" w:hAnsi="黑体" w:eastAsia="黑体" w:cs="黑体"/>
          <w:sz w:val="18"/>
          <w:szCs w:val="18"/>
          <w:lang w:eastAsia="zh-CN"/>
        </w:rPr>
      </w:pPr>
    </w:p>
    <w:p w14:paraId="545973F0">
      <w:pPr>
        <w:pStyle w:val="20"/>
        <w:ind w:left="0" w:lef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图</w:t>
      </w:r>
      <w:r>
        <w:rPr>
          <w:rFonts w:hint="eastAsia" w:ascii="黑体" w:hAnsi="黑体" w:eastAsia="黑体" w:cs="黑体"/>
          <w:sz w:val="24"/>
          <w:szCs w:val="24"/>
          <w:lang w:val="en-US" w:eastAsia="zh-CN"/>
        </w:rPr>
        <w:t>1-3  资金拨付流程图</w:t>
      </w:r>
    </w:p>
    <w:p w14:paraId="7B610946">
      <w:pPr>
        <w:pStyle w:val="6"/>
        <w:rPr>
          <w:rFonts w:hint="eastAsia"/>
          <w:lang w:val="en-US"/>
        </w:rPr>
      </w:pPr>
    </w:p>
    <w:p w14:paraId="102D3D78">
      <w:pPr>
        <w:pStyle w:val="5"/>
        <w:bidi w:val="0"/>
        <w:rPr>
          <w:rFonts w:hint="eastAsia"/>
          <w:lang w:val="en-US" w:eastAsia="zh-CN"/>
        </w:rPr>
      </w:pPr>
      <w:bookmarkStart w:id="221" w:name="_Toc12222"/>
      <w:r>
        <w:rPr>
          <w:rFonts w:hint="eastAsia"/>
          <w:lang w:val="en-US" w:eastAsia="zh-CN"/>
        </w:rPr>
        <w:t>5.资金拨付进度</w:t>
      </w:r>
      <w:bookmarkEnd w:id="221"/>
    </w:p>
    <w:p w14:paraId="2A3B5458">
      <w:pPr>
        <w:pStyle w:val="20"/>
        <w:ind w:left="0" w:lef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表1.2  各项目资金支付进度</w:t>
      </w:r>
    </w:p>
    <w:tbl>
      <w:tblPr>
        <w:tblStyle w:val="22"/>
        <w:tblW w:w="9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7"/>
        <w:gridCol w:w="3467"/>
      </w:tblGrid>
      <w:tr w14:paraId="57DD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EB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bookmarkStart w:id="222" w:name="_Toc7849"/>
            <w:bookmarkStart w:id="223" w:name="_Toc27157"/>
            <w:bookmarkStart w:id="224" w:name="_Toc3676"/>
            <w:bookmarkStart w:id="225" w:name="_Toc18023"/>
            <w:bookmarkStart w:id="226" w:name="_Toc25736"/>
            <w:bookmarkStart w:id="227" w:name="_Toc2526"/>
            <w:bookmarkStart w:id="228" w:name="_Toc23887"/>
            <w:bookmarkStart w:id="229" w:name="_Toc24414"/>
            <w:bookmarkStart w:id="230" w:name="_Toc31271"/>
            <w:bookmarkStart w:id="231" w:name="_Toc14429"/>
            <w:bookmarkStart w:id="232" w:name="_Toc3888"/>
            <w:bookmarkStart w:id="233" w:name="_Toc5019"/>
            <w:r>
              <w:rPr>
                <w:rFonts w:hint="eastAsia" w:ascii="宋体" w:hAnsi="宋体" w:eastAsia="宋体" w:cs="宋体"/>
                <w:i w:val="0"/>
                <w:iCs w:val="0"/>
                <w:color w:val="auto"/>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8E1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支付进度</w:t>
            </w:r>
          </w:p>
        </w:tc>
      </w:tr>
      <w:tr w14:paraId="4B2D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FC1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大学生就业创业补贴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12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2022年12月支付完毕</w:t>
            </w:r>
          </w:p>
        </w:tc>
      </w:tr>
      <w:tr w14:paraId="65AE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32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人才优选补贴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9E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2022年12月支付完毕</w:t>
            </w:r>
          </w:p>
        </w:tc>
      </w:tr>
      <w:tr w14:paraId="0F35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34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购房补助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01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2022年9月支付完毕</w:t>
            </w:r>
          </w:p>
        </w:tc>
      </w:tr>
      <w:tr w14:paraId="2DBD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A4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4F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2022年10月、12月支付完毕</w:t>
            </w:r>
          </w:p>
        </w:tc>
      </w:tr>
      <w:tr w14:paraId="22F0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9A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企业急需紧缺人才津贴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C2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2022年4月支付完毕</w:t>
            </w:r>
          </w:p>
        </w:tc>
      </w:tr>
      <w:tr w14:paraId="26B4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13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8A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2022年7月支付完毕</w:t>
            </w:r>
          </w:p>
        </w:tc>
      </w:tr>
      <w:tr w14:paraId="148C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0D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小微企业招用高校毕业生一次性吸纳就业补贴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9F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2022年12月支付完毕</w:t>
            </w:r>
          </w:p>
        </w:tc>
      </w:tr>
      <w:tr w14:paraId="65A3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97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小微企业招用高校毕业生社保补贴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73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2022年9月支付完毕</w:t>
            </w:r>
          </w:p>
        </w:tc>
      </w:tr>
      <w:tr w14:paraId="10F5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FCF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42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2022年10月支付完毕</w:t>
            </w:r>
          </w:p>
        </w:tc>
      </w:tr>
      <w:tr w14:paraId="60BE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DD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一次性创业岗位开发补贴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89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2022年8月支付完毕</w:t>
            </w:r>
          </w:p>
        </w:tc>
      </w:tr>
      <w:tr w14:paraId="5F25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62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流动人员人事档案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FC1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2022年5月支付完毕</w:t>
            </w:r>
          </w:p>
        </w:tc>
      </w:tr>
      <w:tr w14:paraId="486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46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省级博士后创新实践基地平台补贴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E12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2022年10月支付完毕</w:t>
            </w:r>
          </w:p>
        </w:tc>
      </w:tr>
      <w:tr w14:paraId="1520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4262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职称评审费用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A777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2023年2月支付完毕</w:t>
            </w:r>
          </w:p>
        </w:tc>
      </w:tr>
      <w:tr w14:paraId="0D9A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1E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创新创业人才招引工作经费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49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疫情原因未开展</w:t>
            </w:r>
          </w:p>
        </w:tc>
      </w:tr>
    </w:tbl>
    <w:p w14:paraId="5356D8A0">
      <w:pPr>
        <w:pStyle w:val="3"/>
        <w:bidi w:val="0"/>
      </w:pPr>
      <w:bookmarkStart w:id="234" w:name="_Toc10759"/>
      <w:bookmarkStart w:id="235" w:name="_Toc17219"/>
      <w:bookmarkStart w:id="236" w:name="_Toc16636"/>
      <w:r>
        <w:rPr>
          <w:rFonts w:hint="eastAsia"/>
        </w:rPr>
        <w:t>二、项目绩效目标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07521C6">
      <w:pPr>
        <w:pStyle w:val="4"/>
        <w:bidi w:val="0"/>
        <w:rPr>
          <w:rFonts w:hint="eastAsia"/>
        </w:rPr>
      </w:pPr>
      <w:bookmarkStart w:id="237" w:name="_Toc6615"/>
      <w:bookmarkStart w:id="238" w:name="_Toc12506"/>
      <w:bookmarkStart w:id="239" w:name="_Toc14841"/>
      <w:bookmarkStart w:id="240" w:name="_Toc26284"/>
      <w:bookmarkStart w:id="241" w:name="_Toc20191"/>
      <w:bookmarkStart w:id="242" w:name="_Toc13908"/>
      <w:bookmarkStart w:id="243" w:name="_Toc5240"/>
      <w:bookmarkStart w:id="244" w:name="_Toc26371"/>
      <w:bookmarkStart w:id="245" w:name="_Toc17563"/>
      <w:bookmarkStart w:id="246" w:name="_Toc26859"/>
      <w:bookmarkStart w:id="247" w:name="_Toc28480"/>
      <w:bookmarkStart w:id="248" w:name="_Toc15279"/>
      <w:bookmarkStart w:id="249" w:name="_Toc24613"/>
      <w:bookmarkStart w:id="250" w:name="_Toc6395"/>
      <w:bookmarkStart w:id="251" w:name="_Toc19396"/>
      <w:r>
        <w:rPr>
          <w:rFonts w:hint="eastAsia"/>
        </w:rPr>
        <w:t>（一）总体绩效目标</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08BD25D">
      <w:pPr>
        <w:keepNext w:val="0"/>
        <w:keepLines w:val="0"/>
        <w:pageBreakBefore w:val="0"/>
        <w:widowControl w:val="0"/>
        <w:kinsoku/>
        <w:wordWrap/>
        <w:overflowPunct/>
        <w:topLinePunct w:val="0"/>
        <w:autoSpaceDE w:val="0"/>
        <w:autoSpaceDN w:val="0"/>
        <w:bidi w:val="0"/>
        <w:adjustRightInd/>
        <w:snapToGrid/>
        <w:jc w:val="both"/>
        <w:textAlignment w:val="auto"/>
        <w:rPr>
          <w:rFonts w:hint="eastAsia"/>
          <w:highlight w:val="none"/>
        </w:rPr>
      </w:pPr>
      <w:r>
        <w:rPr>
          <w:rFonts w:hint="eastAsia"/>
          <w:sz w:val="32"/>
          <w:szCs w:val="32"/>
          <w:lang w:eastAsia="zh-CN"/>
        </w:rPr>
        <w:t>本项目的</w:t>
      </w:r>
      <w:r>
        <w:rPr>
          <w:rFonts w:hint="eastAsia"/>
          <w:sz w:val="32"/>
          <w:szCs w:val="32"/>
          <w:lang w:val="en-US" w:eastAsia="zh-CN"/>
        </w:rPr>
        <w:t>总体</w:t>
      </w:r>
      <w:r>
        <w:rPr>
          <w:rFonts w:hint="eastAsia"/>
          <w:sz w:val="32"/>
          <w:szCs w:val="32"/>
          <w:lang w:eastAsia="zh-CN"/>
        </w:rPr>
        <w:t>目标是</w:t>
      </w:r>
      <w:r>
        <w:rPr>
          <w:rFonts w:hint="eastAsia"/>
          <w:sz w:val="32"/>
          <w:szCs w:val="32"/>
          <w:lang w:val="en-US" w:eastAsia="zh-CN"/>
        </w:rPr>
        <w:t>完成《枣庄市援企稳岗扩就业保民生政策清单》中的工作任务，充分做好政策解读工作，让企业群众明晰政策，持续推动各项政策落实服务落地，着力保市场主体保就业民生，不断提升企业群众获得感，确保就业形势持续稳定</w:t>
      </w:r>
      <w:r>
        <w:rPr>
          <w:rFonts w:hint="eastAsia" w:ascii="仿宋_GB2312" w:eastAsia="仿宋_GB2312"/>
          <w:sz w:val="32"/>
          <w:szCs w:val="32"/>
        </w:rPr>
        <w:t>。</w:t>
      </w:r>
    </w:p>
    <w:p w14:paraId="17EF16EC">
      <w:pPr>
        <w:pStyle w:val="4"/>
        <w:bidi w:val="0"/>
        <w:rPr>
          <w:rFonts w:hint="eastAsia"/>
        </w:rPr>
      </w:pPr>
      <w:bookmarkStart w:id="252" w:name="_Toc26159"/>
      <w:bookmarkStart w:id="253" w:name="_Toc13638"/>
      <w:bookmarkStart w:id="254" w:name="_Toc18450"/>
      <w:bookmarkStart w:id="255" w:name="_Toc18615"/>
      <w:bookmarkStart w:id="256" w:name="_Toc12552"/>
      <w:bookmarkStart w:id="257" w:name="_Toc21718"/>
      <w:bookmarkStart w:id="258" w:name="_Toc20866"/>
      <w:bookmarkStart w:id="259" w:name="_Toc24506"/>
      <w:bookmarkStart w:id="260" w:name="_Toc29382"/>
      <w:bookmarkStart w:id="261" w:name="_Toc21938"/>
      <w:bookmarkStart w:id="262" w:name="_Toc12246"/>
      <w:bookmarkStart w:id="263" w:name="_Toc30959"/>
      <w:bookmarkStart w:id="264" w:name="_Toc16798"/>
      <w:bookmarkStart w:id="265" w:name="_Toc29646"/>
      <w:bookmarkStart w:id="266" w:name="_Toc7760"/>
      <w:r>
        <w:rPr>
          <w:rFonts w:hint="eastAsia"/>
          <w:lang w:val="en-US" w:eastAsia="zh-CN"/>
        </w:rPr>
        <w:t>（二）</w:t>
      </w:r>
      <w:r>
        <w:rPr>
          <w:rFonts w:hint="eastAsia"/>
          <w:lang w:val="en-US"/>
        </w:rPr>
        <w:t>年度</w:t>
      </w:r>
      <w:r>
        <w:rPr>
          <w:rFonts w:hint="eastAsia"/>
        </w:rPr>
        <w:t>绩效目标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31B2E94">
      <w:pPr>
        <w:keepNext w:val="0"/>
        <w:keepLines w:val="0"/>
        <w:pageBreakBefore w:val="0"/>
        <w:widowControl w:val="0"/>
        <w:kinsoku/>
        <w:wordWrap/>
        <w:overflowPunct/>
        <w:topLinePunct w:val="0"/>
        <w:autoSpaceDE w:val="0"/>
        <w:autoSpaceDN w:val="0"/>
        <w:bidi w:val="0"/>
        <w:adjustRightInd/>
        <w:snapToGrid/>
        <w:ind w:firstLine="640"/>
        <w:jc w:val="both"/>
        <w:textAlignment w:val="auto"/>
        <w:rPr>
          <w:rFonts w:hint="eastAsia" w:ascii="楷体_GB2312" w:hAnsi="楷体_GB2312" w:eastAsia="楷体_GB2312" w:cs="楷体_GB2312"/>
          <w:highlight w:val="none"/>
        </w:rPr>
      </w:pPr>
      <w:r>
        <w:rPr>
          <w:rFonts w:hint="eastAsia" w:cs="仿宋_GB2312"/>
          <w:sz w:val="32"/>
          <w:szCs w:val="32"/>
          <w:lang w:val="en-US" w:eastAsia="zh-CN" w:bidi="zh-CN"/>
        </w:rPr>
        <w:t>为进一步方便对本项目的考核，评价组梳理了项目年度绩效目标，具体而言，</w:t>
      </w:r>
      <w:r>
        <w:rPr>
          <w:rFonts w:hint="eastAsia" w:ascii="仿宋_GB2312" w:hAnsi="仿宋_GB2312" w:eastAsia="仿宋_GB2312" w:cs="仿宋_GB2312"/>
          <w:sz w:val="32"/>
          <w:szCs w:val="32"/>
          <w:lang w:val="en-US" w:eastAsia="zh-CN" w:bidi="zh-CN"/>
        </w:rPr>
        <w:t>202</w:t>
      </w:r>
      <w:r>
        <w:rPr>
          <w:rFonts w:hint="eastAsia" w:cs="仿宋_GB2312"/>
          <w:sz w:val="32"/>
          <w:szCs w:val="32"/>
          <w:lang w:val="en-US" w:eastAsia="zh-CN" w:bidi="zh-CN"/>
        </w:rPr>
        <w:t>2</w:t>
      </w:r>
      <w:r>
        <w:rPr>
          <w:rFonts w:hint="eastAsia" w:ascii="仿宋_GB2312" w:hAnsi="仿宋_GB2312" w:eastAsia="仿宋_GB2312" w:cs="仿宋_GB2312"/>
          <w:sz w:val="32"/>
          <w:szCs w:val="32"/>
          <w:lang w:val="en-US" w:eastAsia="zh-CN" w:bidi="zh-CN"/>
        </w:rPr>
        <w:t>年度绩效目标为</w:t>
      </w:r>
      <w:r>
        <w:rPr>
          <w:rFonts w:hint="eastAsia" w:cs="仿宋_GB2312"/>
          <w:sz w:val="32"/>
          <w:szCs w:val="32"/>
          <w:lang w:val="en-US" w:eastAsia="zh-CN" w:bidi="zh-CN"/>
        </w:rPr>
        <w:t>补贴项目完成率100%；举办招聘会2次；开展职称评审1次；人事档案邮寄完成率100%；补贴审核准确率100%；资料审核和资金发放及时率100%;成本控制在808.51万元以内；推动各类政策应享尽享；档案保存完整；受益群众和企业满意度95%。</w:t>
      </w:r>
    </w:p>
    <w:p w14:paraId="0CF09DB6">
      <w:pPr>
        <w:pStyle w:val="3"/>
        <w:bidi w:val="0"/>
      </w:pPr>
      <w:bookmarkStart w:id="267" w:name="_Toc2024"/>
      <w:bookmarkStart w:id="268" w:name="_Toc19955"/>
      <w:bookmarkStart w:id="269" w:name="_Toc22993"/>
      <w:bookmarkStart w:id="270" w:name="_Toc12401"/>
      <w:bookmarkStart w:id="271" w:name="_Toc30615"/>
      <w:bookmarkStart w:id="272" w:name="_Toc7507"/>
      <w:bookmarkStart w:id="273" w:name="_Toc26739"/>
      <w:bookmarkStart w:id="274" w:name="_Toc29257"/>
      <w:bookmarkStart w:id="275" w:name="_Toc8211"/>
      <w:bookmarkStart w:id="276" w:name="_Toc25966"/>
      <w:bookmarkStart w:id="277" w:name="_Toc11382"/>
      <w:bookmarkStart w:id="278" w:name="_Toc23656"/>
      <w:bookmarkStart w:id="279" w:name="_Toc20136"/>
      <w:bookmarkStart w:id="280" w:name="_Toc28689"/>
      <w:bookmarkStart w:id="281" w:name="_Toc29056"/>
      <w:r>
        <w:rPr>
          <w:rFonts w:hint="eastAsia"/>
        </w:rPr>
        <w:t>三、评价基本情况</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DEBA3EB">
      <w:pPr>
        <w:pStyle w:val="4"/>
        <w:bidi w:val="0"/>
        <w:rPr>
          <w:rFonts w:hint="eastAsia"/>
        </w:rPr>
      </w:pPr>
      <w:bookmarkStart w:id="282" w:name="_Toc30587"/>
      <w:bookmarkStart w:id="283" w:name="_Toc15476"/>
      <w:bookmarkStart w:id="284" w:name="_Toc6657"/>
      <w:bookmarkStart w:id="285" w:name="_Toc9586"/>
      <w:bookmarkStart w:id="286" w:name="_Toc357"/>
      <w:bookmarkStart w:id="287" w:name="_Toc10436"/>
      <w:bookmarkStart w:id="288" w:name="_Toc3251"/>
      <w:bookmarkStart w:id="289" w:name="_Toc22351"/>
      <w:bookmarkStart w:id="290" w:name="_Toc19"/>
      <w:bookmarkStart w:id="291" w:name="_Toc24900"/>
      <w:bookmarkStart w:id="292" w:name="_Toc6813"/>
      <w:bookmarkStart w:id="293" w:name="_Toc1327"/>
      <w:bookmarkStart w:id="294" w:name="_Toc8514"/>
      <w:bookmarkStart w:id="295" w:name="_Toc3134"/>
      <w:bookmarkStart w:id="296" w:name="_Toc4030"/>
      <w:r>
        <w:rPr>
          <w:rFonts w:hint="eastAsia"/>
        </w:rPr>
        <w:t>（一）评价目的</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60EB25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eastAsia="仿宋_GB2312"/>
          <w:szCs w:val="32"/>
          <w:lang w:val="en-US" w:eastAsia="zh-CN"/>
        </w:rPr>
      </w:pPr>
      <w:bookmarkStart w:id="297" w:name="_Toc3497"/>
      <w:bookmarkStart w:id="298" w:name="_Toc12395"/>
      <w:bookmarkStart w:id="299" w:name="_Toc21979"/>
      <w:bookmarkStart w:id="300" w:name="_Toc24908"/>
      <w:r>
        <w:rPr>
          <w:rFonts w:hint="eastAsia"/>
        </w:rPr>
        <w:t>本次绩效评价工作重点从项目决策、过程、产出和效益等方面，评价</w:t>
      </w:r>
      <w:r>
        <w:rPr>
          <w:rFonts w:hint="eastAsia"/>
          <w:lang w:val="en-US" w:eastAsia="zh-CN"/>
        </w:rPr>
        <w:t>2022年枣庄市高新区人力资源经费项目的资金使用情况。评价本项目在决策方面的合理性，在资金分配及使用上是否存在不合理之处，在组织实施方面是否做到机制健全、执行有效，在产出和效益方面是否带来了相应的成果。仔细分析项目全过程，深入挖掘问题并提出相关建议，以提高资金使用效率，为以后年度预算安排提供决策依据。</w:t>
      </w:r>
      <w:bookmarkEnd w:id="297"/>
      <w:bookmarkEnd w:id="298"/>
      <w:bookmarkEnd w:id="299"/>
      <w:bookmarkEnd w:id="300"/>
    </w:p>
    <w:p w14:paraId="7AC617C5">
      <w:pPr>
        <w:pStyle w:val="4"/>
        <w:bidi w:val="0"/>
      </w:pPr>
      <w:bookmarkStart w:id="301" w:name="_Toc24078"/>
      <w:bookmarkStart w:id="302" w:name="_Toc14478"/>
      <w:bookmarkStart w:id="303" w:name="_Toc23110"/>
      <w:bookmarkStart w:id="304" w:name="_Toc1501"/>
      <w:bookmarkStart w:id="305" w:name="_Toc1756"/>
      <w:bookmarkStart w:id="306" w:name="_Toc16766"/>
      <w:bookmarkStart w:id="307" w:name="_Toc27573"/>
      <w:bookmarkStart w:id="308" w:name="_Toc14895"/>
      <w:bookmarkStart w:id="309" w:name="_Toc32751"/>
      <w:bookmarkStart w:id="310" w:name="_Toc24698"/>
      <w:bookmarkStart w:id="311" w:name="_Toc13024"/>
      <w:bookmarkStart w:id="312" w:name="_Toc15814"/>
      <w:bookmarkStart w:id="313" w:name="_Toc19341"/>
      <w:bookmarkStart w:id="314" w:name="_Toc10345"/>
      <w:bookmarkStart w:id="315" w:name="_Toc28320"/>
      <w:r>
        <w:rPr>
          <w:rFonts w:hint="eastAsia"/>
        </w:rPr>
        <w:t>（二）评价对象与范围</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3BBE753">
      <w:pPr>
        <w:pStyle w:val="9"/>
        <w:overflowPunct w:val="0"/>
        <w:spacing w:line="600" w:lineRule="exact"/>
        <w:ind w:firstLine="640" w:firstLineChars="200"/>
        <w:jc w:val="both"/>
        <w:rPr>
          <w:highlight w:val="none"/>
        </w:rPr>
      </w:pPr>
      <w:r>
        <w:rPr>
          <w:rFonts w:hint="eastAsia"/>
          <w:highlight w:val="none"/>
        </w:rPr>
        <w:t>评价对象：</w:t>
      </w:r>
    </w:p>
    <w:p w14:paraId="16C93A9A">
      <w:pPr>
        <w:widowControl/>
        <w:adjustRightInd w:val="0"/>
        <w:snapToGrid w:val="0"/>
        <w:ind w:firstLine="640"/>
        <w:rPr>
          <w:rFonts w:eastAsia="仿宋_GB2312"/>
          <w:sz w:val="32"/>
          <w:szCs w:val="32"/>
        </w:rPr>
      </w:pPr>
      <w:r>
        <w:rPr>
          <w:rFonts w:hint="eastAsia" w:ascii="仿宋_GB2312" w:eastAsia="仿宋_GB2312"/>
          <w:sz w:val="32"/>
          <w:szCs w:val="32"/>
        </w:rPr>
        <w:t>202</w:t>
      </w:r>
      <w:r>
        <w:rPr>
          <w:rFonts w:hint="eastAsia"/>
          <w:sz w:val="32"/>
          <w:szCs w:val="32"/>
          <w:lang w:val="en-US" w:eastAsia="zh-CN"/>
        </w:rPr>
        <w:t>2</w:t>
      </w:r>
      <w:r>
        <w:rPr>
          <w:rFonts w:hint="eastAsia" w:ascii="仿宋_GB2312" w:eastAsia="仿宋_GB2312"/>
          <w:sz w:val="32"/>
          <w:szCs w:val="32"/>
        </w:rPr>
        <w:t>年</w:t>
      </w:r>
      <w:r>
        <w:rPr>
          <w:rFonts w:hint="eastAsia"/>
          <w:lang w:val="en-US" w:eastAsia="zh-CN"/>
        </w:rPr>
        <w:t>枣庄市高新区人力资源经费项目808.51</w:t>
      </w:r>
      <w:r>
        <w:rPr>
          <w:rFonts w:hint="eastAsia"/>
          <w:sz w:val="32"/>
          <w:szCs w:val="32"/>
          <w:lang w:val="en-US" w:eastAsia="zh-CN"/>
        </w:rPr>
        <w:t>万元</w:t>
      </w:r>
      <w:r>
        <w:rPr>
          <w:rFonts w:hint="eastAsia" w:eastAsia="仿宋_GB2312"/>
          <w:sz w:val="32"/>
          <w:szCs w:val="32"/>
        </w:rPr>
        <w:t>。</w:t>
      </w:r>
    </w:p>
    <w:p w14:paraId="67FF7BBE">
      <w:pPr>
        <w:pStyle w:val="9"/>
        <w:overflowPunct w:val="0"/>
        <w:spacing w:line="600" w:lineRule="exact"/>
        <w:ind w:firstLine="640" w:firstLineChars="200"/>
        <w:jc w:val="both"/>
        <w:rPr>
          <w:highlight w:val="none"/>
        </w:rPr>
      </w:pPr>
      <w:r>
        <w:rPr>
          <w:rFonts w:hint="eastAsia"/>
          <w:highlight w:val="none"/>
        </w:rPr>
        <w:t>评价范围：</w:t>
      </w:r>
    </w:p>
    <w:p w14:paraId="7603493B">
      <w:pPr>
        <w:widowControl/>
        <w:adjustRightInd w:val="0"/>
        <w:snapToGrid w:val="0"/>
        <w:ind w:firstLine="640"/>
        <w:rPr>
          <w:rFonts w:hint="eastAsia"/>
          <w:highlight w:val="none"/>
          <w:lang w:val="en-US" w:eastAsia="zh-CN"/>
        </w:rPr>
      </w:pPr>
      <w:r>
        <w:rPr>
          <w:rFonts w:hint="eastAsia"/>
        </w:rPr>
        <w:t>本项目评价范围</w:t>
      </w:r>
      <w:r>
        <w:rPr>
          <w:rFonts w:hint="eastAsia"/>
          <w:lang w:val="en-US" w:eastAsia="zh-CN"/>
        </w:rPr>
        <w:t>是资金链条的全过程，涉及枣庄市高新区社会事务综合服务中心、财政金融局、部分项目单位，包括项目立项、预算编制情况、项目具体执行情况、项目产生的效果</w:t>
      </w:r>
      <w:r>
        <w:rPr>
          <w:rFonts w:hint="eastAsia" w:eastAsia="仿宋_GB2312"/>
          <w:sz w:val="32"/>
          <w:szCs w:val="32"/>
          <w:lang w:val="en-US" w:eastAsia="zh-CN"/>
        </w:rPr>
        <w:t>。</w:t>
      </w:r>
    </w:p>
    <w:p w14:paraId="17184BD7">
      <w:pPr>
        <w:pStyle w:val="4"/>
        <w:bidi w:val="0"/>
        <w:rPr>
          <w:rFonts w:hint="eastAsia"/>
        </w:rPr>
      </w:pPr>
      <w:bookmarkStart w:id="316" w:name="_Toc8097"/>
      <w:bookmarkStart w:id="317" w:name="_Toc14184"/>
      <w:bookmarkStart w:id="318" w:name="_Toc8433"/>
      <w:bookmarkStart w:id="319" w:name="_Toc29926"/>
      <w:bookmarkStart w:id="320" w:name="_Toc9928"/>
      <w:bookmarkStart w:id="321" w:name="_Toc1391"/>
      <w:bookmarkStart w:id="322" w:name="_Toc14562"/>
      <w:bookmarkStart w:id="323" w:name="_Toc29976"/>
      <w:bookmarkStart w:id="324" w:name="_Toc11251"/>
      <w:bookmarkStart w:id="325" w:name="_Toc11953"/>
      <w:bookmarkStart w:id="326" w:name="_Toc3975"/>
      <w:bookmarkStart w:id="327" w:name="_Toc4979"/>
      <w:bookmarkStart w:id="328" w:name="_Toc954"/>
      <w:bookmarkStart w:id="329" w:name="_Toc18531"/>
      <w:bookmarkStart w:id="330" w:name="_Toc6416"/>
      <w:r>
        <w:rPr>
          <w:rFonts w:hint="eastAsia"/>
          <w:lang w:eastAsia="zh-CN"/>
        </w:rPr>
        <w:t>（</w:t>
      </w:r>
      <w:r>
        <w:rPr>
          <w:rFonts w:hint="eastAsia"/>
          <w:lang w:val="en-US" w:eastAsia="zh-CN"/>
        </w:rPr>
        <w:t>三</w:t>
      </w:r>
      <w:r>
        <w:rPr>
          <w:rFonts w:hint="eastAsia"/>
          <w:lang w:eastAsia="zh-CN"/>
        </w:rPr>
        <w:t>）</w:t>
      </w:r>
      <w:r>
        <w:rPr>
          <w:rFonts w:hint="eastAsia"/>
        </w:rPr>
        <w:t>评价依据</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E81F5F0">
      <w:pPr>
        <w:pStyle w:val="5"/>
        <w:bidi w:val="0"/>
        <w:rPr>
          <w:rFonts w:hint="default"/>
          <w:lang w:val="en-US" w:eastAsia="zh-CN"/>
        </w:rPr>
      </w:pPr>
      <w:bookmarkStart w:id="331" w:name="_Toc8203"/>
      <w:r>
        <w:rPr>
          <w:rFonts w:hint="eastAsia"/>
          <w:lang w:val="en-US" w:eastAsia="zh-CN"/>
        </w:rPr>
        <w:t>1.法规依据:</w:t>
      </w:r>
      <w:bookmarkEnd w:id="331"/>
    </w:p>
    <w:p w14:paraId="2B4D783B">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1</w:t>
      </w:r>
      <w:r>
        <w:rPr>
          <w:rFonts w:hint="eastAsia" w:ascii="仿宋_GB2312" w:eastAsia="仿宋_GB2312"/>
          <w:sz w:val="32"/>
          <w:szCs w:val="32"/>
          <w:lang w:val="zh-CN"/>
        </w:rPr>
        <w:t>）《中华人民共和国预算法》</w:t>
      </w:r>
    </w:p>
    <w:p w14:paraId="722DEE10">
      <w:pPr>
        <w:keepNext w:val="0"/>
        <w:keepLines w:val="0"/>
        <w:pageBreakBefore w:val="0"/>
        <w:widowControl w:val="0"/>
        <w:numPr>
          <w:ilvl w:val="0"/>
          <w:numId w:val="0"/>
        </w:numPr>
        <w:kinsoku/>
        <w:wordWrap/>
        <w:overflowPunct/>
        <w:topLinePunct w:val="0"/>
        <w:autoSpaceDE w:val="0"/>
        <w:autoSpaceDN w:val="0"/>
        <w:bidi w:val="0"/>
        <w:adjustRightInd/>
        <w:snapToGrid/>
        <w:ind w:leftChars="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2</w:t>
      </w:r>
      <w:r>
        <w:rPr>
          <w:rFonts w:hint="eastAsia" w:ascii="仿宋_GB2312" w:eastAsia="仿宋_GB2312"/>
          <w:sz w:val="32"/>
          <w:szCs w:val="32"/>
          <w:lang w:val="zh-CN"/>
        </w:rPr>
        <w:t>）《中共中央国务院关于全面实施预算绩效管理的意见》（中发〔2018〕</w:t>
      </w:r>
      <w:r>
        <w:rPr>
          <w:rFonts w:hint="eastAsia" w:ascii="仿宋_GB2312" w:eastAsia="仿宋_GB2312"/>
          <w:sz w:val="32"/>
          <w:szCs w:val="32"/>
        </w:rPr>
        <w:t>34</w:t>
      </w:r>
      <w:r>
        <w:rPr>
          <w:rFonts w:hint="eastAsia" w:ascii="仿宋_GB2312" w:eastAsia="仿宋_GB2312"/>
          <w:sz w:val="32"/>
          <w:szCs w:val="32"/>
          <w:lang w:val="zh-CN"/>
        </w:rPr>
        <w:t>号）</w:t>
      </w:r>
    </w:p>
    <w:p w14:paraId="1F3D9CE8">
      <w:pPr>
        <w:keepNext w:val="0"/>
        <w:keepLines w:val="0"/>
        <w:pageBreakBefore w:val="0"/>
        <w:widowControl w:val="0"/>
        <w:numPr>
          <w:ilvl w:val="0"/>
          <w:numId w:val="0"/>
        </w:numPr>
        <w:kinsoku/>
        <w:wordWrap/>
        <w:overflowPunct/>
        <w:topLinePunct w:val="0"/>
        <w:autoSpaceDE w:val="0"/>
        <w:autoSpaceDN w:val="0"/>
        <w:bidi w:val="0"/>
        <w:adjustRightInd/>
        <w:snapToGrid/>
        <w:ind w:leftChars="0" w:firstLine="640" w:firstLineChars="200"/>
        <w:jc w:val="both"/>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en-US" w:eastAsia="zh-CN"/>
        </w:rPr>
        <w:t>3</w:t>
      </w:r>
      <w:r>
        <w:rPr>
          <w:rFonts w:hint="eastAsia" w:ascii="仿宋_GB2312" w:eastAsia="仿宋_GB2312"/>
          <w:sz w:val="32"/>
          <w:szCs w:val="32"/>
          <w:lang w:val="zh-CN"/>
        </w:rPr>
        <w:t>）《财政部关于印发&lt;项目支出绩效评价管理办法&gt;的通知》（财预〔2020〕10号）</w:t>
      </w:r>
    </w:p>
    <w:p w14:paraId="0AC6CC2D">
      <w:pPr>
        <w:keepNext w:val="0"/>
        <w:keepLines w:val="0"/>
        <w:pageBreakBefore w:val="0"/>
        <w:widowControl w:val="0"/>
        <w:kinsoku/>
        <w:wordWrap/>
        <w:overflowPunct/>
        <w:autoSpaceDE/>
        <w:autoSpaceDN/>
        <w:bidi w:val="0"/>
        <w:spacing w:afterAutospacing="0" w:line="580" w:lineRule="exact"/>
        <w:ind w:firstLine="640" w:firstLineChars="200"/>
        <w:textAlignment w:val="auto"/>
        <w:rPr>
          <w:rFonts w:hint="eastAsia"/>
          <w:lang w:val="zh-CN"/>
        </w:rPr>
      </w:pPr>
      <w:r>
        <w:rPr>
          <w:rFonts w:hint="eastAsia"/>
          <w:lang w:val="zh-CN"/>
        </w:rPr>
        <w:t>（</w:t>
      </w:r>
      <w:r>
        <w:rPr>
          <w:rFonts w:hint="eastAsia"/>
          <w:lang w:val="en-US" w:eastAsia="zh-CN"/>
        </w:rPr>
        <w:t>4</w:t>
      </w:r>
      <w:r>
        <w:rPr>
          <w:rFonts w:hint="eastAsia"/>
          <w:lang w:val="zh-CN"/>
        </w:rPr>
        <w:t>）《中共山东省委山东省人民政府关于全面推进预算绩效管理的实施意见》（鲁发〔2019〕2号）</w:t>
      </w:r>
    </w:p>
    <w:p w14:paraId="0CBB3A3D">
      <w:pPr>
        <w:keepNext w:val="0"/>
        <w:keepLines w:val="0"/>
        <w:pageBreakBefore w:val="0"/>
        <w:widowControl w:val="0"/>
        <w:kinsoku/>
        <w:wordWrap/>
        <w:overflowPunct/>
        <w:autoSpaceDE/>
        <w:autoSpaceDN/>
        <w:bidi w:val="0"/>
        <w:spacing w:afterAutospacing="0" w:line="580" w:lineRule="exact"/>
        <w:ind w:firstLine="640" w:firstLineChars="200"/>
        <w:textAlignment w:val="auto"/>
        <w:rPr>
          <w:rFonts w:hint="eastAsia"/>
          <w:lang w:val="zh-CN"/>
        </w:rPr>
      </w:pPr>
      <w:r>
        <w:rPr>
          <w:rFonts w:hint="eastAsia"/>
          <w:lang w:val="zh-CN"/>
        </w:rPr>
        <w:t>（</w:t>
      </w:r>
      <w:r>
        <w:rPr>
          <w:rFonts w:hint="eastAsia"/>
          <w:lang w:val="en-US" w:eastAsia="zh-CN"/>
        </w:rPr>
        <w:t>5</w:t>
      </w:r>
      <w:r>
        <w:rPr>
          <w:rFonts w:hint="eastAsia"/>
          <w:lang w:val="zh-CN"/>
        </w:rPr>
        <w:t>）</w:t>
      </w:r>
      <w:r>
        <w:rPr>
          <w:rFonts w:hint="eastAsia" w:ascii="仿宋_GB2312" w:eastAsia="仿宋_GB2312" w:cs="Times New Roman"/>
          <w:kern w:val="2"/>
          <w:sz w:val="32"/>
          <w:szCs w:val="32"/>
          <w:lang w:val="en-US" w:eastAsia="zh-CN" w:bidi="ar-SA"/>
        </w:rPr>
        <w:t>山东省财政厅</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山东省省</w:t>
      </w:r>
      <w:r>
        <w:rPr>
          <w:rFonts w:hint="eastAsia" w:ascii="仿宋_GB2312" w:hAnsi="Times New Roman" w:eastAsia="仿宋_GB2312" w:cs="Times New Roman"/>
          <w:kern w:val="2"/>
          <w:sz w:val="32"/>
          <w:szCs w:val="32"/>
          <w:lang w:val="en-US" w:eastAsia="zh-CN" w:bidi="ar-SA"/>
        </w:rPr>
        <w:t>级项目支出绩效</w:t>
      </w:r>
      <w:r>
        <w:rPr>
          <w:rFonts w:hint="eastAsia" w:ascii="仿宋_GB2312" w:eastAsia="仿宋_GB2312" w:cs="Times New Roman"/>
          <w:kern w:val="2"/>
          <w:sz w:val="32"/>
          <w:szCs w:val="32"/>
          <w:lang w:val="en-US" w:eastAsia="zh-CN" w:bidi="ar-SA"/>
        </w:rPr>
        <w:t>财政评价和部门评价</w:t>
      </w:r>
      <w:r>
        <w:rPr>
          <w:rFonts w:hint="eastAsia" w:ascii="仿宋_GB2312" w:hAnsi="Times New Roman" w:eastAsia="仿宋_GB2312" w:cs="Times New Roman"/>
          <w:kern w:val="2"/>
          <w:sz w:val="32"/>
          <w:szCs w:val="32"/>
          <w:lang w:val="en-US" w:eastAsia="zh-CN" w:bidi="ar-SA"/>
        </w:rPr>
        <w:t>工作规程》（</w:t>
      </w:r>
      <w:r>
        <w:rPr>
          <w:rFonts w:hint="eastAsia" w:ascii="仿宋_GB2312" w:eastAsia="仿宋_GB2312" w:cs="Times New Roman"/>
          <w:kern w:val="2"/>
          <w:sz w:val="32"/>
          <w:szCs w:val="32"/>
          <w:lang w:val="en-US" w:eastAsia="zh-CN" w:bidi="ar-SA"/>
        </w:rPr>
        <w:t>鲁财绩</w:t>
      </w:r>
      <w:r>
        <w:rPr>
          <w:rFonts w:hint="eastAsia" w:ascii="仿宋_GB2312" w:hAnsi="Times New Roman" w:eastAsia="仿宋_GB2312" w:cs="Times New Roman"/>
          <w:kern w:val="2"/>
          <w:sz w:val="32"/>
          <w:szCs w:val="32"/>
          <w:lang w:val="en-US" w:eastAsia="zh-CN" w:bidi="ar-SA"/>
        </w:rPr>
        <w:t>〔2020〕</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号）</w:t>
      </w:r>
    </w:p>
    <w:p w14:paraId="434B8372">
      <w:pPr>
        <w:pStyle w:val="20"/>
        <w:ind w:firstLine="640" w:firstLineChars="200"/>
        <w:rPr>
          <w:rFonts w:hint="eastAsia" w:ascii="仿宋_GB2312" w:hAnsi="仿宋_GB2312" w:eastAsia="仿宋_GB2312" w:cs="仿宋_GB2312"/>
          <w:sz w:val="32"/>
          <w:szCs w:val="22"/>
          <w:lang w:val="en-US" w:eastAsia="zh-CN" w:bidi="zh-CN"/>
        </w:rPr>
      </w:pPr>
      <w:r>
        <w:rPr>
          <w:rFonts w:hint="eastAsia" w:ascii="仿宋_GB2312" w:hAnsi="仿宋_GB2312" w:eastAsia="仿宋_GB2312" w:cs="仿宋_GB2312"/>
          <w:sz w:val="32"/>
          <w:szCs w:val="22"/>
          <w:lang w:val="en-US" w:eastAsia="zh-CN" w:bidi="zh-CN"/>
        </w:rPr>
        <w:t>2.项目依据：</w:t>
      </w:r>
    </w:p>
    <w:p w14:paraId="5B3D7E58">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default"/>
          <w:lang w:val="en-US" w:eastAsia="zh-CN"/>
        </w:rPr>
      </w:pPr>
      <w:r>
        <w:rPr>
          <w:rFonts w:hint="default"/>
          <w:lang w:val="en-US" w:eastAsia="zh-CN"/>
        </w:rPr>
        <w:t>《枣庄市引进培养用好青年人才支持“工业强市，产业兴市”若干措施》（枣办发〔2021〕17号）</w:t>
      </w:r>
    </w:p>
    <w:p w14:paraId="6DF2F04B">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lang w:val="en-US" w:eastAsia="zh-CN"/>
        </w:rPr>
      </w:pPr>
      <w:r>
        <w:rPr>
          <w:rFonts w:hint="eastAsia"/>
          <w:lang w:val="en-US" w:eastAsia="zh-CN"/>
        </w:rPr>
        <w:t>《枣庄市援企稳岗扩就业保民生政策清单》</w:t>
      </w:r>
    </w:p>
    <w:p w14:paraId="64E3B466">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lang w:val="en-US" w:eastAsia="zh-CN"/>
        </w:rPr>
      </w:pPr>
      <w:r>
        <w:rPr>
          <w:rFonts w:hint="eastAsia"/>
          <w:lang w:val="en-US" w:eastAsia="zh-CN"/>
        </w:rPr>
        <w:t>各类补贴申请资料</w:t>
      </w:r>
    </w:p>
    <w:p w14:paraId="7D242E9A">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lang w:val="en-US" w:eastAsia="zh-CN"/>
        </w:rPr>
      </w:pPr>
      <w:r>
        <w:rPr>
          <w:rFonts w:hint="eastAsia"/>
          <w:lang w:val="en-US" w:eastAsia="zh-CN"/>
        </w:rPr>
        <w:t>资金拨付凭证等财务资料</w:t>
      </w:r>
    </w:p>
    <w:p w14:paraId="05A25654">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default"/>
          <w:lang w:val="en-US" w:eastAsia="zh-CN"/>
        </w:rPr>
      </w:pPr>
      <w:r>
        <w:rPr>
          <w:rFonts w:hint="eastAsia"/>
          <w:lang w:val="en-US" w:eastAsia="zh-CN"/>
        </w:rPr>
        <w:t>年度预决算等资料</w:t>
      </w:r>
    </w:p>
    <w:p w14:paraId="62BEE2CE">
      <w:pPr>
        <w:pStyle w:val="4"/>
        <w:bidi w:val="0"/>
      </w:pPr>
      <w:bookmarkStart w:id="332" w:name="_Toc9988"/>
      <w:bookmarkStart w:id="333" w:name="_Toc9389"/>
      <w:bookmarkStart w:id="334" w:name="_Toc19750"/>
      <w:bookmarkStart w:id="335" w:name="_Toc3145"/>
      <w:bookmarkStart w:id="336" w:name="_Toc5077"/>
      <w:bookmarkStart w:id="337" w:name="_Toc3363"/>
      <w:bookmarkStart w:id="338" w:name="_Toc1790"/>
      <w:bookmarkStart w:id="339" w:name="_Toc5537"/>
      <w:bookmarkStart w:id="340" w:name="_Toc21534"/>
      <w:bookmarkStart w:id="341" w:name="_Toc3905"/>
      <w:bookmarkStart w:id="342" w:name="_Toc14726"/>
      <w:bookmarkStart w:id="343" w:name="_Toc25588"/>
      <w:bookmarkStart w:id="344" w:name="_Toc2337"/>
      <w:bookmarkStart w:id="345" w:name="_Toc5161"/>
      <w:bookmarkStart w:id="346" w:name="_Toc17846"/>
      <w:r>
        <w:rPr>
          <w:rFonts w:hint="eastAsia"/>
        </w:rPr>
        <w:t>（四）评价原则、评价方法</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DA7F820">
      <w:pPr>
        <w:pStyle w:val="5"/>
        <w:bidi w:val="0"/>
        <w:rPr>
          <w:lang w:val="en-US"/>
        </w:rPr>
      </w:pPr>
      <w:bookmarkStart w:id="347" w:name="_Toc11840"/>
      <w:r>
        <w:rPr>
          <w:rFonts w:hint="eastAsia"/>
          <w:lang w:val="en-US"/>
        </w:rPr>
        <w:t>1.评价原则</w:t>
      </w:r>
      <w:bookmarkEnd w:id="347"/>
    </w:p>
    <w:p w14:paraId="29F0EDFD">
      <w:pPr>
        <w:pStyle w:val="9"/>
        <w:overflowPunct w:val="0"/>
        <w:spacing w:line="600" w:lineRule="exact"/>
        <w:ind w:firstLine="640" w:firstLineChars="200"/>
        <w:jc w:val="both"/>
        <w:rPr>
          <w:highlight w:val="none"/>
          <w:lang w:val="en-US"/>
        </w:rPr>
      </w:pPr>
      <w:r>
        <w:rPr>
          <w:highlight w:val="none"/>
          <w:lang w:val="en-US"/>
        </w:rPr>
        <w:t>本次绩效评价指标按照以下原则：</w:t>
      </w:r>
    </w:p>
    <w:p w14:paraId="5BBA34B5">
      <w:pPr>
        <w:pStyle w:val="9"/>
        <w:overflowPunct w:val="0"/>
        <w:spacing w:line="600" w:lineRule="exact"/>
        <w:ind w:firstLine="640" w:firstLineChars="200"/>
        <w:jc w:val="both"/>
        <w:rPr>
          <w:rFonts w:hint="eastAsia" w:eastAsia="仿宋_GB2312"/>
          <w:highlight w:val="none"/>
          <w:lang w:val="en-US" w:eastAsia="zh-CN"/>
        </w:rPr>
      </w:pPr>
      <w:r>
        <w:rPr>
          <w:highlight w:val="none"/>
          <w:lang w:val="en-US"/>
        </w:rPr>
        <w:t>（1）科学规范。</w:t>
      </w:r>
      <w:r>
        <w:rPr>
          <w:rFonts w:hint="eastAsia"/>
          <w:highlight w:val="none"/>
          <w:lang w:val="en-US" w:eastAsia="zh-CN"/>
        </w:rPr>
        <w:t>评价组</w:t>
      </w:r>
      <w:r>
        <w:rPr>
          <w:highlight w:val="none"/>
          <w:lang w:val="en-US"/>
        </w:rPr>
        <w:t>严格执行规定的流程步骤，做到指标合理、标准科学、方法适当、结果可信。</w:t>
      </w:r>
      <w:r>
        <w:rPr>
          <w:rFonts w:hint="eastAsia"/>
          <w:highlight w:val="none"/>
          <w:lang w:val="en-US" w:eastAsia="zh-CN"/>
        </w:rPr>
        <w:t>本次评价工作全程以法律文件和项目文件为依据，数据真实，过程规范，符合科学规范的原则。</w:t>
      </w:r>
    </w:p>
    <w:p w14:paraId="751AB61A">
      <w:pPr>
        <w:pStyle w:val="9"/>
        <w:overflowPunct w:val="0"/>
        <w:spacing w:line="600" w:lineRule="exact"/>
        <w:ind w:firstLine="640" w:firstLineChars="200"/>
        <w:jc w:val="both"/>
        <w:rPr>
          <w:highlight w:val="none"/>
          <w:lang w:val="en-US"/>
        </w:rPr>
      </w:pPr>
      <w:r>
        <w:rPr>
          <w:highlight w:val="none"/>
          <w:lang w:val="en-US"/>
        </w:rPr>
        <w:t>（2）绩效相关。评价结果应当清晰反映绩效目标的实现情况及预算支出和绩效之间的对应关系。</w:t>
      </w:r>
    </w:p>
    <w:p w14:paraId="43038A23">
      <w:pPr>
        <w:pStyle w:val="9"/>
        <w:overflowPunct w:val="0"/>
        <w:spacing w:line="600" w:lineRule="exact"/>
        <w:ind w:firstLine="640" w:firstLineChars="200"/>
        <w:jc w:val="both"/>
        <w:rPr>
          <w:rFonts w:hint="eastAsia" w:eastAsia="仿宋_GB2312"/>
          <w:highlight w:val="none"/>
          <w:lang w:val="en-US" w:eastAsia="zh-CN"/>
        </w:rPr>
      </w:pPr>
      <w:r>
        <w:rPr>
          <w:highlight w:val="none"/>
          <w:lang w:val="en-US"/>
        </w:rPr>
        <w:t>（3）公开透明。绩效评价结果应当符合真实、客观、公正的要求，依法依规公开并接受监督。</w:t>
      </w:r>
      <w:r>
        <w:rPr>
          <w:rFonts w:hint="eastAsia"/>
          <w:highlight w:val="none"/>
          <w:lang w:val="en-US" w:eastAsia="zh-CN"/>
        </w:rPr>
        <w:t>本次评价工作遵循公开原则，所有操作流程均做到透明化和可视化。</w:t>
      </w:r>
    </w:p>
    <w:p w14:paraId="6CE7A032">
      <w:pPr>
        <w:pStyle w:val="5"/>
        <w:bidi w:val="0"/>
        <w:rPr>
          <w:lang w:val="en-US"/>
        </w:rPr>
      </w:pPr>
      <w:bookmarkStart w:id="348" w:name="_Toc7407"/>
      <w:r>
        <w:rPr>
          <w:rFonts w:hint="eastAsia"/>
          <w:lang w:val="en-US"/>
        </w:rPr>
        <w:t>2.评价方法</w:t>
      </w:r>
      <w:bookmarkEnd w:id="348"/>
    </w:p>
    <w:p w14:paraId="6912AB96">
      <w:pPr>
        <w:keepNext w:val="0"/>
        <w:keepLines w:val="0"/>
        <w:pageBreakBefore w:val="0"/>
        <w:widowControl w:val="0"/>
        <w:kinsoku/>
        <w:wordWrap/>
        <w:overflowPunct/>
        <w:topLinePunct w:val="0"/>
        <w:autoSpaceDE w:val="0"/>
        <w:autoSpaceDN w:val="0"/>
        <w:bidi w:val="0"/>
        <w:adjustRightInd/>
        <w:snapToGrid/>
        <w:ind w:firstLine="640"/>
        <w:jc w:val="both"/>
        <w:textAlignment w:val="auto"/>
        <w:rPr>
          <w:rFonts w:hint="default" w:eastAsia="仿宋_GB2312"/>
          <w:color w:val="C00000"/>
          <w:sz w:val="32"/>
          <w:szCs w:val="32"/>
          <w:lang w:val="en-US" w:eastAsia="zh-CN"/>
        </w:rPr>
      </w:pPr>
      <w:r>
        <w:rPr>
          <w:rFonts w:hint="eastAsia" w:eastAsia="仿宋_GB2312"/>
          <w:color w:val="000000" w:themeColor="text1"/>
          <w:sz w:val="32"/>
          <w:szCs w:val="32"/>
          <w14:textFill>
            <w14:solidFill>
              <w14:schemeClr w14:val="tx1"/>
            </w14:solidFill>
          </w14:textFill>
        </w:rPr>
        <w:t>本项目主要评价</w:t>
      </w:r>
      <w:r>
        <w:rPr>
          <w:rFonts w:hint="eastAsia" w:eastAsia="仿宋_GB2312"/>
          <w:color w:val="000000" w:themeColor="text1"/>
          <w:sz w:val="32"/>
          <w:szCs w:val="32"/>
          <w:lang w:val="en-US" w:eastAsia="zh-CN"/>
          <w14:textFill>
            <w14:solidFill>
              <w14:schemeClr w14:val="tx1"/>
            </w14:solidFill>
          </w14:textFill>
        </w:rPr>
        <w:t>202</w:t>
      </w:r>
      <w:r>
        <w:rPr>
          <w:rFonts w:hint="eastAsia"/>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lang w:val="en-US" w:eastAsia="zh-CN"/>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枣庄</w:t>
      </w:r>
      <w:r>
        <w:rPr>
          <w:rFonts w:hint="eastAsia" w:eastAsia="仿宋_GB2312"/>
          <w:color w:val="000000" w:themeColor="text1"/>
          <w:sz w:val="32"/>
          <w:szCs w:val="32"/>
          <w:lang w:val="en-US" w:eastAsia="zh-CN"/>
          <w14:textFill>
            <w14:solidFill>
              <w14:schemeClr w14:val="tx1"/>
            </w14:solidFill>
          </w14:textFill>
        </w:rPr>
        <w:t>市</w:t>
      </w:r>
      <w:r>
        <w:rPr>
          <w:rFonts w:hint="eastAsia"/>
          <w:color w:val="000000" w:themeColor="text1"/>
          <w:sz w:val="32"/>
          <w:szCs w:val="32"/>
          <w:lang w:val="en-US" w:eastAsia="zh-CN"/>
          <w14:textFill>
            <w14:solidFill>
              <w14:schemeClr w14:val="tx1"/>
            </w14:solidFill>
          </w14:textFill>
        </w:rPr>
        <w:t>高新区人力资源经费项目</w:t>
      </w:r>
      <w:r>
        <w:rPr>
          <w:rFonts w:hint="eastAsia" w:eastAsia="仿宋_GB2312"/>
          <w:color w:val="000000" w:themeColor="text1"/>
          <w:sz w:val="32"/>
          <w:szCs w:val="32"/>
          <w:lang w:val="en-US" w:eastAsia="zh-CN"/>
          <w14:textFill>
            <w14:solidFill>
              <w14:schemeClr w14:val="tx1"/>
            </w14:solidFill>
          </w14:textFill>
        </w:rPr>
        <w:t>投入的</w:t>
      </w:r>
      <w:r>
        <w:rPr>
          <w:rFonts w:hint="eastAsia"/>
          <w:color w:val="000000" w:themeColor="text1"/>
          <w:sz w:val="32"/>
          <w:szCs w:val="32"/>
          <w:lang w:val="en-US" w:eastAsia="zh-CN"/>
          <w14:textFill>
            <w14:solidFill>
              <w14:schemeClr w14:val="tx1"/>
            </w14:solidFill>
          </w14:textFill>
        </w:rPr>
        <w:t>资金</w:t>
      </w:r>
      <w:r>
        <w:rPr>
          <w:rFonts w:hint="eastAsia" w:eastAsia="仿宋_GB2312"/>
          <w:color w:val="000000" w:themeColor="text1"/>
          <w:sz w:val="32"/>
          <w:szCs w:val="32"/>
          <w:lang w:val="en-US" w:eastAsia="zh-CN"/>
          <w14:textFill>
            <w14:solidFill>
              <w14:schemeClr w14:val="tx1"/>
            </w14:solidFill>
          </w14:textFill>
        </w:rPr>
        <w:t>所产出的效益情况</w:t>
      </w:r>
      <w:r>
        <w:rPr>
          <w:rFonts w:hint="eastAsia" w:eastAsia="仿宋_GB2312"/>
          <w:color w:val="auto"/>
          <w:sz w:val="32"/>
          <w:szCs w:val="32"/>
          <w:highlight w:val="none"/>
        </w:rPr>
        <w:t>，</w:t>
      </w:r>
      <w:r>
        <w:rPr>
          <w:rFonts w:hint="eastAsia"/>
          <w:color w:val="auto"/>
          <w:sz w:val="32"/>
          <w:szCs w:val="32"/>
          <w:highlight w:val="none"/>
          <w:lang w:val="en-US" w:eastAsia="zh-CN"/>
        </w:rPr>
        <w:t>本项目是以政策性补贴为主，受益人群和受益企业的意见建议是评价本项目的重要指标，所以公众评判法</w:t>
      </w:r>
      <w:r>
        <w:rPr>
          <w:rFonts w:hint="eastAsia"/>
          <w:color w:val="000000" w:themeColor="text1"/>
          <w:sz w:val="32"/>
          <w:szCs w:val="32"/>
          <w:lang w:eastAsia="zh-CN"/>
          <w14:textFill>
            <w14:solidFill>
              <w14:schemeClr w14:val="tx1"/>
            </w14:solidFill>
          </w14:textFill>
        </w:rPr>
        <w:t>是本次绩效评价的基本方法</w:t>
      </w:r>
      <w:r>
        <w:rPr>
          <w:rFonts w:hint="eastAsia" w:eastAsia="仿宋_GB2312"/>
          <w:color w:val="000000" w:themeColor="text1"/>
          <w:sz w:val="32"/>
          <w:szCs w:val="32"/>
          <w14:textFill>
            <w14:solidFill>
              <w14:schemeClr w14:val="tx1"/>
            </w14:solidFill>
          </w14:textFill>
        </w:rPr>
        <w:t>。</w:t>
      </w:r>
    </w:p>
    <w:p w14:paraId="7C84D714">
      <w:pPr>
        <w:keepNext w:val="0"/>
        <w:keepLines w:val="0"/>
        <w:pageBreakBefore w:val="0"/>
        <w:widowControl w:val="0"/>
        <w:suppressLineNumbers w:val="0"/>
        <w:kinsoku/>
        <w:wordWrap/>
        <w:overflowPunct/>
        <w:topLinePunct w:val="0"/>
        <w:autoSpaceDE w:val="0"/>
        <w:autoSpaceDN w:val="0"/>
        <w:bidi w:val="0"/>
        <w:adjustRightInd/>
        <w:snapToGrid/>
        <w:ind w:left="0" w:leftChars="0" w:firstLine="640" w:firstLineChars="200"/>
        <w:jc w:val="left"/>
        <w:textAlignment w:val="auto"/>
        <w:rPr>
          <w:rFonts w:hint="eastAsia" w:eastAsia="仿宋_GB2312"/>
          <w:sz w:val="32"/>
          <w:szCs w:val="32"/>
          <w:lang w:val="en-US"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eastAsia="仿宋_GB2312"/>
          <w:color w:val="auto"/>
          <w:sz w:val="32"/>
          <w:szCs w:val="32"/>
        </w:rPr>
        <w:t>公众评判法：</w:t>
      </w:r>
      <w:r>
        <w:rPr>
          <w:rFonts w:ascii="仿宋_GB2312" w:hAnsi="仿宋_GB2312" w:eastAsia="仿宋_GB2312" w:cs="仿宋_GB2312"/>
          <w:color w:val="auto"/>
          <w:kern w:val="0"/>
          <w:sz w:val="32"/>
          <w:szCs w:val="32"/>
        </w:rPr>
        <w:t>是通过专家评估、公众问卷及抽样调查等方式进行评判的方法</w:t>
      </w:r>
      <w:r>
        <w:rPr>
          <w:rFonts w:hint="eastAsia" w:ascii="仿宋_GB2312" w:hAnsi="仿宋_GB2312" w:eastAsia="仿宋_GB2312" w:cs="仿宋_GB2312"/>
          <w:color w:val="auto"/>
          <w:kern w:val="0"/>
          <w:sz w:val="32"/>
          <w:szCs w:val="32"/>
          <w:lang w:eastAsia="zh-CN"/>
        </w:rPr>
        <w:t>，本项目将对受益</w:t>
      </w:r>
      <w:r>
        <w:rPr>
          <w:rFonts w:hint="eastAsia" w:cs="仿宋_GB2312"/>
          <w:color w:val="auto"/>
          <w:kern w:val="0"/>
          <w:sz w:val="32"/>
          <w:szCs w:val="32"/>
          <w:lang w:eastAsia="zh-CN"/>
        </w:rPr>
        <w:t>人员或</w:t>
      </w:r>
      <w:r>
        <w:rPr>
          <w:rFonts w:hint="eastAsia" w:ascii="仿宋_GB2312" w:hAnsi="仿宋_GB2312" w:eastAsia="仿宋_GB2312" w:cs="仿宋_GB2312"/>
          <w:color w:val="auto"/>
          <w:kern w:val="0"/>
          <w:sz w:val="32"/>
          <w:szCs w:val="32"/>
          <w:lang w:eastAsia="zh-CN"/>
        </w:rPr>
        <w:t>企业展开抽样调查</w:t>
      </w:r>
      <w:r>
        <w:rPr>
          <w:rFonts w:hint="eastAsia" w:ascii="仿宋_GB2312" w:eastAsia="仿宋_GB2312"/>
          <w:color w:val="auto"/>
          <w:sz w:val="32"/>
          <w:szCs w:val="32"/>
          <w:lang w:val="zh-CN"/>
        </w:rPr>
        <w:t>。</w:t>
      </w:r>
      <w:r>
        <w:rPr>
          <w:rFonts w:hint="eastAsia"/>
          <w:color w:val="auto"/>
          <w:sz w:val="32"/>
          <w:szCs w:val="32"/>
          <w:lang w:val="zh-CN"/>
        </w:rPr>
        <w:t>受益人员或企业是本项目的直接受益对象，</w:t>
      </w:r>
      <w:r>
        <w:rPr>
          <w:rFonts w:hint="eastAsia"/>
          <w:color w:val="auto"/>
          <w:sz w:val="32"/>
          <w:szCs w:val="32"/>
          <w:lang w:val="en-US" w:eastAsia="zh-CN"/>
        </w:rPr>
        <w:t>他们的意见或建议是评价工作的重要参考</w:t>
      </w:r>
      <w:r>
        <w:rPr>
          <w:rFonts w:hint="eastAsia"/>
          <w:color w:val="auto"/>
          <w:sz w:val="32"/>
          <w:szCs w:val="32"/>
          <w:lang w:val="zh-CN"/>
        </w:rPr>
        <w:t>。</w:t>
      </w:r>
      <w:r>
        <w:rPr>
          <w:rFonts w:hint="eastAsia" w:ascii="仿宋_GB2312" w:eastAsia="仿宋_GB2312"/>
          <w:color w:val="auto"/>
          <w:sz w:val="32"/>
          <w:szCs w:val="32"/>
          <w:lang w:val="zh-CN"/>
        </w:rPr>
        <w:t>因此，将受益</w:t>
      </w:r>
      <w:r>
        <w:rPr>
          <w:rFonts w:hint="eastAsia"/>
          <w:color w:val="auto"/>
          <w:sz w:val="32"/>
          <w:szCs w:val="32"/>
          <w:lang w:val="zh-CN"/>
        </w:rPr>
        <w:t>人员或</w:t>
      </w:r>
      <w:r>
        <w:rPr>
          <w:rFonts w:hint="eastAsia" w:ascii="仿宋_GB2312" w:eastAsia="仿宋_GB2312"/>
          <w:color w:val="auto"/>
          <w:sz w:val="32"/>
          <w:szCs w:val="32"/>
          <w:lang w:val="zh-CN"/>
        </w:rPr>
        <w:t>企业的</w:t>
      </w:r>
      <w:r>
        <w:rPr>
          <w:rFonts w:hint="eastAsia"/>
          <w:color w:val="auto"/>
          <w:sz w:val="32"/>
          <w:szCs w:val="32"/>
          <w:lang w:val="zh-CN"/>
        </w:rPr>
        <w:t>意见</w:t>
      </w:r>
      <w:r>
        <w:rPr>
          <w:rFonts w:hint="eastAsia" w:ascii="仿宋_GB2312" w:eastAsia="仿宋_GB2312"/>
          <w:color w:val="auto"/>
          <w:sz w:val="32"/>
          <w:szCs w:val="32"/>
          <w:lang w:val="zh-CN"/>
        </w:rPr>
        <w:t>作为一项重要指标进行考察。</w:t>
      </w:r>
    </w:p>
    <w:p w14:paraId="56FB1E04">
      <w:pPr>
        <w:keepNext w:val="0"/>
        <w:keepLines w:val="0"/>
        <w:pageBreakBefore w:val="0"/>
        <w:widowControl w:val="0"/>
        <w:kinsoku/>
        <w:wordWrap/>
        <w:overflowPunct/>
        <w:topLinePunct w:val="0"/>
        <w:autoSpaceDE w:val="0"/>
        <w:autoSpaceDN w:val="0"/>
        <w:bidi w:val="0"/>
        <w:adjustRightInd/>
        <w:snapToGrid/>
        <w:ind w:firstLine="640"/>
        <w:jc w:val="both"/>
        <w:textAlignment w:val="auto"/>
        <w:rPr>
          <w:rFonts w:hint="eastAsia" w:eastAsia="仿宋_GB2312"/>
          <w:sz w:val="32"/>
          <w:szCs w:val="32"/>
          <w:lang w:eastAsia="zh-CN"/>
        </w:rPr>
      </w:pPr>
      <w:r>
        <w:rPr>
          <w:rFonts w:hint="eastAsia" w:eastAsia="仿宋_GB2312"/>
          <w:sz w:val="32"/>
          <w:szCs w:val="32"/>
          <w:lang w:eastAsia="zh-CN"/>
        </w:rPr>
        <w:t>（</w:t>
      </w:r>
      <w:r>
        <w:rPr>
          <w:rFonts w:hint="eastAsia"/>
          <w:sz w:val="32"/>
          <w:szCs w:val="32"/>
          <w:lang w:val="en-US" w:eastAsia="zh-CN"/>
        </w:rPr>
        <w:t>2</w:t>
      </w:r>
      <w:r>
        <w:rPr>
          <w:rFonts w:hint="eastAsia" w:eastAsia="仿宋_GB2312"/>
          <w:sz w:val="32"/>
          <w:szCs w:val="32"/>
          <w:lang w:eastAsia="zh-CN"/>
        </w:rPr>
        <w:t>）比较法：将实施情况与绩效目标、历史情况、不同部门和地区同类支出情况比较的方法。</w:t>
      </w:r>
      <w:r>
        <w:rPr>
          <w:rFonts w:hint="eastAsia"/>
          <w:sz w:val="32"/>
          <w:szCs w:val="32"/>
          <w:lang w:val="en-US" w:eastAsia="zh-CN"/>
        </w:rPr>
        <w:t>将实际完成情况与年初绩效目标进行比较分析是评价的基本方法，</w:t>
      </w:r>
      <w:r>
        <w:rPr>
          <w:rFonts w:hint="eastAsia" w:eastAsia="仿宋_GB2312"/>
          <w:sz w:val="32"/>
          <w:szCs w:val="32"/>
          <w:lang w:eastAsia="zh-CN"/>
        </w:rPr>
        <w:t>本项目将较多地使用比较法。</w:t>
      </w:r>
    </w:p>
    <w:p w14:paraId="64CCD356">
      <w:pPr>
        <w:pStyle w:val="4"/>
        <w:bidi w:val="0"/>
      </w:pPr>
      <w:bookmarkStart w:id="349" w:name="_Toc23837"/>
      <w:bookmarkStart w:id="350" w:name="_Toc31863"/>
      <w:bookmarkStart w:id="351" w:name="_Toc12406"/>
      <w:bookmarkStart w:id="352" w:name="_Toc2656"/>
      <w:bookmarkStart w:id="353" w:name="_Toc16687"/>
      <w:bookmarkStart w:id="354" w:name="_Toc9513"/>
      <w:bookmarkStart w:id="355" w:name="_Toc25424"/>
      <w:bookmarkStart w:id="356" w:name="_Toc19975"/>
      <w:bookmarkStart w:id="357" w:name="_Toc31022"/>
      <w:bookmarkStart w:id="358" w:name="_Toc9645"/>
      <w:bookmarkStart w:id="359" w:name="_Toc80"/>
      <w:bookmarkStart w:id="360" w:name="_Toc28429"/>
      <w:bookmarkStart w:id="361" w:name="_Toc28922"/>
      <w:bookmarkStart w:id="362" w:name="_Toc24674"/>
      <w:bookmarkStart w:id="363" w:name="_Toc15792"/>
      <w:r>
        <w:rPr>
          <w:rFonts w:hint="eastAsia"/>
        </w:rPr>
        <w:t>（五）绩效评价指标体系</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31B350F">
      <w:pPr>
        <w:pStyle w:val="5"/>
        <w:bidi w:val="0"/>
        <w:rPr>
          <w:lang w:val="en-US"/>
        </w:rPr>
      </w:pPr>
      <w:bookmarkStart w:id="364" w:name="_Toc13754"/>
      <w:r>
        <w:rPr>
          <w:rFonts w:hint="eastAsia"/>
          <w:lang w:val="en-US"/>
        </w:rPr>
        <w:t>1.评价指标</w:t>
      </w:r>
      <w:bookmarkEnd w:id="364"/>
    </w:p>
    <w:p w14:paraId="15ECF3F2">
      <w:pPr>
        <w:keepNext w:val="0"/>
        <w:keepLines w:val="0"/>
        <w:pageBreakBefore w:val="0"/>
        <w:kinsoku/>
        <w:wordWrap/>
        <w:overflowPunct/>
        <w:topLinePunct w:val="0"/>
        <w:autoSpaceDE w:val="0"/>
        <w:autoSpaceDN w:val="0"/>
        <w:bidi w:val="0"/>
        <w:adjustRightInd/>
        <w:snapToGrid/>
        <w:ind w:firstLine="640"/>
        <w:jc w:val="both"/>
        <w:textAlignment w:val="auto"/>
        <w:rPr>
          <w:rFonts w:hint="eastAsia" w:ascii="仿宋_GB2312" w:eastAsia="仿宋_GB2312"/>
          <w:sz w:val="32"/>
          <w:szCs w:val="32"/>
          <w:lang w:val="zh-CN"/>
        </w:rPr>
      </w:pPr>
      <w:r>
        <w:rPr>
          <w:rFonts w:hint="eastAsia" w:ascii="仿宋_GB2312" w:eastAsia="仿宋_GB2312"/>
          <w:sz w:val="32"/>
          <w:szCs w:val="32"/>
          <w:lang w:val="zh-CN"/>
        </w:rPr>
        <w:t>评价工作组严格按照《山东省省级项目支出绩效财政评价和部门评价工作规程》并结合实际情况，基于绩效指标的相关性、重要性、可比性和系统性原则，以决策—过程—产出—效益的逻辑顺序设置指标体系。在这四大板块之下进行全方位梳理，设置相应的二级指标和三级指标，并对每一个指标进行详细的说明，保证清晰、准确、简便、易操作。</w:t>
      </w:r>
    </w:p>
    <w:p w14:paraId="44ADBF62">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eastAsia="仿宋_GB2312"/>
          <w:sz w:val="32"/>
          <w:szCs w:val="32"/>
          <w:lang w:eastAsia="zh-CN"/>
        </w:rPr>
      </w:pPr>
      <w:r>
        <w:rPr>
          <w:rFonts w:hint="eastAsia" w:eastAsia="仿宋_GB2312"/>
          <w:sz w:val="32"/>
          <w:szCs w:val="32"/>
          <w:lang w:eastAsia="zh-CN"/>
        </w:rPr>
        <w:t>决策方面主要考察项目立项的充分性、规范性，绩效目标的合理性、明确性，以及资金投入的合理性。过程方面，主要考察资金的管理和组织实施，其中，资金管理占较大比重，体现以资金为主线的要求。</w:t>
      </w:r>
    </w:p>
    <w:p w14:paraId="4C0391A4">
      <w:pPr>
        <w:keepNext w:val="0"/>
        <w:keepLines w:val="0"/>
        <w:pageBreakBefore w:val="0"/>
        <w:kinsoku/>
        <w:wordWrap/>
        <w:overflowPunct/>
        <w:topLinePunct w:val="0"/>
        <w:autoSpaceDE w:val="0"/>
        <w:autoSpaceDN w:val="0"/>
        <w:bidi w:val="0"/>
        <w:adjustRightInd/>
        <w:snapToGrid/>
        <w:ind w:firstLine="640"/>
        <w:jc w:val="both"/>
        <w:textAlignment w:val="auto"/>
        <w:rPr>
          <w:rFonts w:hint="eastAsia" w:ascii="仿宋_GB2312" w:eastAsia="仿宋_GB2312"/>
          <w:sz w:val="32"/>
          <w:szCs w:val="32"/>
          <w:lang w:val="zh-CN"/>
        </w:rPr>
      </w:pPr>
      <w:r>
        <w:rPr>
          <w:rFonts w:hint="eastAsia" w:ascii="仿宋_GB2312" w:eastAsia="仿宋_GB2312"/>
          <w:sz w:val="32"/>
          <w:szCs w:val="32"/>
          <w:lang w:val="en-US" w:eastAsia="zh-CN"/>
        </w:rPr>
        <w:t>根据</w:t>
      </w:r>
      <w:r>
        <w:rPr>
          <w:rFonts w:hint="eastAsia"/>
          <w:sz w:val="32"/>
          <w:szCs w:val="32"/>
          <w:lang w:val="en-US" w:eastAsia="zh-CN"/>
        </w:rPr>
        <w:t>补贴类</w:t>
      </w:r>
      <w:r>
        <w:rPr>
          <w:rFonts w:hint="eastAsia"/>
          <w:sz w:val="32"/>
          <w:szCs w:val="32"/>
          <w:lang w:val="zh-CN"/>
        </w:rPr>
        <w:t>项目的</w:t>
      </w:r>
      <w:r>
        <w:rPr>
          <w:rFonts w:hint="eastAsia" w:ascii="仿宋_GB2312" w:eastAsia="仿宋_GB2312"/>
          <w:sz w:val="32"/>
          <w:szCs w:val="32"/>
          <w:lang w:val="zh-CN"/>
        </w:rPr>
        <w:t>特点，本次绩效评价的产出和效益方面将挑选以下核心指标进行分析。</w:t>
      </w:r>
    </w:p>
    <w:p w14:paraId="251B678F">
      <w:pPr>
        <w:keepNext w:val="0"/>
        <w:keepLines w:val="0"/>
        <w:pageBreakBefore w:val="0"/>
        <w:kinsoku/>
        <w:wordWrap/>
        <w:overflowPunct/>
        <w:topLinePunct w:val="0"/>
        <w:autoSpaceDE w:val="0"/>
        <w:autoSpaceDN w:val="0"/>
        <w:bidi w:val="0"/>
        <w:adjustRightInd/>
        <w:snapToGrid/>
        <w:ind w:firstLine="640"/>
        <w:jc w:val="both"/>
        <w:textAlignment w:val="auto"/>
        <w:rPr>
          <w:rFonts w:hint="eastAsia" w:ascii="仿宋_GB2312" w:eastAsia="仿宋_GB2312"/>
          <w:sz w:val="32"/>
          <w:szCs w:val="32"/>
          <w:lang w:val="en-US" w:eastAsia="zh-CN"/>
        </w:rPr>
      </w:pPr>
      <w:r>
        <w:rPr>
          <w:rFonts w:hint="eastAsia"/>
          <w:sz w:val="32"/>
          <w:szCs w:val="32"/>
          <w:lang w:val="zh-CN"/>
        </w:rPr>
        <w:t>产出方面，</w:t>
      </w:r>
      <w:r>
        <w:rPr>
          <w:rFonts w:hint="eastAsia"/>
          <w:sz w:val="32"/>
          <w:szCs w:val="32"/>
          <w:lang w:val="en-US" w:eastAsia="zh-CN"/>
        </w:rPr>
        <w:t>补贴项目实施</w:t>
      </w:r>
      <w:r>
        <w:rPr>
          <w:rFonts w:hint="eastAsia"/>
          <w:sz w:val="32"/>
          <w:szCs w:val="32"/>
          <w:lang w:val="zh-CN"/>
        </w:rPr>
        <w:t>数量</w:t>
      </w:r>
      <w:r>
        <w:rPr>
          <w:rFonts w:hint="eastAsia" w:ascii="仿宋_GB2312" w:eastAsia="仿宋_GB2312"/>
          <w:sz w:val="32"/>
          <w:szCs w:val="32"/>
          <w:lang w:val="zh-CN"/>
        </w:rPr>
        <w:t>主要考察</w:t>
      </w:r>
      <w:r>
        <w:rPr>
          <w:rFonts w:hint="eastAsia"/>
          <w:sz w:val="32"/>
          <w:szCs w:val="32"/>
          <w:lang w:val="en-US" w:eastAsia="zh-CN"/>
        </w:rPr>
        <w:t>2022年是否实际开展了所有的补贴项目</w:t>
      </w:r>
      <w:r>
        <w:rPr>
          <w:rFonts w:hint="eastAsia" w:ascii="仿宋_GB2312" w:eastAsia="仿宋_GB2312"/>
          <w:sz w:val="32"/>
          <w:szCs w:val="32"/>
          <w:lang w:val="zh-CN"/>
        </w:rPr>
        <w:t>。</w:t>
      </w:r>
      <w:r>
        <w:rPr>
          <w:rFonts w:hint="eastAsia"/>
          <w:sz w:val="32"/>
          <w:szCs w:val="32"/>
          <w:lang w:val="en-US" w:eastAsia="zh-CN"/>
        </w:rPr>
        <w:t>补贴审核准确率和及时性考察部门对于申请资料的审核工作情况。成本节约率考察实际支出是否控制在预算范围内。</w:t>
      </w:r>
    </w:p>
    <w:p w14:paraId="29AB84F0">
      <w:pPr>
        <w:keepNext w:val="0"/>
        <w:keepLines w:val="0"/>
        <w:pageBreakBefore w:val="0"/>
        <w:widowControl w:val="0"/>
        <w:kinsoku/>
        <w:wordWrap/>
        <w:overflowPunct/>
        <w:topLinePunct w:val="0"/>
        <w:autoSpaceDE w:val="0"/>
        <w:autoSpaceDN w:val="0"/>
        <w:bidi w:val="0"/>
        <w:adjustRightInd/>
        <w:snapToGrid/>
        <w:ind w:firstLine="640"/>
        <w:jc w:val="both"/>
        <w:textAlignment w:val="auto"/>
        <w:rPr>
          <w:rFonts w:hint="default" w:ascii="仿宋_GB2312" w:eastAsia="仿宋_GB2312"/>
          <w:sz w:val="32"/>
          <w:szCs w:val="32"/>
          <w:lang w:val="en-US"/>
        </w:rPr>
      </w:pPr>
      <w:r>
        <w:rPr>
          <w:rFonts w:hint="eastAsia"/>
          <w:sz w:val="32"/>
          <w:szCs w:val="32"/>
          <w:lang w:val="en-US" w:eastAsia="zh-CN"/>
        </w:rPr>
        <w:t>效益方面，政策享受人群规模合理性和补贴企业（个体户）正常运转率，考察各项补贴政策实际引才的情况。档案资料完整性和补贴审核机制健全性考察审核工作的可持续性。</w:t>
      </w:r>
    </w:p>
    <w:p w14:paraId="65ECBE9D">
      <w:pPr>
        <w:pStyle w:val="5"/>
        <w:bidi w:val="0"/>
        <w:rPr>
          <w:lang w:val="en-US"/>
        </w:rPr>
      </w:pPr>
      <w:bookmarkStart w:id="365" w:name="_Toc28073"/>
      <w:r>
        <w:rPr>
          <w:rFonts w:hint="eastAsia"/>
          <w:lang w:val="en-US"/>
        </w:rPr>
        <w:t>2.指标解释</w:t>
      </w:r>
      <w:bookmarkEnd w:id="365"/>
    </w:p>
    <w:p w14:paraId="2E70267A">
      <w:pPr>
        <w:pStyle w:val="9"/>
        <w:overflowPunct w:val="0"/>
        <w:spacing w:line="600" w:lineRule="exact"/>
        <w:ind w:firstLine="640" w:firstLineChars="200"/>
        <w:jc w:val="both"/>
        <w:rPr>
          <w:highlight w:val="none"/>
        </w:rPr>
      </w:pPr>
      <w:r>
        <w:rPr>
          <w:rFonts w:hint="eastAsia"/>
          <w:highlight w:val="none"/>
          <w:lang w:val="en-US"/>
        </w:rPr>
        <w:t>根据项目对指标进行定义、让评价者和被评价者都能明确本项指标评价的含义，包含的内容主要有一些说明和计算公式。</w:t>
      </w:r>
    </w:p>
    <w:p w14:paraId="28F43272">
      <w:pPr>
        <w:pStyle w:val="5"/>
        <w:bidi w:val="0"/>
        <w:rPr>
          <w:lang w:val="en-US"/>
        </w:rPr>
      </w:pPr>
      <w:bookmarkStart w:id="366" w:name="_Toc6355"/>
      <w:r>
        <w:rPr>
          <w:rFonts w:hint="eastAsia"/>
          <w:lang w:val="en-US"/>
        </w:rPr>
        <w:t>3.评分标准</w:t>
      </w:r>
      <w:bookmarkEnd w:id="366"/>
    </w:p>
    <w:p w14:paraId="307A3162">
      <w:pPr>
        <w:pStyle w:val="9"/>
        <w:overflowPunct w:val="0"/>
        <w:spacing w:line="600" w:lineRule="exact"/>
        <w:ind w:firstLine="640" w:firstLineChars="200"/>
        <w:jc w:val="both"/>
        <w:rPr>
          <w:highlight w:val="none"/>
        </w:rPr>
      </w:pPr>
      <w:r>
        <w:rPr>
          <w:rFonts w:hint="eastAsia"/>
          <w:highlight w:val="none"/>
        </w:rPr>
        <w:t>本项目根据项目特点以及政策法规、行业标准</w:t>
      </w:r>
      <w:r>
        <w:rPr>
          <w:rFonts w:hint="eastAsia"/>
          <w:highlight w:val="none"/>
          <w:lang w:eastAsia="zh-CN"/>
        </w:rPr>
        <w:t>、历史标准</w:t>
      </w:r>
      <w:r>
        <w:rPr>
          <w:rFonts w:hint="eastAsia"/>
          <w:highlight w:val="none"/>
        </w:rPr>
        <w:t>设置各项指标的评分标准以及指标标准值。评分标准的设定做到量化、可操作。</w:t>
      </w:r>
    </w:p>
    <w:p w14:paraId="7798CB8E">
      <w:pPr>
        <w:pStyle w:val="5"/>
        <w:bidi w:val="0"/>
        <w:rPr>
          <w:lang w:val="en-US"/>
        </w:rPr>
      </w:pPr>
      <w:bookmarkStart w:id="367" w:name="_Toc2915"/>
      <w:r>
        <w:rPr>
          <w:rFonts w:hint="eastAsia"/>
          <w:lang w:val="en-US"/>
        </w:rPr>
        <w:t>4.绩效指标权重</w:t>
      </w:r>
      <w:bookmarkEnd w:id="367"/>
    </w:p>
    <w:p w14:paraId="53C0653C">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eastAsia="仿宋_GB2312"/>
          <w:sz w:val="32"/>
          <w:szCs w:val="32"/>
        </w:rPr>
      </w:pPr>
      <w:r>
        <w:rPr>
          <w:rFonts w:hint="eastAsia" w:eastAsia="仿宋_GB2312"/>
          <w:sz w:val="32"/>
          <w:szCs w:val="32"/>
        </w:rPr>
        <w:t>本次绩效评价指标</w:t>
      </w:r>
      <w:r>
        <w:rPr>
          <w:rFonts w:hint="eastAsia"/>
          <w:sz w:val="32"/>
          <w:szCs w:val="32"/>
          <w:lang w:eastAsia="zh-CN"/>
        </w:rPr>
        <w:t>的</w:t>
      </w:r>
      <w:r>
        <w:rPr>
          <w:rFonts w:hint="eastAsia" w:eastAsia="仿宋_GB2312"/>
          <w:sz w:val="32"/>
          <w:szCs w:val="32"/>
        </w:rPr>
        <w:t>权重根据各项指标的重要性确定。</w:t>
      </w:r>
      <w:r>
        <w:rPr>
          <w:rFonts w:hint="eastAsia" w:eastAsia="仿宋_GB2312"/>
          <w:sz w:val="32"/>
          <w:szCs w:val="32"/>
          <w:lang w:eastAsia="zh-CN"/>
        </w:rPr>
        <w:t>根据</w:t>
      </w:r>
      <w:r>
        <w:rPr>
          <w:rFonts w:hint="eastAsia" w:eastAsia="仿宋_GB2312"/>
          <w:sz w:val="32"/>
          <w:szCs w:val="32"/>
        </w:rPr>
        <w:t>《山东省省级项目支出绩效财政评价和部门评价工作规程》</w:t>
      </w:r>
      <w:r>
        <w:rPr>
          <w:rFonts w:hint="eastAsia" w:eastAsia="仿宋_GB2312"/>
          <w:sz w:val="32"/>
          <w:szCs w:val="32"/>
          <w:lang w:eastAsia="zh-CN"/>
        </w:rPr>
        <w:t>，为</w:t>
      </w:r>
      <w:r>
        <w:rPr>
          <w:rFonts w:ascii="仿宋_GB2312" w:hAnsi="宋体" w:eastAsia="仿宋_GB2312" w:cs="仿宋_GB2312"/>
          <w:color w:val="000000"/>
          <w:kern w:val="0"/>
          <w:sz w:val="32"/>
          <w:szCs w:val="32"/>
          <w:lang w:val="en-US" w:eastAsia="zh-CN" w:bidi="ar"/>
        </w:rPr>
        <w:t>突出结果导向，原则上产出、</w:t>
      </w:r>
      <w:r>
        <w:rPr>
          <w:rFonts w:hint="eastAsia" w:ascii="仿宋_GB2312" w:hAnsi="宋体" w:eastAsia="仿宋_GB2312" w:cs="仿宋_GB2312"/>
          <w:color w:val="000000"/>
          <w:kern w:val="0"/>
          <w:sz w:val="32"/>
          <w:szCs w:val="32"/>
          <w:lang w:val="en-US" w:eastAsia="zh-CN" w:bidi="ar"/>
        </w:rPr>
        <w:t>效益指标权重不低于60%</w:t>
      </w:r>
      <w:r>
        <w:rPr>
          <w:rFonts w:hint="eastAsia" w:eastAsia="仿宋_GB2312"/>
          <w:sz w:val="32"/>
          <w:szCs w:val="32"/>
          <w:lang w:eastAsia="zh-CN"/>
        </w:rPr>
        <w:t>，</w:t>
      </w:r>
      <w:r>
        <w:rPr>
          <w:rFonts w:ascii="仿宋_GB2312" w:hAnsi="宋体" w:eastAsia="仿宋_GB2312" w:cs="仿宋_GB2312"/>
          <w:color w:val="000000"/>
          <w:kern w:val="0"/>
          <w:sz w:val="32"/>
          <w:szCs w:val="32"/>
          <w:lang w:val="en-US" w:eastAsia="zh-CN" w:bidi="ar"/>
        </w:rPr>
        <w:t>同一评价对象处于不同实施阶段，指</w:t>
      </w:r>
      <w:r>
        <w:rPr>
          <w:rFonts w:hint="eastAsia" w:ascii="仿宋_GB2312" w:hAnsi="宋体" w:eastAsia="仿宋_GB2312" w:cs="仿宋_GB2312"/>
          <w:color w:val="000000"/>
          <w:kern w:val="0"/>
          <w:sz w:val="32"/>
          <w:szCs w:val="32"/>
          <w:lang w:val="en-US" w:eastAsia="zh-CN" w:bidi="ar"/>
        </w:rPr>
        <w:t>标权重应体现差异性。其中，实施期间的评价应更加注重决策、过程和产出；实施期结束后的评价应更加注重产出和效益。因此，</w:t>
      </w:r>
      <w:r>
        <w:rPr>
          <w:rFonts w:hint="eastAsia" w:eastAsia="仿宋_GB2312"/>
          <w:sz w:val="32"/>
          <w:szCs w:val="32"/>
        </w:rPr>
        <w:t>本项目指标体系框架</w:t>
      </w:r>
      <w:r>
        <w:rPr>
          <w:rFonts w:hint="eastAsia" w:eastAsia="仿宋_GB2312"/>
          <w:sz w:val="32"/>
          <w:szCs w:val="32"/>
          <w:lang w:eastAsia="zh-CN"/>
        </w:rPr>
        <w:t>设置</w:t>
      </w:r>
      <w:r>
        <w:rPr>
          <w:rFonts w:hint="eastAsia" w:eastAsia="仿宋_GB2312"/>
          <w:sz w:val="32"/>
          <w:szCs w:val="32"/>
        </w:rPr>
        <w:t>决策、过程、产出、效益4个</w:t>
      </w:r>
      <w:r>
        <w:rPr>
          <w:rFonts w:hint="eastAsia" w:eastAsia="仿宋_GB2312"/>
          <w:sz w:val="32"/>
          <w:szCs w:val="32"/>
          <w:lang w:eastAsia="zh-CN"/>
        </w:rPr>
        <w:t>一级</w:t>
      </w:r>
      <w:r>
        <w:rPr>
          <w:rFonts w:hint="eastAsia" w:eastAsia="仿宋_GB2312"/>
          <w:sz w:val="32"/>
          <w:szCs w:val="32"/>
        </w:rPr>
        <w:t>指标</w:t>
      </w:r>
      <w:r>
        <w:rPr>
          <w:rFonts w:hint="eastAsia" w:eastAsia="仿宋_GB2312"/>
          <w:sz w:val="32"/>
          <w:szCs w:val="32"/>
          <w:lang w:eastAsia="zh-CN"/>
        </w:rPr>
        <w:t>，分别占比</w:t>
      </w:r>
      <w:r>
        <w:rPr>
          <w:rFonts w:hint="eastAsia" w:eastAsia="仿宋_GB2312"/>
          <w:sz w:val="32"/>
          <w:szCs w:val="32"/>
          <w:lang w:val="en-US" w:eastAsia="zh-CN"/>
        </w:rPr>
        <w:t>2</w:t>
      </w:r>
      <w:r>
        <w:rPr>
          <w:rFonts w:hint="eastAsia"/>
          <w:sz w:val="32"/>
          <w:szCs w:val="32"/>
          <w:lang w:val="en-US" w:eastAsia="zh-CN"/>
        </w:rPr>
        <w:t>0</w:t>
      </w:r>
      <w:r>
        <w:rPr>
          <w:rFonts w:hint="eastAsia" w:eastAsia="仿宋_GB2312"/>
          <w:sz w:val="32"/>
          <w:szCs w:val="32"/>
          <w:lang w:val="en-US" w:eastAsia="zh-CN"/>
        </w:rPr>
        <w:t>%、</w:t>
      </w:r>
      <w:r>
        <w:rPr>
          <w:rFonts w:hint="eastAsia"/>
          <w:sz w:val="32"/>
          <w:szCs w:val="32"/>
          <w:lang w:val="en-US" w:eastAsia="zh-CN"/>
        </w:rPr>
        <w:t>20</w:t>
      </w:r>
      <w:r>
        <w:rPr>
          <w:rFonts w:hint="eastAsia" w:eastAsia="仿宋_GB2312"/>
          <w:sz w:val="32"/>
          <w:szCs w:val="32"/>
          <w:lang w:val="en-US" w:eastAsia="zh-CN"/>
        </w:rPr>
        <w:t>%、3</w:t>
      </w:r>
      <w:r>
        <w:rPr>
          <w:rFonts w:hint="eastAsia"/>
          <w:sz w:val="32"/>
          <w:szCs w:val="32"/>
          <w:lang w:val="en-US" w:eastAsia="zh-CN"/>
        </w:rPr>
        <w:t>0</w:t>
      </w:r>
      <w:r>
        <w:rPr>
          <w:rFonts w:hint="eastAsia" w:eastAsia="仿宋_GB2312"/>
          <w:sz w:val="32"/>
          <w:szCs w:val="32"/>
          <w:lang w:val="en-US" w:eastAsia="zh-CN"/>
        </w:rPr>
        <w:t>%、</w:t>
      </w:r>
      <w:r>
        <w:rPr>
          <w:rFonts w:hint="eastAsia"/>
          <w:sz w:val="32"/>
          <w:szCs w:val="32"/>
          <w:lang w:val="en-US" w:eastAsia="zh-CN"/>
        </w:rPr>
        <w:t>3</w:t>
      </w:r>
      <w:r>
        <w:rPr>
          <w:rFonts w:hint="eastAsia" w:eastAsia="仿宋_GB2312"/>
          <w:sz w:val="32"/>
          <w:szCs w:val="32"/>
          <w:lang w:val="en-US" w:eastAsia="zh-CN"/>
        </w:rPr>
        <w:t>0%</w:t>
      </w:r>
      <w:r>
        <w:rPr>
          <w:rFonts w:hint="eastAsia" w:eastAsia="仿宋_GB2312"/>
          <w:sz w:val="32"/>
          <w:szCs w:val="32"/>
        </w:rPr>
        <w:t>。</w:t>
      </w:r>
    </w:p>
    <w:p w14:paraId="6AD95654">
      <w:pPr>
        <w:keepNext w:val="0"/>
        <w:keepLines w:val="0"/>
        <w:pageBreakBefore w:val="0"/>
        <w:widowControl/>
        <w:kinsoku/>
        <w:wordWrap/>
        <w:overflowPunct/>
        <w:topLinePunct w:val="0"/>
        <w:autoSpaceDE w:val="0"/>
        <w:autoSpaceDN w:val="0"/>
        <w:bidi w:val="0"/>
        <w:adjustRightInd w:val="0"/>
        <w:snapToGrid w:val="0"/>
        <w:ind w:firstLine="640"/>
        <w:jc w:val="both"/>
        <w:textAlignment w:val="auto"/>
        <w:rPr>
          <w:rFonts w:eastAsia="仿宋_GB2312"/>
          <w:sz w:val="32"/>
          <w:szCs w:val="32"/>
        </w:rPr>
      </w:pPr>
      <w:r>
        <w:rPr>
          <w:rFonts w:hint="eastAsia" w:eastAsia="仿宋_GB2312"/>
          <w:sz w:val="32"/>
          <w:szCs w:val="32"/>
        </w:rPr>
        <w:t>决策指标权重20%</w:t>
      </w:r>
      <w:r>
        <w:rPr>
          <w:rFonts w:hint="eastAsia"/>
          <w:sz w:val="32"/>
          <w:szCs w:val="32"/>
          <w:lang w:eastAsia="zh-CN"/>
        </w:rPr>
        <w:t>。</w:t>
      </w:r>
      <w:r>
        <w:rPr>
          <w:rFonts w:hint="eastAsia" w:eastAsia="仿宋_GB2312"/>
          <w:sz w:val="32"/>
          <w:szCs w:val="32"/>
        </w:rPr>
        <w:t>决策主要考察</w:t>
      </w:r>
      <w:r>
        <w:rPr>
          <w:rFonts w:hint="eastAsia" w:eastAsia="仿宋_GB2312"/>
          <w:sz w:val="32"/>
          <w:szCs w:val="32"/>
          <w:lang w:val="zh-CN"/>
        </w:rPr>
        <w:t>项目立项、绩效目标、资金投入</w:t>
      </w:r>
      <w:r>
        <w:rPr>
          <w:rFonts w:hint="eastAsia" w:eastAsia="仿宋_GB2312"/>
          <w:sz w:val="32"/>
          <w:szCs w:val="32"/>
        </w:rPr>
        <w:t>情况，指标设置权重占比20%。</w:t>
      </w:r>
    </w:p>
    <w:p w14:paraId="1703CC06">
      <w:pPr>
        <w:keepNext w:val="0"/>
        <w:keepLines w:val="0"/>
        <w:pageBreakBefore w:val="0"/>
        <w:widowControl/>
        <w:kinsoku/>
        <w:wordWrap/>
        <w:overflowPunct/>
        <w:topLinePunct w:val="0"/>
        <w:autoSpaceDE w:val="0"/>
        <w:autoSpaceDN w:val="0"/>
        <w:bidi w:val="0"/>
        <w:adjustRightInd w:val="0"/>
        <w:snapToGrid w:val="0"/>
        <w:ind w:firstLine="640"/>
        <w:jc w:val="both"/>
        <w:textAlignment w:val="auto"/>
        <w:rPr>
          <w:rFonts w:eastAsia="仿宋_GB2312"/>
          <w:sz w:val="32"/>
          <w:szCs w:val="32"/>
        </w:rPr>
      </w:pPr>
      <w:r>
        <w:rPr>
          <w:rFonts w:hint="eastAsia"/>
          <w:sz w:val="32"/>
          <w:szCs w:val="32"/>
          <w:lang w:eastAsia="zh-CN"/>
        </w:rPr>
        <w:t>根据山东省项目评价工作规程，产出和效益应占据较高的比重，过程指标本身不是评价的最重点。因此，</w:t>
      </w:r>
      <w:r>
        <w:rPr>
          <w:rFonts w:hint="eastAsia" w:eastAsia="仿宋_GB2312"/>
          <w:sz w:val="32"/>
          <w:szCs w:val="32"/>
        </w:rPr>
        <w:t>过程指标权重</w:t>
      </w:r>
      <w:r>
        <w:rPr>
          <w:rFonts w:hint="eastAsia"/>
          <w:sz w:val="32"/>
          <w:szCs w:val="32"/>
          <w:lang w:eastAsia="zh-CN"/>
        </w:rPr>
        <w:t>设置为</w:t>
      </w:r>
      <w:r>
        <w:rPr>
          <w:rFonts w:hint="eastAsia"/>
          <w:sz w:val="32"/>
          <w:szCs w:val="32"/>
          <w:lang w:val="en-US" w:eastAsia="zh-CN"/>
        </w:rPr>
        <w:t>20</w:t>
      </w:r>
      <w:r>
        <w:rPr>
          <w:rFonts w:hint="eastAsia" w:eastAsia="仿宋_GB2312"/>
          <w:sz w:val="32"/>
          <w:szCs w:val="32"/>
        </w:rPr>
        <w:t>%</w:t>
      </w:r>
      <w:r>
        <w:rPr>
          <w:rFonts w:hint="eastAsia"/>
          <w:sz w:val="32"/>
          <w:szCs w:val="32"/>
          <w:lang w:eastAsia="zh-CN"/>
        </w:rPr>
        <w:t>。</w:t>
      </w:r>
      <w:r>
        <w:rPr>
          <w:rFonts w:hint="eastAsia" w:eastAsia="仿宋_GB2312"/>
          <w:sz w:val="32"/>
          <w:szCs w:val="32"/>
        </w:rPr>
        <w:t>过程主要考察本项目</w:t>
      </w:r>
      <w:r>
        <w:rPr>
          <w:rFonts w:hint="eastAsia" w:eastAsia="仿宋_GB2312"/>
          <w:sz w:val="32"/>
          <w:szCs w:val="32"/>
          <w:lang w:val="zh-CN"/>
        </w:rPr>
        <w:t>资金管理</w:t>
      </w:r>
      <w:r>
        <w:rPr>
          <w:rFonts w:hint="eastAsia" w:eastAsia="仿宋_GB2312"/>
          <w:sz w:val="32"/>
          <w:szCs w:val="32"/>
        </w:rPr>
        <w:t>情况</w:t>
      </w:r>
      <w:r>
        <w:rPr>
          <w:rFonts w:hint="eastAsia" w:eastAsia="仿宋_GB2312"/>
          <w:sz w:val="32"/>
          <w:szCs w:val="32"/>
          <w:lang w:val="zh-CN"/>
        </w:rPr>
        <w:t>、组织实施</w:t>
      </w:r>
      <w:r>
        <w:rPr>
          <w:rFonts w:hint="eastAsia" w:eastAsia="仿宋_GB2312"/>
          <w:sz w:val="32"/>
          <w:szCs w:val="32"/>
        </w:rPr>
        <w:t>情况。</w:t>
      </w:r>
    </w:p>
    <w:p w14:paraId="2C5D07E8">
      <w:pPr>
        <w:keepNext w:val="0"/>
        <w:keepLines w:val="0"/>
        <w:pageBreakBefore w:val="0"/>
        <w:widowControl/>
        <w:kinsoku/>
        <w:wordWrap/>
        <w:overflowPunct/>
        <w:topLinePunct w:val="0"/>
        <w:autoSpaceDE w:val="0"/>
        <w:autoSpaceDN w:val="0"/>
        <w:bidi w:val="0"/>
        <w:adjustRightInd w:val="0"/>
        <w:snapToGrid w:val="0"/>
        <w:ind w:firstLine="640"/>
        <w:jc w:val="both"/>
        <w:textAlignment w:val="auto"/>
        <w:rPr>
          <w:rFonts w:eastAsia="仿宋_GB2312"/>
          <w:sz w:val="32"/>
          <w:szCs w:val="32"/>
        </w:rPr>
      </w:pPr>
      <w:r>
        <w:rPr>
          <w:rFonts w:hint="eastAsia" w:eastAsia="仿宋_GB2312"/>
          <w:sz w:val="32"/>
          <w:szCs w:val="32"/>
          <w:lang w:eastAsia="zh-CN"/>
        </w:rPr>
        <w:t>根据</w:t>
      </w:r>
      <w:r>
        <w:rPr>
          <w:rFonts w:hint="eastAsia" w:eastAsia="仿宋_GB2312"/>
          <w:sz w:val="32"/>
          <w:szCs w:val="32"/>
        </w:rPr>
        <w:t>《山东省省级项目支出绩效财政评价和部门评价工作规程》</w:t>
      </w:r>
      <w:r>
        <w:rPr>
          <w:rFonts w:hint="eastAsia" w:eastAsia="仿宋_GB2312"/>
          <w:sz w:val="32"/>
          <w:szCs w:val="32"/>
          <w:lang w:eastAsia="zh-CN"/>
        </w:rPr>
        <w:t>，为</w:t>
      </w:r>
      <w:r>
        <w:rPr>
          <w:rFonts w:ascii="仿宋_GB2312" w:hAnsi="宋体" w:eastAsia="仿宋_GB2312" w:cs="仿宋_GB2312"/>
          <w:color w:val="000000"/>
          <w:kern w:val="0"/>
          <w:sz w:val="32"/>
          <w:szCs w:val="32"/>
          <w:lang w:val="en-US" w:eastAsia="zh-CN" w:bidi="ar"/>
        </w:rPr>
        <w:t>突出结果导向，原则上产出、</w:t>
      </w:r>
      <w:r>
        <w:rPr>
          <w:rFonts w:hint="eastAsia" w:ascii="仿宋_GB2312" w:hAnsi="宋体" w:eastAsia="仿宋_GB2312" w:cs="仿宋_GB2312"/>
          <w:color w:val="000000"/>
          <w:kern w:val="0"/>
          <w:sz w:val="32"/>
          <w:szCs w:val="32"/>
          <w:lang w:val="en-US" w:eastAsia="zh-CN" w:bidi="ar"/>
        </w:rPr>
        <w:t>效益指标权重不低于60%</w:t>
      </w:r>
      <w:r>
        <w:rPr>
          <w:rFonts w:hint="eastAsia" w:hAnsi="宋体" w:cs="仿宋_GB2312"/>
          <w:color w:val="000000"/>
          <w:kern w:val="0"/>
          <w:sz w:val="32"/>
          <w:szCs w:val="32"/>
          <w:lang w:val="en-US" w:eastAsia="zh-CN" w:bidi="ar"/>
        </w:rPr>
        <w:t>。而根据政策补贴项目的特点，是否严格按照规定审核申请人的申请材料是项目实施的重中之重，是本次绩效评价的核心考察点，此指标是关键产出指标。因此，我们将</w:t>
      </w:r>
      <w:r>
        <w:rPr>
          <w:rFonts w:hint="eastAsia" w:eastAsia="仿宋_GB2312"/>
          <w:sz w:val="32"/>
          <w:szCs w:val="32"/>
        </w:rPr>
        <w:t>产出</w:t>
      </w:r>
      <w:r>
        <w:rPr>
          <w:rFonts w:hint="eastAsia"/>
          <w:sz w:val="32"/>
          <w:szCs w:val="32"/>
          <w:lang w:eastAsia="zh-CN"/>
        </w:rPr>
        <w:t>是本次绩效评价的重点，</w:t>
      </w:r>
      <w:r>
        <w:rPr>
          <w:rFonts w:hint="eastAsia" w:eastAsia="仿宋_GB2312"/>
          <w:sz w:val="32"/>
          <w:szCs w:val="32"/>
        </w:rPr>
        <w:t>权重</w:t>
      </w:r>
      <w:r>
        <w:rPr>
          <w:rFonts w:hint="eastAsia"/>
          <w:sz w:val="32"/>
          <w:szCs w:val="32"/>
          <w:lang w:eastAsia="zh-CN"/>
        </w:rPr>
        <w:t>占</w:t>
      </w:r>
      <w:r>
        <w:rPr>
          <w:rFonts w:hint="eastAsia"/>
          <w:sz w:val="32"/>
          <w:szCs w:val="32"/>
          <w:lang w:val="en-US" w:eastAsia="zh-CN"/>
        </w:rPr>
        <w:t>30%</w:t>
      </w:r>
      <w:r>
        <w:rPr>
          <w:rFonts w:hint="eastAsia"/>
          <w:sz w:val="32"/>
          <w:szCs w:val="32"/>
          <w:lang w:eastAsia="zh-CN"/>
        </w:rPr>
        <w:t>。</w:t>
      </w:r>
      <w:r>
        <w:rPr>
          <w:rFonts w:hint="eastAsia" w:eastAsia="仿宋_GB2312"/>
          <w:sz w:val="32"/>
          <w:szCs w:val="32"/>
        </w:rPr>
        <w:t>产出主要考察项目的数量、质量、时效、成本。</w:t>
      </w:r>
    </w:p>
    <w:p w14:paraId="18B64BBA">
      <w:pPr>
        <w:keepNext w:val="0"/>
        <w:keepLines w:val="0"/>
        <w:pageBreakBefore w:val="0"/>
        <w:kinsoku/>
        <w:wordWrap/>
        <w:overflowPunct/>
        <w:topLinePunct w:val="0"/>
        <w:autoSpaceDE w:val="0"/>
        <w:autoSpaceDN w:val="0"/>
        <w:bidi w:val="0"/>
        <w:ind w:firstLine="640"/>
        <w:jc w:val="both"/>
        <w:textAlignment w:val="auto"/>
        <w:rPr>
          <w:rFonts w:ascii="仿宋_GB2312" w:eastAsia="仿宋_GB2312"/>
          <w:sz w:val="32"/>
          <w:szCs w:val="32"/>
          <w:lang w:val="zh-CN"/>
        </w:rPr>
      </w:pPr>
      <w:r>
        <w:rPr>
          <w:rFonts w:hint="eastAsia"/>
          <w:sz w:val="32"/>
          <w:szCs w:val="32"/>
          <w:lang w:val="en-US" w:eastAsia="zh-CN"/>
        </w:rPr>
        <w:t>根据结果导向原则，项目实施要注重实际效果，效益指标要占较高的比重，所以效益指标权重设置为30%</w:t>
      </w:r>
      <w:r>
        <w:rPr>
          <w:rFonts w:hint="eastAsia"/>
          <w:sz w:val="32"/>
          <w:szCs w:val="32"/>
          <w:lang w:eastAsia="zh-CN"/>
        </w:rPr>
        <w:t>。</w:t>
      </w:r>
      <w:r>
        <w:rPr>
          <w:rFonts w:hint="eastAsia" w:eastAsia="仿宋_GB2312"/>
          <w:sz w:val="32"/>
          <w:szCs w:val="32"/>
        </w:rPr>
        <w:t>效益主要考察项目</w:t>
      </w:r>
      <w:r>
        <w:rPr>
          <w:rFonts w:hint="eastAsia"/>
          <w:sz w:val="32"/>
          <w:szCs w:val="32"/>
          <w:lang w:val="en-US" w:eastAsia="zh-CN"/>
        </w:rPr>
        <w:t>引进人才的情况和可持续性</w:t>
      </w:r>
      <w:r>
        <w:rPr>
          <w:rFonts w:hint="eastAsia" w:ascii="仿宋_GB2312" w:eastAsia="仿宋_GB2312"/>
          <w:sz w:val="32"/>
          <w:szCs w:val="32"/>
          <w:lang w:val="zh-CN"/>
        </w:rPr>
        <w:t>。</w:t>
      </w:r>
    </w:p>
    <w:p w14:paraId="6D01DBE6">
      <w:pPr>
        <w:pStyle w:val="5"/>
        <w:bidi w:val="0"/>
        <w:rPr>
          <w:lang w:val="en-US"/>
        </w:rPr>
      </w:pPr>
      <w:bookmarkStart w:id="368" w:name="_Toc20670"/>
      <w:r>
        <w:rPr>
          <w:rFonts w:hint="eastAsia"/>
          <w:lang w:val="en-US"/>
        </w:rPr>
        <w:t>5.数据来源及数据收集方式</w:t>
      </w:r>
      <w:bookmarkEnd w:id="368"/>
    </w:p>
    <w:p w14:paraId="122F80C0">
      <w:pPr>
        <w:pStyle w:val="9"/>
        <w:overflowPunct w:val="0"/>
        <w:spacing w:line="600" w:lineRule="exact"/>
        <w:ind w:firstLine="640" w:firstLineChars="200"/>
        <w:jc w:val="both"/>
        <w:rPr>
          <w:highlight w:val="none"/>
        </w:rPr>
      </w:pPr>
      <w:r>
        <w:rPr>
          <w:rFonts w:hint="eastAsia"/>
          <w:highlight w:val="none"/>
        </w:rPr>
        <w:t>本项目数据来源是通过</w:t>
      </w:r>
      <w:r>
        <w:rPr>
          <w:rFonts w:hint="eastAsia"/>
          <w:highlight w:val="none"/>
          <w:lang w:eastAsia="zh-CN"/>
        </w:rPr>
        <w:t>公开资料</w:t>
      </w:r>
      <w:r>
        <w:rPr>
          <w:rFonts w:hint="eastAsia"/>
          <w:highlight w:val="none"/>
        </w:rPr>
        <w:t>资料收集、现场访谈、现场调研、微信和电话等方式与</w:t>
      </w:r>
      <w:r>
        <w:rPr>
          <w:rFonts w:hint="eastAsia"/>
          <w:highlight w:val="none"/>
          <w:lang w:val="en-US" w:eastAsia="zh-CN"/>
        </w:rPr>
        <w:t>枣庄市高新区社会事务综合服务中心</w:t>
      </w:r>
      <w:r>
        <w:rPr>
          <w:rFonts w:hint="eastAsia"/>
          <w:highlight w:val="none"/>
        </w:rPr>
        <w:t>沟通所得。</w:t>
      </w:r>
    </w:p>
    <w:p w14:paraId="24E68DE1">
      <w:pPr>
        <w:pStyle w:val="4"/>
        <w:bidi w:val="0"/>
        <w:ind w:left="0" w:leftChars="0" w:firstLine="640" w:firstLineChars="200"/>
      </w:pPr>
      <w:bookmarkStart w:id="369" w:name="_Toc21059"/>
      <w:bookmarkStart w:id="370" w:name="_Toc16638"/>
      <w:bookmarkStart w:id="371" w:name="_Toc21515"/>
      <w:bookmarkStart w:id="372" w:name="_Toc7673"/>
      <w:bookmarkStart w:id="373" w:name="_Toc30806"/>
      <w:bookmarkStart w:id="374" w:name="_Toc8754"/>
      <w:bookmarkStart w:id="375" w:name="_Toc19595"/>
      <w:bookmarkStart w:id="376" w:name="_Toc19996"/>
      <w:bookmarkStart w:id="377" w:name="_Toc17674"/>
      <w:bookmarkStart w:id="378" w:name="_Toc2660"/>
      <w:bookmarkStart w:id="379" w:name="_Toc31530"/>
      <w:bookmarkStart w:id="380" w:name="_Toc12826"/>
      <w:bookmarkStart w:id="381" w:name="_Toc16314"/>
      <w:bookmarkStart w:id="382" w:name="_Toc10499"/>
      <w:bookmarkStart w:id="383" w:name="_Toc23092"/>
      <w:r>
        <w:rPr>
          <w:rFonts w:hint="eastAsia"/>
        </w:rPr>
        <w:t>（</w:t>
      </w:r>
      <w:r>
        <w:rPr>
          <w:rFonts w:hint="eastAsia"/>
          <w:lang w:val="en-US" w:eastAsia="zh-CN"/>
        </w:rPr>
        <w:t>六</w:t>
      </w:r>
      <w:r>
        <w:rPr>
          <w:rFonts w:hint="eastAsia"/>
        </w:rPr>
        <w:t>）绩效评价工作过程</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0AAB1207">
      <w:pPr>
        <w:pStyle w:val="9"/>
        <w:overflowPunct w:val="0"/>
        <w:spacing w:line="600" w:lineRule="exact"/>
        <w:ind w:firstLine="640" w:firstLineChars="200"/>
        <w:jc w:val="both"/>
        <w:rPr>
          <w:rFonts w:cs="Times New Roman"/>
          <w:highlight w:val="none"/>
          <w:lang w:val="en-US"/>
        </w:rPr>
      </w:pPr>
      <w:r>
        <w:rPr>
          <w:rFonts w:hint="eastAsia" w:cs="Times New Roman"/>
          <w:highlight w:val="none"/>
          <w:lang w:val="en-US"/>
        </w:rPr>
        <w:t>本项目绩效评价工作以《山东省财政厅关于印发&lt;山东省省级项目支出绩效单位自评工作规程&gt;和&lt;山东省省级项目支出绩效财政评价和部门评价工作规程&gt;的通知》（鲁财绩〔2020〕4号）为准则，同时结合项目特点进行实施。评价工作分为前期准备、非现场评价、现场评价、综合分析、撰写与提交绩效评价报告五个阶段。</w:t>
      </w:r>
    </w:p>
    <w:p w14:paraId="3E43E140">
      <w:pPr>
        <w:pStyle w:val="5"/>
        <w:bidi w:val="0"/>
        <w:rPr>
          <w:lang w:val="en-US"/>
        </w:rPr>
      </w:pPr>
      <w:bookmarkStart w:id="384" w:name="_Toc7941779"/>
      <w:bookmarkStart w:id="385" w:name="_Toc4778262"/>
      <w:bookmarkStart w:id="386" w:name="_Toc2200"/>
      <w:bookmarkStart w:id="387" w:name="_Toc4019"/>
      <w:bookmarkStart w:id="388" w:name="_Toc16524645"/>
      <w:bookmarkStart w:id="389" w:name="_Toc7115"/>
      <w:r>
        <w:rPr>
          <w:rFonts w:hint="eastAsia"/>
          <w:lang w:val="en-US"/>
        </w:rPr>
        <w:t>1</w:t>
      </w:r>
      <w:bookmarkEnd w:id="384"/>
      <w:bookmarkEnd w:id="385"/>
      <w:r>
        <w:rPr>
          <w:rFonts w:hint="eastAsia"/>
          <w:lang w:val="en-US"/>
        </w:rPr>
        <w:t>.前期准备</w:t>
      </w:r>
      <w:bookmarkEnd w:id="386"/>
      <w:bookmarkEnd w:id="387"/>
      <w:bookmarkEnd w:id="388"/>
      <w:bookmarkEnd w:id="389"/>
    </w:p>
    <w:p w14:paraId="1C84F713">
      <w:pPr>
        <w:pStyle w:val="9"/>
        <w:overflowPunct w:val="0"/>
        <w:spacing w:line="600" w:lineRule="exact"/>
        <w:ind w:firstLine="640" w:firstLineChars="200"/>
        <w:jc w:val="both"/>
        <w:rPr>
          <w:rFonts w:cs="Times New Roman"/>
          <w:highlight w:val="none"/>
          <w:lang w:val="en-US"/>
        </w:rPr>
      </w:pPr>
      <w:r>
        <w:rPr>
          <w:rFonts w:hint="eastAsia" w:cs="Times New Roman"/>
          <w:highlight w:val="none"/>
          <w:lang w:val="en-US"/>
        </w:rPr>
        <w:t>前期准备阶段的工作主要包括接受委托任务、成立评价工作组、开展前期调研、明确绩效目标、设计绩效评价指标体系、确定绩效评价方法、确定现场和非现场评价范围、编制社会调查方案、设计资料清单、制定评价实施方案、评价方案论证与沟通等流程。</w:t>
      </w:r>
    </w:p>
    <w:p w14:paraId="6209A1E7">
      <w:pPr>
        <w:pStyle w:val="5"/>
        <w:bidi w:val="0"/>
        <w:rPr>
          <w:lang w:val="en-US"/>
        </w:rPr>
      </w:pPr>
      <w:bookmarkStart w:id="390" w:name="_Toc7941780"/>
      <w:bookmarkStart w:id="391" w:name="_Toc16524646"/>
      <w:bookmarkStart w:id="392" w:name="_Toc6747"/>
      <w:bookmarkStart w:id="393" w:name="_Toc12077"/>
      <w:bookmarkStart w:id="394" w:name="_Toc13467"/>
      <w:r>
        <w:rPr>
          <w:rFonts w:hint="eastAsia"/>
          <w:lang w:val="en-US"/>
        </w:rPr>
        <w:t>2</w:t>
      </w:r>
      <w:bookmarkEnd w:id="390"/>
      <w:bookmarkEnd w:id="391"/>
      <w:r>
        <w:rPr>
          <w:rFonts w:hint="eastAsia"/>
          <w:lang w:val="en-US"/>
        </w:rPr>
        <w:t>.非现场评价</w:t>
      </w:r>
      <w:bookmarkEnd w:id="392"/>
      <w:bookmarkEnd w:id="393"/>
      <w:bookmarkEnd w:id="394"/>
    </w:p>
    <w:p w14:paraId="44C13ED2">
      <w:pPr>
        <w:pStyle w:val="9"/>
        <w:overflowPunct w:val="0"/>
        <w:spacing w:line="600" w:lineRule="exact"/>
        <w:ind w:firstLine="640" w:firstLineChars="200"/>
        <w:jc w:val="both"/>
        <w:rPr>
          <w:rFonts w:cs="Times New Roman"/>
          <w:highlight w:val="none"/>
          <w:lang w:val="en-US"/>
        </w:rPr>
      </w:pPr>
      <w:r>
        <w:rPr>
          <w:rFonts w:hint="eastAsia" w:cs="Times New Roman"/>
          <w:highlight w:val="none"/>
          <w:lang w:val="en-US"/>
        </w:rPr>
        <w:t>绩效评价工作组对实施单位报送的所有与项目相关的资料进行收集梳理，分析核实资料的真实性、完整性和有效性，并积极利用各种公开数据资料进行交叉比对，形成对项目多层次、多角度的数据资料支持。对所搜集获取到的所有项目实施单位相关文件资料进行了全面分类、整理和分析，对照评价指标体系，形成了非现场评价的结果。</w:t>
      </w:r>
    </w:p>
    <w:p w14:paraId="07416215">
      <w:pPr>
        <w:pStyle w:val="5"/>
        <w:bidi w:val="0"/>
        <w:rPr>
          <w:lang w:val="en-US"/>
        </w:rPr>
      </w:pPr>
      <w:bookmarkStart w:id="395" w:name="_Toc19005"/>
      <w:bookmarkStart w:id="396" w:name="_Toc8306"/>
      <w:bookmarkStart w:id="397" w:name="_Toc32322"/>
      <w:r>
        <w:rPr>
          <w:rFonts w:hint="eastAsia"/>
          <w:lang w:val="en-US"/>
        </w:rPr>
        <w:t>3.现场评价</w:t>
      </w:r>
      <w:bookmarkEnd w:id="395"/>
      <w:bookmarkEnd w:id="396"/>
      <w:bookmarkEnd w:id="397"/>
    </w:p>
    <w:p w14:paraId="06608B1B">
      <w:pPr>
        <w:pStyle w:val="9"/>
        <w:overflowPunct w:val="0"/>
        <w:spacing w:line="600" w:lineRule="exact"/>
        <w:ind w:firstLine="640" w:firstLineChars="200"/>
        <w:jc w:val="both"/>
        <w:rPr>
          <w:rFonts w:cs="Times New Roman"/>
          <w:highlight w:val="none"/>
          <w:lang w:val="en-US"/>
        </w:rPr>
      </w:pPr>
      <w:r>
        <w:rPr>
          <w:rFonts w:hint="eastAsia" w:cs="Times New Roman"/>
          <w:highlight w:val="none"/>
          <w:lang w:val="en-US"/>
        </w:rPr>
        <w:t>绩效评价小组根据评价方案确定的现场评价抽样范围，组成现场评价工作小组，对项目进行调研访谈、社会调查、资料核实和分析评价。</w:t>
      </w:r>
      <w:r>
        <w:rPr>
          <w:rFonts w:hint="eastAsia" w:cs="Times New Roman"/>
          <w:highlight w:val="none"/>
          <w:lang w:val="en-US" w:eastAsia="zh-CN"/>
        </w:rPr>
        <w:t>主要针对</w:t>
      </w:r>
      <w:r>
        <w:rPr>
          <w:rFonts w:hint="eastAsia" w:cs="Times New Roman"/>
          <w:highlight w:val="none"/>
          <w:lang w:val="en-US"/>
        </w:rPr>
        <w:t>项目的受益对象</w:t>
      </w:r>
      <w:r>
        <w:rPr>
          <w:rFonts w:hint="eastAsia" w:cs="Times New Roman"/>
          <w:highlight w:val="none"/>
          <w:lang w:val="en-US" w:eastAsia="zh-CN"/>
        </w:rPr>
        <w:t>即享受补贴的人员和企业</w:t>
      </w:r>
      <w:r>
        <w:rPr>
          <w:rFonts w:hint="eastAsia" w:cs="Times New Roman"/>
          <w:highlight w:val="none"/>
          <w:lang w:val="en-US"/>
        </w:rPr>
        <w:t>。</w:t>
      </w:r>
    </w:p>
    <w:p w14:paraId="0AC50161">
      <w:pPr>
        <w:pStyle w:val="5"/>
        <w:bidi w:val="0"/>
        <w:rPr>
          <w:lang w:val="en-US"/>
        </w:rPr>
      </w:pPr>
      <w:bookmarkStart w:id="398" w:name="_Toc16381"/>
      <w:bookmarkStart w:id="399" w:name="_Toc8328"/>
      <w:bookmarkStart w:id="400" w:name="_Toc5622"/>
      <w:r>
        <w:rPr>
          <w:rFonts w:hint="eastAsia"/>
          <w:lang w:val="en-US"/>
        </w:rPr>
        <w:t>4.综合分析</w:t>
      </w:r>
      <w:bookmarkEnd w:id="398"/>
      <w:bookmarkEnd w:id="399"/>
      <w:bookmarkEnd w:id="400"/>
    </w:p>
    <w:p w14:paraId="32A0F9E6">
      <w:pPr>
        <w:pStyle w:val="9"/>
        <w:overflowPunct w:val="0"/>
        <w:spacing w:line="600" w:lineRule="exact"/>
        <w:ind w:firstLine="640" w:firstLineChars="200"/>
        <w:jc w:val="both"/>
        <w:rPr>
          <w:rFonts w:cs="Times New Roman"/>
          <w:highlight w:val="none"/>
          <w:lang w:val="en-US"/>
        </w:rPr>
      </w:pPr>
      <w:bookmarkStart w:id="401" w:name="_Toc7941781"/>
      <w:bookmarkStart w:id="402" w:name="_Toc16524647"/>
      <w:r>
        <w:rPr>
          <w:rFonts w:hint="eastAsia" w:cs="Times New Roman"/>
          <w:highlight w:val="none"/>
          <w:lang w:val="en-US"/>
        </w:rPr>
        <w:t>绩效评价工作组对现场评价和非现场评价情况进行梳理、汇总、分析，对项目总体情况进行综合评价，形成绩效评价初步结论。通过汇总分析现场评价情况，形成项目最终绩效评价结果。</w:t>
      </w:r>
    </w:p>
    <w:p w14:paraId="7E9BDAC7">
      <w:pPr>
        <w:pStyle w:val="9"/>
        <w:overflowPunct w:val="0"/>
        <w:spacing w:line="600" w:lineRule="exact"/>
        <w:ind w:firstLine="640" w:firstLineChars="200"/>
        <w:jc w:val="both"/>
        <w:rPr>
          <w:rFonts w:cs="Times New Roman"/>
          <w:highlight w:val="none"/>
          <w:lang w:val="en-US"/>
        </w:rPr>
      </w:pPr>
      <w:r>
        <w:rPr>
          <w:rFonts w:hint="eastAsia" w:cs="Times New Roman"/>
          <w:highlight w:val="none"/>
          <w:lang w:val="en-US"/>
        </w:rPr>
        <w:t>绩效评价结果采取评分和评级相结合的方式，具体分值</w:t>
      </w:r>
      <w:r>
        <w:rPr>
          <w:rFonts w:hint="eastAsia" w:cs="Times New Roman"/>
          <w:highlight w:val="none"/>
          <w:lang w:val="en-US" w:eastAsia="zh-CN"/>
        </w:rPr>
        <w:t>见指标体系</w:t>
      </w:r>
      <w:r>
        <w:rPr>
          <w:rFonts w:hint="eastAsia" w:cs="Times New Roman"/>
          <w:highlight w:val="none"/>
          <w:lang w:val="en-US"/>
        </w:rPr>
        <w:t>。总分设置为 100分，等级划分为四档：90（含）-100分为优、80 （含）-90分为良、60（含）-80分为中、60分以下为差。</w:t>
      </w:r>
    </w:p>
    <w:p w14:paraId="1A99E74D">
      <w:pPr>
        <w:pStyle w:val="5"/>
        <w:bidi w:val="0"/>
        <w:rPr>
          <w:lang w:val="en-US"/>
        </w:rPr>
      </w:pPr>
      <w:bookmarkStart w:id="403" w:name="_Toc19947"/>
      <w:bookmarkStart w:id="404" w:name="_Toc32731"/>
      <w:bookmarkStart w:id="405" w:name="_Toc23498"/>
      <w:r>
        <w:rPr>
          <w:rFonts w:hint="eastAsia"/>
          <w:lang w:val="en-US"/>
        </w:rPr>
        <w:t>5</w:t>
      </w:r>
      <w:bookmarkEnd w:id="401"/>
      <w:r>
        <w:rPr>
          <w:rFonts w:hint="eastAsia"/>
          <w:lang w:val="en-US"/>
        </w:rPr>
        <w:t>.撰写与提交绩效评价报告</w:t>
      </w:r>
      <w:bookmarkEnd w:id="402"/>
      <w:bookmarkEnd w:id="403"/>
      <w:bookmarkEnd w:id="404"/>
      <w:bookmarkEnd w:id="405"/>
    </w:p>
    <w:p w14:paraId="69745CEF">
      <w:pPr>
        <w:pStyle w:val="9"/>
        <w:overflowPunct w:val="0"/>
        <w:spacing w:line="600" w:lineRule="exact"/>
        <w:ind w:firstLine="640" w:firstLineChars="200"/>
        <w:jc w:val="both"/>
        <w:rPr>
          <w:highlight w:val="none"/>
        </w:rPr>
      </w:pPr>
      <w:r>
        <w:rPr>
          <w:rFonts w:hint="eastAsia" w:cs="Times New Roman"/>
          <w:highlight w:val="none"/>
          <w:lang w:val="en-US"/>
        </w:rPr>
        <w:t>撰写报告与提交绩效评价报告阶段包含撰写绩效评价报告、征求意见、提交报告等过程</w:t>
      </w:r>
      <w:r>
        <w:rPr>
          <w:rFonts w:hint="eastAsia"/>
          <w:highlight w:val="none"/>
        </w:rPr>
        <w:t>。</w:t>
      </w:r>
    </w:p>
    <w:p w14:paraId="1E3B6F91">
      <w:pPr>
        <w:pStyle w:val="3"/>
        <w:bidi w:val="0"/>
      </w:pPr>
      <w:bookmarkStart w:id="406" w:name="_Toc9484"/>
      <w:bookmarkStart w:id="407" w:name="_Toc23874"/>
      <w:bookmarkStart w:id="408" w:name="_Toc8770"/>
      <w:bookmarkStart w:id="409" w:name="_Toc17549"/>
      <w:bookmarkStart w:id="410" w:name="_Toc16940"/>
      <w:bookmarkStart w:id="411" w:name="_Toc2653"/>
      <w:bookmarkStart w:id="412" w:name="_Toc17521"/>
      <w:bookmarkStart w:id="413" w:name="_Toc25912"/>
      <w:bookmarkStart w:id="414" w:name="_Toc9053"/>
      <w:bookmarkStart w:id="415" w:name="_Toc2053"/>
      <w:bookmarkStart w:id="416" w:name="_Toc3414"/>
      <w:bookmarkStart w:id="417" w:name="_Toc4095"/>
      <w:bookmarkStart w:id="418" w:name="_Toc18475"/>
      <w:bookmarkStart w:id="419" w:name="_Toc12051"/>
      <w:bookmarkStart w:id="420" w:name="_Toc14181"/>
      <w:r>
        <w:rPr>
          <w:rFonts w:hint="eastAsia"/>
        </w:rPr>
        <w:t>四、评价结论及分析</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31AF4E7">
      <w:pPr>
        <w:pStyle w:val="4"/>
        <w:bidi w:val="0"/>
      </w:pPr>
      <w:bookmarkStart w:id="421" w:name="_Toc12910"/>
      <w:bookmarkStart w:id="422" w:name="_Toc19895"/>
      <w:bookmarkStart w:id="423" w:name="_Toc31137"/>
      <w:bookmarkStart w:id="424" w:name="_Toc618"/>
      <w:bookmarkStart w:id="425" w:name="_Toc31349"/>
      <w:bookmarkStart w:id="426" w:name="_Toc29565"/>
      <w:bookmarkStart w:id="427" w:name="_Toc5548"/>
      <w:bookmarkStart w:id="428" w:name="_Toc15335"/>
      <w:bookmarkStart w:id="429" w:name="_Toc29941"/>
      <w:bookmarkStart w:id="430" w:name="_Toc12918"/>
      <w:bookmarkStart w:id="431" w:name="_Toc5535"/>
      <w:bookmarkStart w:id="432" w:name="_Toc22318"/>
      <w:bookmarkStart w:id="433" w:name="_Toc1449"/>
      <w:bookmarkStart w:id="434" w:name="_Toc19154"/>
      <w:bookmarkStart w:id="435" w:name="_Toc24383"/>
      <w:r>
        <w:rPr>
          <w:rFonts w:hint="eastAsia"/>
        </w:rPr>
        <w:t>（一）综合评价结论</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7D7B522">
      <w:pPr>
        <w:autoSpaceDE/>
        <w:autoSpaceDN/>
        <w:spacing w:line="600" w:lineRule="exact"/>
        <w:ind w:firstLine="640" w:firstLineChars="200"/>
        <w:jc w:val="both"/>
        <w:rPr>
          <w:rFonts w:hint="eastAsia" w:ascii="黑体" w:hAnsi="黑体" w:eastAsia="黑体" w:cs="黑体"/>
          <w:sz w:val="18"/>
          <w:szCs w:val="18"/>
          <w:highlight w:val="none"/>
          <w:lang w:val="en-US"/>
        </w:rPr>
      </w:pPr>
      <w:r>
        <w:rPr>
          <w:rFonts w:hint="eastAsia"/>
          <w:sz w:val="32"/>
          <w:szCs w:val="32"/>
          <w:highlight w:val="none"/>
          <w:lang w:val="en-US"/>
        </w:rPr>
        <w:t>评价组在《山东省财政厅关于印发&lt;山东省省级项目支出绩效单位自评工作规程&gt;和&lt;山东省省级项目支出绩效财政评价和部门评价工作规程&gt;的通知》（鲁财绩〔2020〕4号）提出的绩效评价指标框架基础上，经过数据采集、现场调研、实地考察、访谈以及数据分析等环节，对项目</w:t>
      </w:r>
      <w:r>
        <w:rPr>
          <w:rFonts w:hint="eastAsia"/>
          <w:sz w:val="32"/>
          <w:szCs w:val="32"/>
          <w:highlight w:val="none"/>
          <w:lang w:val="en-US" w:eastAsia="zh-CN"/>
        </w:rPr>
        <w:t>的</w:t>
      </w:r>
      <w:r>
        <w:rPr>
          <w:rFonts w:hint="eastAsia"/>
          <w:sz w:val="32"/>
          <w:szCs w:val="32"/>
          <w:highlight w:val="none"/>
          <w:lang w:val="en-US"/>
        </w:rPr>
        <w:t>指标体系及评价标准进行</w:t>
      </w:r>
      <w:r>
        <w:rPr>
          <w:rFonts w:hint="eastAsia"/>
          <w:sz w:val="32"/>
          <w:szCs w:val="32"/>
          <w:highlight w:val="none"/>
          <w:lang w:val="en-US" w:eastAsia="zh-CN"/>
        </w:rPr>
        <w:t>了</w:t>
      </w:r>
      <w:r>
        <w:rPr>
          <w:rFonts w:hint="eastAsia"/>
          <w:sz w:val="32"/>
          <w:szCs w:val="32"/>
          <w:highlight w:val="none"/>
          <w:lang w:val="en-US"/>
        </w:rPr>
        <w:t>进一步的细化、优化。按照权重指标体系综合评分，本项目最终得分</w:t>
      </w:r>
      <w:r>
        <w:rPr>
          <w:rFonts w:hint="eastAsia"/>
          <w:sz w:val="32"/>
          <w:szCs w:val="32"/>
          <w:highlight w:val="none"/>
          <w:lang w:val="en-US" w:eastAsia="zh-CN"/>
        </w:rPr>
        <w:t>92</w:t>
      </w:r>
      <w:r>
        <w:rPr>
          <w:rFonts w:hint="eastAsia"/>
          <w:sz w:val="32"/>
          <w:szCs w:val="32"/>
          <w:highlight w:val="none"/>
          <w:lang w:val="en-US"/>
        </w:rPr>
        <w:t>分，评价结果为“</w:t>
      </w:r>
      <w:r>
        <w:rPr>
          <w:rFonts w:hint="eastAsia"/>
          <w:sz w:val="32"/>
          <w:szCs w:val="32"/>
          <w:highlight w:val="none"/>
          <w:lang w:val="en-US" w:eastAsia="zh-CN"/>
        </w:rPr>
        <w:t>优</w:t>
      </w:r>
      <w:r>
        <w:rPr>
          <w:rFonts w:hint="eastAsia"/>
          <w:sz w:val="32"/>
          <w:szCs w:val="32"/>
          <w:highlight w:val="none"/>
          <w:lang w:val="en-US"/>
        </w:rPr>
        <w:t>”。具体评分情况如表</w:t>
      </w:r>
      <w:r>
        <w:rPr>
          <w:rFonts w:hint="eastAsia"/>
          <w:sz w:val="32"/>
          <w:szCs w:val="32"/>
          <w:highlight w:val="none"/>
          <w:lang w:val="en-US" w:eastAsia="zh-CN"/>
        </w:rPr>
        <w:t>4.1</w:t>
      </w:r>
      <w:r>
        <w:rPr>
          <w:rFonts w:hint="eastAsia"/>
          <w:sz w:val="32"/>
          <w:szCs w:val="32"/>
          <w:highlight w:val="none"/>
          <w:lang w:val="en-US"/>
        </w:rPr>
        <w:t>所示：</w:t>
      </w:r>
    </w:p>
    <w:p w14:paraId="6E490EBA">
      <w:pPr>
        <w:autoSpaceDE/>
        <w:autoSpaceDN/>
        <w:adjustRightInd w:val="0"/>
        <w:snapToGrid w:val="0"/>
        <w:ind w:left="0" w:leftChars="0" w:firstLine="0" w:firstLineChars="0"/>
        <w:jc w:val="center"/>
        <w:rPr>
          <w:sz w:val="24"/>
          <w:szCs w:val="24"/>
          <w:highlight w:val="none"/>
          <w:lang w:val="en-US"/>
        </w:rPr>
      </w:pPr>
      <w:r>
        <w:rPr>
          <w:rFonts w:hint="eastAsia" w:ascii="黑体" w:hAnsi="黑体" w:eastAsia="黑体" w:cs="黑体"/>
          <w:sz w:val="24"/>
          <w:szCs w:val="24"/>
          <w:highlight w:val="none"/>
          <w:lang w:val="en-US"/>
        </w:rPr>
        <w:t>表</w:t>
      </w:r>
      <w:r>
        <w:rPr>
          <w:rFonts w:hint="eastAsia" w:ascii="黑体" w:hAnsi="黑体" w:eastAsia="黑体" w:cs="黑体"/>
          <w:sz w:val="24"/>
          <w:szCs w:val="24"/>
          <w:highlight w:val="none"/>
          <w:lang w:val="en-US" w:eastAsia="zh-CN"/>
        </w:rPr>
        <w:t>4.1：</w:t>
      </w:r>
      <w:r>
        <w:rPr>
          <w:rFonts w:hint="eastAsia" w:ascii="黑体" w:hAnsi="黑体" w:eastAsia="黑体" w:cs="黑体"/>
          <w:sz w:val="24"/>
          <w:szCs w:val="24"/>
          <w:highlight w:val="none"/>
          <w:lang w:val="en-US"/>
        </w:rPr>
        <w:t xml:space="preserve"> 项目得分汇总表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45"/>
        <w:gridCol w:w="1452"/>
        <w:gridCol w:w="1588"/>
        <w:gridCol w:w="1534"/>
        <w:gridCol w:w="1510"/>
      </w:tblGrid>
      <w:tr w14:paraId="37C2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7FC00CF2">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bookmarkStart w:id="436" w:name="_Toc20420"/>
            <w:bookmarkStart w:id="437" w:name="_Toc4372"/>
            <w:bookmarkStart w:id="438" w:name="_Toc18971"/>
            <w:bookmarkStart w:id="439" w:name="_Toc6896"/>
            <w:bookmarkStart w:id="440" w:name="_Toc15505"/>
            <w:bookmarkStart w:id="441" w:name="_Toc2569"/>
            <w:bookmarkStart w:id="442" w:name="_Toc7391"/>
            <w:bookmarkStart w:id="443" w:name="_Toc13167"/>
            <w:bookmarkStart w:id="444" w:name="_Toc11519"/>
            <w:bookmarkStart w:id="445" w:name="_Toc31337"/>
            <w:bookmarkStart w:id="446" w:name="_Toc24479"/>
            <w:bookmarkStart w:id="447" w:name="_Toc19222"/>
            <w:r>
              <w:rPr>
                <w:rFonts w:hint="eastAsia" w:ascii="宋体" w:hAnsi="宋体" w:eastAsia="宋体" w:cs="宋体"/>
                <w:bCs/>
                <w:spacing w:val="-10"/>
                <w:sz w:val="18"/>
                <w:szCs w:val="18"/>
                <w:highlight w:val="none"/>
              </w:rPr>
              <w:t>项    目</w:t>
            </w:r>
          </w:p>
        </w:tc>
        <w:tc>
          <w:tcPr>
            <w:tcW w:w="797" w:type="pct"/>
            <w:vAlign w:val="center"/>
          </w:tcPr>
          <w:p w14:paraId="7BF23519">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决策指标</w:t>
            </w:r>
          </w:p>
        </w:tc>
        <w:tc>
          <w:tcPr>
            <w:tcW w:w="801" w:type="pct"/>
            <w:vAlign w:val="center"/>
          </w:tcPr>
          <w:p w14:paraId="2C6EE0AD">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过程指标</w:t>
            </w:r>
          </w:p>
        </w:tc>
        <w:tc>
          <w:tcPr>
            <w:tcW w:w="876" w:type="pct"/>
            <w:vAlign w:val="center"/>
          </w:tcPr>
          <w:p w14:paraId="0E786995">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产出指标</w:t>
            </w:r>
          </w:p>
        </w:tc>
        <w:tc>
          <w:tcPr>
            <w:tcW w:w="846" w:type="pct"/>
            <w:vAlign w:val="center"/>
          </w:tcPr>
          <w:p w14:paraId="052174CB">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z w:val="18"/>
                <w:szCs w:val="18"/>
                <w:highlight w:val="none"/>
              </w:rPr>
            </w:pPr>
            <w:r>
              <w:rPr>
                <w:rFonts w:hint="eastAsia" w:ascii="宋体" w:hAnsi="宋体" w:eastAsia="宋体" w:cs="宋体"/>
                <w:bCs/>
                <w:sz w:val="18"/>
                <w:szCs w:val="18"/>
                <w:highlight w:val="none"/>
              </w:rPr>
              <w:t>效益指标</w:t>
            </w:r>
          </w:p>
        </w:tc>
        <w:tc>
          <w:tcPr>
            <w:tcW w:w="832" w:type="pct"/>
            <w:vAlign w:val="center"/>
          </w:tcPr>
          <w:p w14:paraId="03C95937">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r>
              <w:rPr>
                <w:rFonts w:hint="eastAsia" w:ascii="宋体" w:hAnsi="宋体" w:eastAsia="宋体" w:cs="宋体"/>
                <w:bCs/>
                <w:spacing w:val="-10"/>
                <w:sz w:val="18"/>
                <w:szCs w:val="18"/>
                <w:highlight w:val="none"/>
              </w:rPr>
              <w:t>得分合计</w:t>
            </w:r>
          </w:p>
        </w:tc>
      </w:tr>
      <w:tr w14:paraId="17EC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6832ED1C">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r>
              <w:rPr>
                <w:rFonts w:hint="eastAsia" w:ascii="宋体" w:hAnsi="宋体" w:eastAsia="宋体" w:cs="宋体"/>
                <w:bCs/>
                <w:spacing w:val="-10"/>
                <w:sz w:val="18"/>
                <w:szCs w:val="18"/>
                <w:highlight w:val="none"/>
              </w:rPr>
              <w:t>标准分值</w:t>
            </w:r>
          </w:p>
        </w:tc>
        <w:tc>
          <w:tcPr>
            <w:tcW w:w="797" w:type="pct"/>
            <w:vAlign w:val="center"/>
          </w:tcPr>
          <w:p w14:paraId="2C65889A">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20</w:t>
            </w:r>
          </w:p>
        </w:tc>
        <w:tc>
          <w:tcPr>
            <w:tcW w:w="801" w:type="pct"/>
            <w:vAlign w:val="center"/>
          </w:tcPr>
          <w:p w14:paraId="34EDC126">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20</w:t>
            </w:r>
          </w:p>
        </w:tc>
        <w:tc>
          <w:tcPr>
            <w:tcW w:w="876" w:type="pct"/>
            <w:vAlign w:val="center"/>
          </w:tcPr>
          <w:p w14:paraId="26B34E28">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30</w:t>
            </w:r>
          </w:p>
        </w:tc>
        <w:tc>
          <w:tcPr>
            <w:tcW w:w="846" w:type="pct"/>
            <w:vAlign w:val="center"/>
          </w:tcPr>
          <w:p w14:paraId="162C6878">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hint="default" w:ascii="宋体" w:hAnsi="宋体" w:eastAsia="宋体" w:cs="宋体"/>
                <w:bCs/>
                <w:spacing w:val="-4"/>
                <w:sz w:val="18"/>
                <w:szCs w:val="18"/>
                <w:highlight w:val="none"/>
                <w:lang w:val="en-US" w:eastAsia="zh-CN"/>
              </w:rPr>
            </w:pPr>
            <w:r>
              <w:rPr>
                <w:rFonts w:hint="eastAsia" w:ascii="宋体" w:hAnsi="宋体" w:eastAsia="宋体" w:cs="宋体"/>
                <w:bCs/>
                <w:spacing w:val="-4"/>
                <w:sz w:val="18"/>
                <w:szCs w:val="18"/>
                <w:highlight w:val="none"/>
                <w:lang w:val="en-US" w:eastAsia="zh-CN"/>
              </w:rPr>
              <w:t>30</w:t>
            </w:r>
          </w:p>
        </w:tc>
        <w:tc>
          <w:tcPr>
            <w:tcW w:w="832" w:type="pct"/>
            <w:vAlign w:val="center"/>
          </w:tcPr>
          <w:p w14:paraId="692C13C6">
            <w:pPr>
              <w:keepNext w:val="0"/>
              <w:keepLines w:val="0"/>
              <w:pageBreakBefore w:val="0"/>
              <w:widowControl w:val="0"/>
              <w:kinsoku/>
              <w:wordWrap/>
              <w:overflowPunct/>
              <w:topLinePunct w:val="0"/>
              <w:autoSpaceDE w:val="0"/>
              <w:autoSpaceDN w:val="0"/>
              <w:bidi w:val="0"/>
              <w:adjustRightInd/>
              <w:spacing w:line="400" w:lineRule="exact"/>
              <w:ind w:firstLine="0" w:firstLineChars="0"/>
              <w:jc w:val="center"/>
              <w:textAlignment w:val="auto"/>
              <w:rPr>
                <w:rFonts w:ascii="宋体" w:hAnsi="宋体" w:eastAsia="宋体" w:cs="宋体"/>
                <w:bCs/>
                <w:spacing w:val="-4"/>
                <w:sz w:val="18"/>
                <w:szCs w:val="18"/>
                <w:highlight w:val="none"/>
              </w:rPr>
            </w:pPr>
            <w:r>
              <w:rPr>
                <w:rFonts w:hint="eastAsia" w:ascii="宋体" w:hAnsi="宋体" w:eastAsia="宋体" w:cs="宋体"/>
                <w:bCs/>
                <w:spacing w:val="-4"/>
                <w:sz w:val="18"/>
                <w:szCs w:val="18"/>
                <w:highlight w:val="none"/>
              </w:rPr>
              <w:t>100</w:t>
            </w:r>
          </w:p>
        </w:tc>
      </w:tr>
      <w:tr w14:paraId="7487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53E8605D">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宋体" w:hAnsi="宋体" w:eastAsia="宋体" w:cs="宋体"/>
                <w:bCs/>
                <w:spacing w:val="-10"/>
                <w:sz w:val="18"/>
                <w:szCs w:val="18"/>
                <w:highlight w:val="none"/>
              </w:rPr>
            </w:pPr>
            <w:r>
              <w:rPr>
                <w:rFonts w:hint="eastAsia" w:ascii="宋体" w:hAnsi="宋体" w:eastAsia="宋体" w:cs="宋体"/>
                <w:bCs/>
                <w:spacing w:val="-10"/>
                <w:sz w:val="18"/>
                <w:szCs w:val="18"/>
                <w:highlight w:val="none"/>
              </w:rPr>
              <w:t>评价得分</w:t>
            </w:r>
          </w:p>
        </w:tc>
        <w:tc>
          <w:tcPr>
            <w:tcW w:w="797" w:type="pct"/>
            <w:vAlign w:val="center"/>
          </w:tcPr>
          <w:p w14:paraId="1E38A47C">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16</w:t>
            </w:r>
          </w:p>
        </w:tc>
        <w:tc>
          <w:tcPr>
            <w:tcW w:w="801" w:type="pct"/>
            <w:vAlign w:val="center"/>
          </w:tcPr>
          <w:p w14:paraId="5C56524E">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18</w:t>
            </w:r>
          </w:p>
        </w:tc>
        <w:tc>
          <w:tcPr>
            <w:tcW w:w="876" w:type="pct"/>
            <w:vAlign w:val="center"/>
          </w:tcPr>
          <w:p w14:paraId="464CEF20">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30</w:t>
            </w:r>
          </w:p>
        </w:tc>
        <w:tc>
          <w:tcPr>
            <w:tcW w:w="846" w:type="pct"/>
            <w:vAlign w:val="center"/>
          </w:tcPr>
          <w:p w14:paraId="17960541">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28</w:t>
            </w:r>
          </w:p>
        </w:tc>
        <w:tc>
          <w:tcPr>
            <w:tcW w:w="832" w:type="pct"/>
            <w:vAlign w:val="center"/>
          </w:tcPr>
          <w:p w14:paraId="45A8F266">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hint="default" w:ascii="宋体" w:hAnsi="宋体" w:eastAsia="宋体" w:cs="宋体"/>
                <w:bCs/>
                <w:spacing w:val="-10"/>
                <w:sz w:val="18"/>
                <w:szCs w:val="18"/>
                <w:highlight w:val="none"/>
                <w:lang w:val="en-US" w:eastAsia="zh-CN"/>
              </w:rPr>
            </w:pPr>
            <w:r>
              <w:rPr>
                <w:rFonts w:hint="eastAsia" w:ascii="宋体" w:hAnsi="宋体" w:eastAsia="宋体" w:cs="宋体"/>
                <w:bCs/>
                <w:spacing w:val="-10"/>
                <w:sz w:val="18"/>
                <w:szCs w:val="18"/>
                <w:highlight w:val="none"/>
                <w:lang w:val="en-US" w:eastAsia="zh-CN"/>
              </w:rPr>
              <w:t>92</w:t>
            </w:r>
          </w:p>
        </w:tc>
      </w:tr>
    </w:tbl>
    <w:p w14:paraId="434C09DB">
      <w:pPr>
        <w:pStyle w:val="4"/>
        <w:bidi w:val="0"/>
      </w:pPr>
      <w:bookmarkStart w:id="448" w:name="_Toc29138"/>
      <w:bookmarkStart w:id="449" w:name="_Toc27492"/>
      <w:bookmarkStart w:id="450" w:name="_Toc20483"/>
      <w:r>
        <w:rPr>
          <w:rFonts w:hint="eastAsia"/>
        </w:rPr>
        <w:t>（二）非现场评价情况分析</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B237FBD">
      <w:pPr>
        <w:pStyle w:val="21"/>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default"/>
          <w:color w:val="0000FF"/>
          <w:highlight w:val="none"/>
          <w:lang w:val="en-US"/>
        </w:rPr>
      </w:pPr>
      <w:r>
        <w:rPr>
          <w:rFonts w:hint="eastAsia" w:cs="仿宋_GB2312"/>
          <w:sz w:val="32"/>
          <w:szCs w:val="22"/>
          <w:highlight w:val="none"/>
          <w:lang w:val="en-US" w:eastAsia="zh-CN" w:bidi="zh-CN"/>
        </w:rPr>
        <w:t>本项目根据</w:t>
      </w:r>
      <w:r>
        <w:rPr>
          <w:rFonts w:hint="eastAsia" w:ascii="Times New Roman" w:hAnsi="Times New Roman" w:cs="Times New Roman"/>
          <w:kern w:val="2"/>
          <w:sz w:val="32"/>
          <w:szCs w:val="24"/>
          <w:lang w:val="en-US" w:eastAsia="zh-CN" w:bidi="ar-SA"/>
        </w:rPr>
        <w:t>枣庄</w:t>
      </w:r>
      <w:r>
        <w:rPr>
          <w:rFonts w:hint="eastAsia" w:ascii="Times New Roman" w:hAnsi="Times New Roman" w:eastAsia="仿宋_GB2312" w:cs="Times New Roman"/>
          <w:kern w:val="2"/>
          <w:sz w:val="32"/>
          <w:szCs w:val="24"/>
          <w:lang w:val="en-US" w:eastAsia="zh-CN" w:bidi="ar-SA"/>
        </w:rPr>
        <w:t>市人民政府</w:t>
      </w:r>
      <w:r>
        <w:rPr>
          <w:rFonts w:hint="eastAsia" w:ascii="Times New Roman" w:hAnsi="Times New Roman" w:cs="Times New Roman"/>
          <w:kern w:val="2"/>
          <w:sz w:val="32"/>
          <w:szCs w:val="24"/>
          <w:lang w:val="en-US" w:eastAsia="zh-CN" w:bidi="ar-SA"/>
        </w:rPr>
        <w:t>《</w:t>
      </w:r>
      <w:r>
        <w:rPr>
          <w:rFonts w:hint="eastAsia"/>
          <w:lang w:val="en-US" w:eastAsia="zh-CN"/>
        </w:rPr>
        <w:t>枣庄市引进培养用好青年人才支持“工业强市，产业兴市”若干措施》（枣办发</w:t>
      </w:r>
      <w:r>
        <w:rPr>
          <w:rFonts w:hint="eastAsia"/>
          <w:sz w:val="32"/>
          <w:lang w:eastAsia="zh-CN"/>
        </w:rPr>
        <w:t>〔2</w:t>
      </w:r>
      <w:r>
        <w:rPr>
          <w:rFonts w:hint="eastAsia"/>
          <w:sz w:val="32"/>
          <w:lang w:val="en-US" w:eastAsia="zh-CN"/>
        </w:rPr>
        <w:t>021</w:t>
      </w:r>
      <w:r>
        <w:rPr>
          <w:rFonts w:hint="eastAsia"/>
          <w:sz w:val="32"/>
          <w:lang w:eastAsia="zh-CN"/>
        </w:rPr>
        <w:t>〕</w:t>
      </w:r>
      <w:r>
        <w:rPr>
          <w:rFonts w:hint="eastAsia"/>
          <w:lang w:val="en-US" w:eastAsia="zh-CN"/>
        </w:rPr>
        <w:t>17号）</w:t>
      </w:r>
      <w:r>
        <w:rPr>
          <w:rFonts w:hint="eastAsia" w:cs="仿宋_GB2312"/>
          <w:sz w:val="32"/>
          <w:szCs w:val="22"/>
          <w:highlight w:val="none"/>
          <w:lang w:val="en-US" w:eastAsia="zh-CN" w:bidi="zh-CN"/>
        </w:rPr>
        <w:t>等文件立项，立项依据充分程序规范；2022年项目年初预算</w:t>
      </w:r>
      <w:r>
        <w:rPr>
          <w:rFonts w:hint="eastAsia"/>
          <w:lang w:val="en-US" w:eastAsia="zh-CN"/>
        </w:rPr>
        <w:t>800</w:t>
      </w:r>
      <w:r>
        <w:rPr>
          <w:rFonts w:hint="eastAsia" w:cs="仿宋_GB2312"/>
          <w:sz w:val="32"/>
          <w:szCs w:val="22"/>
          <w:highlight w:val="none"/>
          <w:lang w:val="en-US" w:eastAsia="zh-CN" w:bidi="zh-CN"/>
        </w:rPr>
        <w:t>万元，调整后预算808.51万元，</w:t>
      </w:r>
      <w:r>
        <w:rPr>
          <w:rFonts w:hint="eastAsia"/>
          <w:highlight w:val="none"/>
          <w:lang w:val="en-US"/>
        </w:rPr>
        <w:t>截止202</w:t>
      </w:r>
      <w:r>
        <w:rPr>
          <w:rFonts w:hint="eastAsia"/>
          <w:highlight w:val="none"/>
          <w:lang w:val="en-US" w:eastAsia="zh-CN"/>
        </w:rPr>
        <w:t>2</w:t>
      </w:r>
      <w:r>
        <w:rPr>
          <w:rFonts w:hint="eastAsia"/>
          <w:highlight w:val="none"/>
          <w:lang w:val="en-US"/>
        </w:rPr>
        <w:t>年12月底，</w:t>
      </w:r>
      <w:r>
        <w:rPr>
          <w:rFonts w:hint="eastAsia"/>
          <w:highlight w:val="none"/>
          <w:lang w:val="en-US" w:eastAsia="zh-CN"/>
        </w:rPr>
        <w:t>本项目实际支出808.51万元，未明确每个子项目的预算金额；未设置绩效目标；项目管理制度健全。</w:t>
      </w:r>
    </w:p>
    <w:p w14:paraId="7D39B80C">
      <w:pPr>
        <w:pStyle w:val="4"/>
        <w:bidi w:val="0"/>
      </w:pPr>
      <w:bookmarkStart w:id="451" w:name="_Toc1267"/>
      <w:bookmarkStart w:id="452" w:name="_Toc29101"/>
      <w:bookmarkStart w:id="453" w:name="_Toc23218"/>
      <w:bookmarkStart w:id="454" w:name="_Toc25147"/>
      <w:bookmarkStart w:id="455" w:name="_Toc6696"/>
      <w:bookmarkStart w:id="456" w:name="_Toc23831"/>
      <w:bookmarkStart w:id="457" w:name="_Toc29120"/>
      <w:bookmarkStart w:id="458" w:name="_Toc16121"/>
      <w:bookmarkStart w:id="459" w:name="_Toc18251"/>
      <w:bookmarkStart w:id="460" w:name="_Toc18147"/>
      <w:bookmarkStart w:id="461" w:name="_Toc20275"/>
      <w:bookmarkStart w:id="462" w:name="_Toc7275"/>
      <w:bookmarkStart w:id="463" w:name="_Toc22704"/>
      <w:bookmarkStart w:id="464" w:name="_Toc20098"/>
      <w:bookmarkStart w:id="465" w:name="_Toc27228"/>
      <w:r>
        <w:rPr>
          <w:rFonts w:hint="eastAsia"/>
        </w:rPr>
        <w:t>（三）现场评价情况分析</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3BB618C">
      <w:pPr>
        <w:rPr>
          <w:rFonts w:hint="default"/>
          <w:highlight w:val="none"/>
          <w:lang w:val="en-US"/>
        </w:rPr>
      </w:pPr>
      <w:r>
        <w:rPr>
          <w:rFonts w:hint="eastAsia"/>
          <w:highlight w:val="none"/>
          <w:lang w:val="en-US" w:eastAsia="zh-CN"/>
        </w:rPr>
        <w:t>所有人力资源政策性补贴项目全部完成；职称评审、招聘会和流动人员档案邮寄工作全部完成；工作完成较为及时且质量较高；成本控制在合理范围内。项目开展稳定了就业引进了人才，但部分政策补贴的享受人群较少；部分项目档案保存不完整；受益企业和受益人群满意度较高。</w:t>
      </w:r>
    </w:p>
    <w:p w14:paraId="3D53FAD8">
      <w:pPr>
        <w:pStyle w:val="3"/>
        <w:bidi w:val="0"/>
      </w:pPr>
      <w:bookmarkStart w:id="466" w:name="_Toc25170"/>
      <w:bookmarkStart w:id="467" w:name="_Toc30014"/>
      <w:bookmarkStart w:id="468" w:name="_Toc29948"/>
      <w:bookmarkStart w:id="469" w:name="_Toc3713"/>
      <w:bookmarkStart w:id="470" w:name="_Toc10576"/>
      <w:bookmarkStart w:id="471" w:name="_Toc1702"/>
      <w:bookmarkStart w:id="472" w:name="_Toc21733"/>
      <w:bookmarkStart w:id="473" w:name="_Toc10628"/>
      <w:bookmarkStart w:id="474" w:name="_Toc1998"/>
      <w:bookmarkStart w:id="475" w:name="_Toc12467"/>
      <w:bookmarkStart w:id="476" w:name="_Toc4117"/>
      <w:bookmarkStart w:id="477" w:name="_Toc1326"/>
      <w:bookmarkStart w:id="478" w:name="_Toc1377"/>
      <w:bookmarkStart w:id="479" w:name="_Toc27406"/>
      <w:bookmarkStart w:id="480" w:name="_Toc27360"/>
      <w:r>
        <w:rPr>
          <w:rFonts w:hint="eastAsia"/>
        </w:rPr>
        <w:t>五、绩效评价指标分析</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AC30C33">
      <w:pPr>
        <w:pStyle w:val="4"/>
        <w:bidi w:val="0"/>
      </w:pPr>
      <w:bookmarkStart w:id="481" w:name="_Toc574"/>
      <w:bookmarkStart w:id="482" w:name="_Toc11976"/>
      <w:bookmarkStart w:id="483" w:name="_Toc30973"/>
      <w:bookmarkStart w:id="484" w:name="_Toc28153"/>
      <w:bookmarkStart w:id="485" w:name="_Toc10377"/>
      <w:bookmarkStart w:id="486" w:name="_Toc22265"/>
      <w:bookmarkStart w:id="487" w:name="_Toc18502"/>
      <w:bookmarkStart w:id="488" w:name="_Toc21190"/>
      <w:bookmarkStart w:id="489" w:name="_Toc23843"/>
      <w:bookmarkStart w:id="490" w:name="_Toc1047"/>
      <w:bookmarkStart w:id="491" w:name="_Toc28377"/>
      <w:bookmarkStart w:id="492" w:name="_Toc22656"/>
      <w:bookmarkStart w:id="493" w:name="_Toc6097"/>
      <w:bookmarkStart w:id="494" w:name="_Toc24200"/>
      <w:bookmarkStart w:id="495" w:name="_Toc5543"/>
      <w:r>
        <w:rPr>
          <w:rFonts w:hint="eastAsia"/>
        </w:rPr>
        <w:t>（一）项目决策情况</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58C4F78E">
      <w:pPr>
        <w:pStyle w:val="9"/>
        <w:overflowPunct w:val="0"/>
        <w:spacing w:line="600" w:lineRule="exact"/>
        <w:ind w:firstLine="640" w:firstLineChars="200"/>
        <w:jc w:val="both"/>
        <w:outlineLvl w:val="2"/>
        <w:rPr>
          <w:rFonts w:hAnsi="Times New Roman" w:cs="Times New Roman"/>
          <w:highlight w:val="none"/>
          <w:lang w:val="en-US"/>
        </w:rPr>
      </w:pPr>
      <w:bookmarkStart w:id="496" w:name="_Toc28955"/>
      <w:bookmarkStart w:id="497" w:name="_Toc4398"/>
      <w:bookmarkStart w:id="498" w:name="_Toc1010"/>
      <w:bookmarkStart w:id="499" w:name="_Toc16634"/>
      <w:bookmarkStart w:id="500" w:name="_Toc11247"/>
      <w:bookmarkStart w:id="501" w:name="_Toc2806"/>
      <w:bookmarkStart w:id="502" w:name="_Toc9955"/>
      <w:bookmarkStart w:id="503" w:name="_Toc2662"/>
      <w:r>
        <w:rPr>
          <w:rStyle w:val="43"/>
          <w:rFonts w:hint="eastAsia"/>
          <w:lang w:val="en-US"/>
        </w:rPr>
        <w:t>1.项目立项</w:t>
      </w:r>
      <w:bookmarkEnd w:id="496"/>
      <w:bookmarkEnd w:id="497"/>
      <w:bookmarkEnd w:id="498"/>
      <w:bookmarkEnd w:id="499"/>
      <w:bookmarkEnd w:id="500"/>
      <w:bookmarkEnd w:id="501"/>
      <w:bookmarkEnd w:id="502"/>
      <w:r>
        <w:rPr>
          <w:rFonts w:hint="eastAsia"/>
          <w:highlight w:val="none"/>
          <w:lang w:val="en-US"/>
        </w:rPr>
        <w:t>（满分</w:t>
      </w:r>
      <w:r>
        <w:rPr>
          <w:rFonts w:hint="eastAsia"/>
          <w:highlight w:val="none"/>
          <w:lang w:val="en-US" w:eastAsia="zh-CN"/>
        </w:rPr>
        <w:t>8</w:t>
      </w:r>
      <w:r>
        <w:rPr>
          <w:rFonts w:hint="eastAsia"/>
          <w:highlight w:val="none"/>
          <w:lang w:val="en-US"/>
        </w:rPr>
        <w:t>分，实得</w:t>
      </w:r>
      <w:r>
        <w:rPr>
          <w:rFonts w:hint="eastAsia"/>
          <w:highlight w:val="none"/>
          <w:lang w:val="en-US" w:eastAsia="zh-CN"/>
        </w:rPr>
        <w:t>8</w:t>
      </w:r>
      <w:r>
        <w:rPr>
          <w:rFonts w:hint="eastAsia"/>
          <w:highlight w:val="none"/>
          <w:lang w:val="en-US"/>
        </w:rPr>
        <w:t>分）</w:t>
      </w:r>
      <w:bookmarkEnd w:id="503"/>
    </w:p>
    <w:p w14:paraId="2071D1E1">
      <w:pPr>
        <w:autoSpaceDE/>
        <w:autoSpaceDN/>
        <w:spacing w:line="600" w:lineRule="exact"/>
        <w:ind w:firstLine="640" w:firstLineChars="200"/>
        <w:rPr>
          <w:rFonts w:hAnsi="Times New Roman" w:cs="Times New Roman"/>
          <w:sz w:val="32"/>
          <w:szCs w:val="32"/>
          <w:highlight w:val="none"/>
          <w:lang w:val="en-US"/>
        </w:rPr>
      </w:pPr>
      <w:r>
        <w:rPr>
          <w:rFonts w:hint="eastAsia" w:hAnsi="Times New Roman" w:cs="Times New Roman"/>
          <w:sz w:val="32"/>
          <w:szCs w:val="32"/>
          <w:highlight w:val="none"/>
          <w:lang w:val="en-US"/>
        </w:rPr>
        <w:t>（1）立项依据充分性（满分</w:t>
      </w:r>
      <w:r>
        <w:rPr>
          <w:rFonts w:hint="eastAsia" w:hAnsi="Times New Roman" w:cs="Times New Roman"/>
          <w:sz w:val="32"/>
          <w:szCs w:val="32"/>
          <w:highlight w:val="none"/>
          <w:lang w:val="en-US" w:eastAsia="zh-CN"/>
        </w:rPr>
        <w:t>4</w:t>
      </w:r>
      <w:r>
        <w:rPr>
          <w:rFonts w:hint="eastAsia" w:hAnsi="Times New Roman" w:cs="Times New Roman"/>
          <w:sz w:val="32"/>
          <w:szCs w:val="32"/>
          <w:highlight w:val="none"/>
          <w:lang w:val="en-US"/>
        </w:rPr>
        <w:t>分，实得</w:t>
      </w:r>
      <w:r>
        <w:rPr>
          <w:rFonts w:hint="eastAsia" w:hAnsi="Times New Roman" w:cs="Times New Roman"/>
          <w:sz w:val="32"/>
          <w:szCs w:val="32"/>
          <w:highlight w:val="none"/>
          <w:lang w:val="en-US" w:eastAsia="zh-CN"/>
        </w:rPr>
        <w:t>4</w:t>
      </w:r>
      <w:r>
        <w:rPr>
          <w:rFonts w:hint="eastAsia" w:hAnsi="Times New Roman" w:cs="Times New Roman"/>
          <w:sz w:val="32"/>
          <w:szCs w:val="32"/>
          <w:highlight w:val="none"/>
          <w:lang w:val="en-US"/>
        </w:rPr>
        <w:t>分）</w:t>
      </w:r>
    </w:p>
    <w:p w14:paraId="500FB06F">
      <w:pPr>
        <w:pStyle w:val="21"/>
        <w:pageBreakBefore w:val="0"/>
        <w:widowControl w:val="0"/>
        <w:kinsoku/>
        <w:wordWrap/>
        <w:overflowPunct/>
        <w:topLinePunct w:val="0"/>
        <w:autoSpaceDE w:val="0"/>
        <w:autoSpaceDN w:val="0"/>
        <w:bidi w:val="0"/>
        <w:adjustRightInd/>
        <w:snapToGrid/>
        <w:jc w:val="both"/>
        <w:textAlignment w:val="auto"/>
        <w:rPr>
          <w:rFonts w:hint="default"/>
          <w:sz w:val="32"/>
          <w:lang w:val="en-US" w:eastAsia="zh-CN"/>
        </w:rPr>
      </w:pPr>
      <w:r>
        <w:rPr>
          <w:rFonts w:hint="eastAsia"/>
          <w:lang w:val="en-US" w:eastAsia="zh-CN"/>
        </w:rPr>
        <w:t>枣庄市高新区人力资源经费项目包括了高新区所有的人才项目，主要由引进人才的各项政策性补贴费用和职称评审费用组成，每一项补贴都有上级的政策文件，例如大学生就业创业补贴项目政策依据为《枣庄市大学毕业生就业创业补贴发放办法（试行）》（枣人社发〔2018〕38号），立项依据充分</w:t>
      </w:r>
      <w:r>
        <w:rPr>
          <w:rFonts w:hint="eastAsia"/>
          <w:sz w:val="32"/>
          <w:lang w:eastAsia="zh-CN"/>
        </w:rPr>
        <w:t>。</w:t>
      </w:r>
      <w:r>
        <w:rPr>
          <w:rFonts w:hint="eastAsia"/>
          <w:sz w:val="32"/>
          <w:lang w:val="en-US" w:eastAsia="zh-CN"/>
        </w:rPr>
        <w:t>根据评分标准，本指标得4分，得分率100%。</w:t>
      </w:r>
    </w:p>
    <w:p w14:paraId="75F82A75">
      <w:pPr>
        <w:autoSpaceDE/>
        <w:autoSpaceDN/>
        <w:spacing w:line="600" w:lineRule="exact"/>
        <w:ind w:firstLine="640" w:firstLineChars="200"/>
        <w:rPr>
          <w:rFonts w:hAnsi="Times New Roman" w:cs="Times New Roman"/>
          <w:sz w:val="32"/>
          <w:szCs w:val="32"/>
          <w:highlight w:val="none"/>
          <w:lang w:val="en-US"/>
        </w:rPr>
      </w:pPr>
      <w:r>
        <w:rPr>
          <w:rFonts w:hint="eastAsia" w:cs="Times New Roman"/>
          <w:sz w:val="32"/>
          <w:szCs w:val="32"/>
          <w:highlight w:val="none"/>
          <w:lang w:val="en-US"/>
        </w:rPr>
        <w:t>（2）</w:t>
      </w:r>
      <w:r>
        <w:rPr>
          <w:rFonts w:hint="eastAsia" w:asciiTheme="minorHAnsi" w:hAnsiTheme="minorHAnsi" w:cstheme="minorBidi"/>
          <w:kern w:val="2"/>
          <w:sz w:val="32"/>
          <w:szCs w:val="28"/>
          <w:highlight w:val="none"/>
          <w:lang w:bidi="ar-SA"/>
        </w:rPr>
        <w:t>立项程序规范性</w:t>
      </w:r>
      <w:r>
        <w:rPr>
          <w:rFonts w:hint="eastAsia" w:hAnsi="Times New Roman" w:cs="Times New Roman"/>
          <w:sz w:val="32"/>
          <w:szCs w:val="32"/>
          <w:highlight w:val="none"/>
        </w:rPr>
        <w:t>（满分4分，实得4分）</w:t>
      </w:r>
    </w:p>
    <w:p w14:paraId="2D90BA0C">
      <w:pPr>
        <w:autoSpaceDE/>
        <w:autoSpaceDN/>
        <w:spacing w:line="600" w:lineRule="exact"/>
        <w:ind w:firstLine="641"/>
        <w:jc w:val="both"/>
        <w:rPr>
          <w:rFonts w:hint="eastAsia" w:asciiTheme="minorHAnsi" w:hAnsiTheme="minorHAnsi" w:cstheme="minorBidi"/>
          <w:kern w:val="2"/>
          <w:sz w:val="32"/>
          <w:szCs w:val="28"/>
          <w:highlight w:val="none"/>
          <w:lang w:val="en-US" w:bidi="ar-SA"/>
        </w:rPr>
      </w:pPr>
      <w:r>
        <w:rPr>
          <w:rFonts w:hint="eastAsia" w:cs="Times New Roman"/>
          <w:sz w:val="32"/>
          <w:szCs w:val="32"/>
          <w:highlight w:val="none"/>
          <w:lang w:val="en-US"/>
        </w:rPr>
        <w:t>项目按照规定的程序申请设立，立项资料符合</w:t>
      </w:r>
      <w:r>
        <w:rPr>
          <w:rFonts w:hint="eastAsia" w:cs="Times New Roman"/>
          <w:sz w:val="32"/>
          <w:szCs w:val="32"/>
          <w:highlight w:val="none"/>
          <w:lang w:val="en-US" w:eastAsia="zh-CN"/>
        </w:rPr>
        <w:t>枣庄</w:t>
      </w:r>
      <w:r>
        <w:rPr>
          <w:rFonts w:hint="eastAsia" w:cs="Times New Roman"/>
          <w:sz w:val="32"/>
          <w:szCs w:val="32"/>
          <w:highlight w:val="none"/>
          <w:lang w:val="en-US"/>
        </w:rPr>
        <w:t>市人</w:t>
      </w:r>
      <w:r>
        <w:rPr>
          <w:rFonts w:hint="eastAsia" w:cs="Times New Roman"/>
          <w:sz w:val="32"/>
          <w:szCs w:val="32"/>
          <w:highlight w:val="none"/>
          <w:lang w:val="en-US" w:eastAsia="zh-CN"/>
        </w:rPr>
        <w:t>民</w:t>
      </w:r>
      <w:r>
        <w:rPr>
          <w:rFonts w:hint="eastAsia" w:cs="Times New Roman"/>
          <w:sz w:val="32"/>
          <w:szCs w:val="32"/>
          <w:highlight w:val="none"/>
          <w:lang w:val="en-US"/>
        </w:rPr>
        <w:t>政府的要求；事前已经过必要集体决策。因此，根据评分</w:t>
      </w:r>
      <w:r>
        <w:rPr>
          <w:rFonts w:hint="eastAsia" w:cs="Times New Roman"/>
          <w:sz w:val="32"/>
          <w:szCs w:val="32"/>
          <w:highlight w:val="none"/>
          <w:lang w:val="en-US" w:eastAsia="zh-CN"/>
        </w:rPr>
        <w:t>标准</w:t>
      </w:r>
      <w:r>
        <w:rPr>
          <w:rFonts w:hint="eastAsia" w:cs="Times New Roman"/>
          <w:sz w:val="32"/>
          <w:szCs w:val="32"/>
          <w:highlight w:val="none"/>
          <w:lang w:val="en-US"/>
        </w:rPr>
        <w:t>，本项指标得分4分，得分率100%</w:t>
      </w:r>
      <w:r>
        <w:rPr>
          <w:rFonts w:hint="eastAsia" w:asciiTheme="minorHAnsi" w:hAnsiTheme="minorHAnsi" w:cstheme="minorBidi"/>
          <w:kern w:val="2"/>
          <w:sz w:val="32"/>
          <w:szCs w:val="28"/>
          <w:highlight w:val="none"/>
          <w:lang w:val="en-US" w:bidi="ar-SA"/>
        </w:rPr>
        <w:t>。</w:t>
      </w:r>
    </w:p>
    <w:p w14:paraId="1905298F">
      <w:pPr>
        <w:pStyle w:val="9"/>
        <w:overflowPunct w:val="0"/>
        <w:spacing w:line="600" w:lineRule="exact"/>
        <w:ind w:firstLine="640" w:firstLineChars="200"/>
        <w:jc w:val="both"/>
        <w:outlineLvl w:val="2"/>
        <w:rPr>
          <w:highlight w:val="none"/>
          <w:lang w:val="en-US"/>
        </w:rPr>
      </w:pPr>
      <w:bookmarkStart w:id="504" w:name="_Toc16820"/>
      <w:r>
        <w:rPr>
          <w:rStyle w:val="43"/>
          <w:rFonts w:hint="eastAsia"/>
          <w:lang w:val="en-US"/>
        </w:rPr>
        <w:t>2.绩效目标</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2</w:t>
      </w:r>
      <w:r>
        <w:rPr>
          <w:rFonts w:hint="eastAsia"/>
          <w:highlight w:val="none"/>
          <w:lang w:val="en-US"/>
        </w:rPr>
        <w:t>分）</w:t>
      </w:r>
      <w:bookmarkEnd w:id="504"/>
    </w:p>
    <w:p w14:paraId="6B29BAD2">
      <w:pPr>
        <w:autoSpaceDE/>
        <w:autoSpaceDN/>
        <w:spacing w:line="600" w:lineRule="exact"/>
        <w:ind w:firstLine="641"/>
        <w:jc w:val="both"/>
        <w:rPr>
          <w:rFonts w:cs="Times New Roman"/>
          <w:sz w:val="32"/>
          <w:szCs w:val="32"/>
          <w:highlight w:val="none"/>
          <w:lang w:val="en-US"/>
        </w:rPr>
      </w:pPr>
      <w:r>
        <w:rPr>
          <w:rFonts w:hint="eastAsia" w:cs="Times New Roman"/>
          <w:sz w:val="32"/>
          <w:szCs w:val="32"/>
          <w:highlight w:val="none"/>
          <w:lang w:val="en-US"/>
        </w:rPr>
        <w:t>（1）绩效目标合理性（满分</w:t>
      </w:r>
      <w:r>
        <w:rPr>
          <w:rFonts w:hint="eastAsia" w:cs="Times New Roman"/>
          <w:sz w:val="32"/>
          <w:szCs w:val="32"/>
          <w:highlight w:val="none"/>
          <w:lang w:val="en-US" w:eastAsia="zh-CN"/>
        </w:rPr>
        <w:t>2</w:t>
      </w:r>
      <w:r>
        <w:rPr>
          <w:rFonts w:hint="eastAsia" w:cs="Times New Roman"/>
          <w:sz w:val="32"/>
          <w:szCs w:val="32"/>
          <w:highlight w:val="none"/>
          <w:lang w:val="en-US"/>
        </w:rPr>
        <w:t>分，实得</w:t>
      </w:r>
      <w:r>
        <w:rPr>
          <w:rFonts w:hint="eastAsia" w:cs="Times New Roman"/>
          <w:sz w:val="32"/>
          <w:szCs w:val="32"/>
          <w:highlight w:val="none"/>
          <w:lang w:val="en-US" w:eastAsia="zh-CN"/>
        </w:rPr>
        <w:t>1</w:t>
      </w:r>
      <w:r>
        <w:rPr>
          <w:rFonts w:hint="eastAsia" w:cs="Times New Roman"/>
          <w:sz w:val="32"/>
          <w:szCs w:val="32"/>
          <w:highlight w:val="none"/>
          <w:lang w:val="en-US"/>
        </w:rPr>
        <w:t>分）</w:t>
      </w:r>
    </w:p>
    <w:p w14:paraId="5586B59A">
      <w:pPr>
        <w:autoSpaceDE/>
        <w:autoSpaceDN/>
        <w:spacing w:line="600" w:lineRule="exact"/>
        <w:ind w:firstLine="641"/>
        <w:jc w:val="both"/>
        <w:rPr>
          <w:rFonts w:cs="Times New Roman"/>
          <w:sz w:val="32"/>
          <w:szCs w:val="32"/>
          <w:highlight w:val="none"/>
          <w:lang w:val="en-US"/>
        </w:rPr>
      </w:pPr>
      <w:r>
        <w:rPr>
          <w:rFonts w:hint="eastAsia" w:cs="Times New Roman"/>
          <w:sz w:val="32"/>
          <w:szCs w:val="32"/>
          <w:highlight w:val="none"/>
          <w:lang w:val="en-US" w:eastAsia="zh-CN"/>
        </w:rPr>
        <w:t>根据部门提供的绩效目标申报表，2022年度被评价单位设置的绩效目标与工作任务相关联，但指标设置不合理，多个目标值未填写体现产出效益的目标值，例如指标名称填写招聘会，指标值填写80%，二者明显不匹配，预期产出效益和效果无法体现，项目投资额或资金量不匹配。</w:t>
      </w:r>
      <w:r>
        <w:rPr>
          <w:rFonts w:hint="eastAsia" w:cs="Times New Roman"/>
          <w:sz w:val="32"/>
          <w:szCs w:val="32"/>
          <w:highlight w:val="none"/>
          <w:lang w:val="en-US"/>
        </w:rPr>
        <w:t>因此根据评分</w:t>
      </w:r>
      <w:r>
        <w:rPr>
          <w:rFonts w:hint="eastAsia" w:cs="Times New Roman"/>
          <w:sz w:val="32"/>
          <w:szCs w:val="32"/>
          <w:highlight w:val="none"/>
          <w:lang w:val="en-US" w:eastAsia="zh-CN"/>
        </w:rPr>
        <w:t>标准</w:t>
      </w:r>
      <w:r>
        <w:rPr>
          <w:rFonts w:hint="eastAsia" w:cs="Times New Roman"/>
          <w:sz w:val="32"/>
          <w:szCs w:val="32"/>
          <w:highlight w:val="none"/>
          <w:lang w:val="en-US"/>
        </w:rPr>
        <w:t>，本项指标得</w:t>
      </w:r>
      <w:r>
        <w:rPr>
          <w:rFonts w:hint="eastAsia" w:cs="Times New Roman"/>
          <w:sz w:val="32"/>
          <w:szCs w:val="32"/>
          <w:highlight w:val="none"/>
          <w:lang w:val="en-US" w:eastAsia="zh-CN"/>
        </w:rPr>
        <w:t>1</w:t>
      </w:r>
      <w:r>
        <w:rPr>
          <w:rFonts w:hint="eastAsia" w:cs="Times New Roman"/>
          <w:sz w:val="32"/>
          <w:szCs w:val="32"/>
          <w:highlight w:val="none"/>
          <w:lang w:val="en-US"/>
        </w:rPr>
        <w:t>分，得分率</w:t>
      </w:r>
      <w:r>
        <w:rPr>
          <w:rFonts w:hint="eastAsia" w:cs="Times New Roman"/>
          <w:sz w:val="32"/>
          <w:szCs w:val="32"/>
          <w:highlight w:val="none"/>
          <w:lang w:val="en-US" w:eastAsia="zh-CN"/>
        </w:rPr>
        <w:t>50</w:t>
      </w:r>
      <w:r>
        <w:rPr>
          <w:rFonts w:hint="eastAsia" w:cs="Times New Roman"/>
          <w:sz w:val="32"/>
          <w:szCs w:val="32"/>
          <w:highlight w:val="none"/>
          <w:lang w:val="en-US"/>
        </w:rPr>
        <w:t>%。</w:t>
      </w:r>
    </w:p>
    <w:p w14:paraId="6BE52359">
      <w:pPr>
        <w:pStyle w:val="9"/>
        <w:overflowPunct w:val="0"/>
        <w:spacing w:line="600" w:lineRule="exact"/>
        <w:ind w:firstLine="640" w:firstLineChars="200"/>
        <w:jc w:val="both"/>
        <w:rPr>
          <w:highlight w:val="none"/>
        </w:rPr>
      </w:pPr>
      <w:r>
        <w:rPr>
          <w:rFonts w:hint="eastAsia"/>
          <w:highlight w:val="none"/>
        </w:rPr>
        <w:t>（</w:t>
      </w:r>
      <w:r>
        <w:rPr>
          <w:rFonts w:hint="eastAsia"/>
          <w:highlight w:val="none"/>
          <w:lang w:val="en-US"/>
        </w:rPr>
        <w:t>2</w:t>
      </w:r>
      <w:r>
        <w:rPr>
          <w:rFonts w:hint="eastAsia"/>
          <w:highlight w:val="none"/>
        </w:rPr>
        <w:t>）</w:t>
      </w:r>
      <w:r>
        <w:rPr>
          <w:rFonts w:hint="eastAsia"/>
          <w:highlight w:val="none"/>
          <w:lang w:val="en-US"/>
        </w:rPr>
        <w:t>绩效指标明确性（满分3分，实得</w:t>
      </w:r>
      <w:r>
        <w:rPr>
          <w:rFonts w:hint="eastAsia"/>
          <w:highlight w:val="none"/>
          <w:lang w:val="en-US" w:eastAsia="zh-CN"/>
        </w:rPr>
        <w:t>1</w:t>
      </w:r>
      <w:r>
        <w:rPr>
          <w:rFonts w:hint="eastAsia"/>
          <w:highlight w:val="none"/>
          <w:lang w:val="en-US"/>
        </w:rPr>
        <w:t>分）</w:t>
      </w:r>
    </w:p>
    <w:p w14:paraId="02738FC3">
      <w:pPr>
        <w:pStyle w:val="9"/>
        <w:overflowPunct w:val="0"/>
        <w:spacing w:line="600" w:lineRule="exact"/>
        <w:ind w:firstLine="640" w:firstLineChars="200"/>
        <w:jc w:val="both"/>
        <w:rPr>
          <w:highlight w:val="none"/>
          <w:lang w:val="en-US"/>
        </w:rPr>
      </w:pPr>
      <w:r>
        <w:rPr>
          <w:rFonts w:hint="eastAsia" w:cs="Times New Roman"/>
          <w:sz w:val="32"/>
          <w:szCs w:val="32"/>
          <w:highlight w:val="none"/>
          <w:lang w:val="en-US" w:eastAsia="zh-CN"/>
        </w:rPr>
        <w:t>根据部门提供的绩效目标申报表，项目绩效目标未细化分解为具体的绩效指标，例如招聘会项目仅填写了项目名称未分解成指标；指标值均量化可衡量；与项目目标任务数或计划数不对应，项目目标任务共14个，仅填写了8个</w:t>
      </w:r>
      <w:r>
        <w:rPr>
          <w:rFonts w:hint="eastAsia"/>
          <w:highlight w:val="none"/>
        </w:rPr>
        <w:t>。</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，本项指标得分</w:t>
      </w:r>
      <w:r>
        <w:rPr>
          <w:rFonts w:hint="eastAsia"/>
          <w:highlight w:val="none"/>
          <w:lang w:val="en-US" w:eastAsia="zh-CN"/>
        </w:rPr>
        <w:t>1</w:t>
      </w:r>
      <w:r>
        <w:rPr>
          <w:rFonts w:hint="eastAsia"/>
          <w:highlight w:val="none"/>
          <w:lang w:val="en-US"/>
        </w:rPr>
        <w:t>分，得分率</w:t>
      </w:r>
      <w:r>
        <w:rPr>
          <w:rFonts w:hint="eastAsia"/>
          <w:highlight w:val="none"/>
          <w:lang w:val="en-US" w:eastAsia="zh-CN"/>
        </w:rPr>
        <w:t>33.3</w:t>
      </w:r>
      <w:r>
        <w:rPr>
          <w:rFonts w:hint="eastAsia"/>
          <w:highlight w:val="none"/>
          <w:lang w:val="en-US"/>
        </w:rPr>
        <w:t>%。</w:t>
      </w:r>
    </w:p>
    <w:p w14:paraId="52F7B94A">
      <w:pPr>
        <w:pStyle w:val="9"/>
        <w:overflowPunct w:val="0"/>
        <w:spacing w:line="600" w:lineRule="exact"/>
        <w:ind w:firstLine="640" w:firstLineChars="200"/>
        <w:jc w:val="both"/>
        <w:outlineLvl w:val="2"/>
        <w:rPr>
          <w:highlight w:val="none"/>
          <w:lang w:val="en-US"/>
        </w:rPr>
      </w:pPr>
      <w:bookmarkStart w:id="505" w:name="_Toc16815"/>
      <w:r>
        <w:rPr>
          <w:rStyle w:val="43"/>
          <w:rFonts w:hint="eastAsia"/>
          <w:lang w:val="en-US"/>
        </w:rPr>
        <w:t>3.资金投入</w:t>
      </w:r>
      <w:r>
        <w:rPr>
          <w:rFonts w:hint="eastAsia"/>
          <w:highlight w:val="none"/>
          <w:lang w:val="en-US"/>
        </w:rPr>
        <w:t>（满分7分，实得</w:t>
      </w:r>
      <w:r>
        <w:rPr>
          <w:rFonts w:hint="eastAsia"/>
          <w:highlight w:val="none"/>
          <w:lang w:val="en-US" w:eastAsia="zh-CN"/>
        </w:rPr>
        <w:t>6</w:t>
      </w:r>
      <w:r>
        <w:rPr>
          <w:rFonts w:hint="eastAsia"/>
          <w:highlight w:val="none"/>
          <w:lang w:val="en-US"/>
        </w:rPr>
        <w:t>分）</w:t>
      </w:r>
      <w:bookmarkEnd w:id="505"/>
    </w:p>
    <w:p w14:paraId="2E69F8FD">
      <w:pPr>
        <w:pStyle w:val="9"/>
        <w:overflowPunct w:val="0"/>
        <w:spacing w:line="600" w:lineRule="exact"/>
        <w:ind w:firstLine="640" w:firstLineChars="200"/>
        <w:jc w:val="both"/>
        <w:rPr>
          <w:highlight w:val="none"/>
        </w:rPr>
      </w:pPr>
      <w:r>
        <w:rPr>
          <w:rFonts w:hint="eastAsia"/>
          <w:highlight w:val="none"/>
        </w:rPr>
        <w:t>（</w:t>
      </w:r>
      <w:r>
        <w:rPr>
          <w:rFonts w:hint="eastAsia"/>
          <w:highlight w:val="none"/>
          <w:lang w:val="en-US"/>
        </w:rPr>
        <w:t>1</w:t>
      </w:r>
      <w:r>
        <w:rPr>
          <w:rFonts w:hint="eastAsia"/>
          <w:highlight w:val="none"/>
        </w:rPr>
        <w:t>）预算编制科学性（</w:t>
      </w:r>
      <w:r>
        <w:rPr>
          <w:rFonts w:hint="eastAsia" w:hAnsi="Times New Roman" w:cs="Times New Roman"/>
          <w:highlight w:val="none"/>
          <w:lang w:val="en-US"/>
        </w:rPr>
        <w:t>满分4分，实得</w:t>
      </w:r>
      <w:r>
        <w:rPr>
          <w:rFonts w:hint="eastAsia" w:hAnsi="Times New Roman" w:cs="Times New Roman"/>
          <w:highlight w:val="none"/>
          <w:lang w:val="en-US" w:eastAsia="zh-CN"/>
        </w:rPr>
        <w:t>3</w:t>
      </w:r>
      <w:r>
        <w:rPr>
          <w:rFonts w:hint="eastAsia" w:hAnsi="Times New Roman" w:cs="Times New Roman"/>
          <w:highlight w:val="none"/>
          <w:lang w:val="en-US"/>
        </w:rPr>
        <w:t>分</w:t>
      </w:r>
      <w:r>
        <w:rPr>
          <w:rFonts w:hint="eastAsia"/>
          <w:highlight w:val="none"/>
        </w:rPr>
        <w:t>）</w:t>
      </w:r>
    </w:p>
    <w:p w14:paraId="2BF8EF8D">
      <w:pPr>
        <w:pStyle w:val="9"/>
        <w:overflowPunct w:val="0"/>
        <w:spacing w:line="600" w:lineRule="exact"/>
        <w:ind w:firstLine="640" w:firstLineChars="200"/>
        <w:jc w:val="both"/>
        <w:rPr>
          <w:highlight w:val="none"/>
          <w:lang w:val="en-US"/>
        </w:rPr>
      </w:pPr>
      <w:r>
        <w:rPr>
          <w:rFonts w:hint="eastAsia"/>
          <w:highlight w:val="none"/>
        </w:rPr>
        <w:t>项目</w:t>
      </w:r>
      <w:r>
        <w:rPr>
          <w:rFonts w:hint="eastAsia"/>
          <w:highlight w:val="none"/>
          <w:lang w:eastAsia="zh-CN"/>
        </w:rPr>
        <w:t>总</w:t>
      </w:r>
      <w:r>
        <w:rPr>
          <w:rFonts w:hint="eastAsia"/>
          <w:highlight w:val="none"/>
        </w:rPr>
        <w:t>预算经过了科学论证；预算内容与项目内容匹配；预算额度测算依据充分，</w:t>
      </w:r>
      <w:r>
        <w:rPr>
          <w:rFonts w:hint="eastAsia"/>
          <w:highlight w:val="none"/>
          <w:lang w:val="en-US" w:eastAsia="zh-CN"/>
        </w:rPr>
        <w:t>各补贴项目预算完全</w:t>
      </w:r>
      <w:r>
        <w:rPr>
          <w:rFonts w:hint="eastAsia"/>
          <w:highlight w:val="none"/>
        </w:rPr>
        <w:t>按照</w:t>
      </w:r>
      <w:r>
        <w:rPr>
          <w:rFonts w:hint="eastAsia"/>
          <w:highlight w:val="none"/>
          <w:lang w:val="en-US" w:eastAsia="zh-CN"/>
        </w:rPr>
        <w:t>上级政策文件确定的</w:t>
      </w:r>
      <w:r>
        <w:rPr>
          <w:rFonts w:hint="eastAsia"/>
          <w:highlight w:val="none"/>
        </w:rPr>
        <w:t>标准编制；预算确定的项目资金量与工作任务相匹配。</w:t>
      </w:r>
      <w:r>
        <w:rPr>
          <w:rFonts w:hint="eastAsia"/>
          <w:highlight w:val="none"/>
          <w:lang w:val="en-US" w:eastAsia="zh-CN"/>
        </w:rPr>
        <w:t>将所有项目打包编制预算，扣1分。</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w:t>
      </w:r>
      <w:r>
        <w:rPr>
          <w:rFonts w:hint="eastAsia"/>
          <w:highlight w:val="none"/>
          <w:lang w:val="en-US" w:eastAsia="zh-CN"/>
        </w:rPr>
        <w:t>3</w:t>
      </w:r>
      <w:r>
        <w:rPr>
          <w:rFonts w:hint="eastAsia"/>
          <w:highlight w:val="none"/>
          <w:lang w:val="en-US"/>
        </w:rPr>
        <w:t>分，得分率</w:t>
      </w:r>
      <w:r>
        <w:rPr>
          <w:rFonts w:hint="eastAsia"/>
          <w:highlight w:val="none"/>
          <w:lang w:val="en-US" w:eastAsia="zh-CN"/>
        </w:rPr>
        <w:t>75</w:t>
      </w:r>
      <w:r>
        <w:rPr>
          <w:rFonts w:hint="eastAsia"/>
          <w:highlight w:val="none"/>
          <w:lang w:val="en-US"/>
        </w:rPr>
        <w:t>%。</w:t>
      </w:r>
    </w:p>
    <w:p w14:paraId="34E47A75">
      <w:pPr>
        <w:pStyle w:val="9"/>
        <w:overflowPunct w:val="0"/>
        <w:spacing w:line="600" w:lineRule="exact"/>
        <w:ind w:firstLine="640" w:firstLineChars="200"/>
        <w:jc w:val="both"/>
        <w:rPr>
          <w:highlight w:val="none"/>
        </w:rPr>
      </w:pPr>
      <w:r>
        <w:rPr>
          <w:rFonts w:hint="eastAsia"/>
          <w:highlight w:val="none"/>
        </w:rPr>
        <w:t>（</w:t>
      </w:r>
      <w:r>
        <w:rPr>
          <w:rFonts w:hint="eastAsia"/>
          <w:highlight w:val="none"/>
          <w:lang w:val="en-US"/>
        </w:rPr>
        <w:t>2</w:t>
      </w:r>
      <w:r>
        <w:rPr>
          <w:rFonts w:hint="eastAsia"/>
          <w:highlight w:val="none"/>
        </w:rPr>
        <w:t>）</w:t>
      </w:r>
      <w:r>
        <w:rPr>
          <w:rFonts w:hint="eastAsia"/>
          <w:color w:val="auto"/>
          <w:highlight w:val="none"/>
        </w:rPr>
        <w:t>资金分配合理性</w:t>
      </w:r>
      <w:r>
        <w:rPr>
          <w:rFonts w:hint="eastAsia"/>
          <w:highlight w:val="none"/>
        </w:rPr>
        <w:t>（</w:t>
      </w:r>
      <w:r>
        <w:rPr>
          <w:rFonts w:hint="eastAsia" w:hAnsi="Times New Roman" w:cs="Times New Roman"/>
          <w:highlight w:val="none"/>
          <w:lang w:val="en-US"/>
        </w:rPr>
        <w:t>满分3分，实得3分</w:t>
      </w:r>
      <w:r>
        <w:rPr>
          <w:rFonts w:hint="eastAsia"/>
          <w:highlight w:val="none"/>
        </w:rPr>
        <w:t>）</w:t>
      </w:r>
    </w:p>
    <w:p w14:paraId="1CDC4B31">
      <w:pPr>
        <w:pStyle w:val="9"/>
        <w:overflowPunct w:val="0"/>
        <w:spacing w:line="600" w:lineRule="exact"/>
        <w:ind w:firstLine="640" w:firstLineChars="200"/>
        <w:jc w:val="both"/>
        <w:rPr>
          <w:rFonts w:hint="default" w:eastAsia="仿宋_GB2312"/>
          <w:highlight w:val="none"/>
          <w:lang w:val="en-US" w:eastAsia="zh-CN"/>
        </w:rPr>
      </w:pPr>
      <w:r>
        <w:rPr>
          <w:rFonts w:hint="eastAsia"/>
          <w:highlight w:val="none"/>
          <w:lang w:val="en-US" w:eastAsia="zh-CN"/>
        </w:rPr>
        <w:t>通过分析被评价单位的预算和实际支出情况，</w:t>
      </w:r>
      <w:r>
        <w:rPr>
          <w:rFonts w:hint="eastAsia"/>
          <w:highlight w:val="none"/>
        </w:rPr>
        <w:t>项目预算资金</w:t>
      </w:r>
      <w:r>
        <w:rPr>
          <w:rFonts w:hint="eastAsia"/>
          <w:highlight w:val="none"/>
          <w:lang w:val="en-US" w:eastAsia="zh-CN"/>
        </w:rPr>
        <w:t>完全根据上级政策文件进行分配，</w:t>
      </w:r>
      <w:r>
        <w:rPr>
          <w:rFonts w:hint="eastAsia"/>
          <w:highlight w:val="none"/>
        </w:rPr>
        <w:t>分配依据充分；资金分配额度合理,与项目单位</w:t>
      </w:r>
      <w:r>
        <w:rPr>
          <w:rFonts w:hint="eastAsia"/>
          <w:highlight w:val="none"/>
          <w:lang w:val="en-US" w:eastAsia="zh-CN"/>
        </w:rPr>
        <w:t>及</w:t>
      </w:r>
      <w:r>
        <w:rPr>
          <w:rFonts w:hint="eastAsia"/>
          <w:highlight w:val="none"/>
        </w:rPr>
        <w:t>地方实际相适应。</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，本项指标得分3分，得分率100%。</w:t>
      </w:r>
    </w:p>
    <w:p w14:paraId="433268D5">
      <w:pPr>
        <w:pStyle w:val="4"/>
        <w:bidi w:val="0"/>
      </w:pPr>
      <w:bookmarkStart w:id="506" w:name="_Toc10095"/>
      <w:bookmarkStart w:id="507" w:name="_Toc8038"/>
      <w:bookmarkStart w:id="508" w:name="_Toc13140"/>
      <w:bookmarkStart w:id="509" w:name="_Toc28432"/>
      <w:bookmarkStart w:id="510" w:name="_Toc24484"/>
      <w:bookmarkStart w:id="511" w:name="_Toc18928"/>
      <w:bookmarkStart w:id="512" w:name="_Toc8213"/>
      <w:bookmarkStart w:id="513" w:name="_Toc11028"/>
      <w:bookmarkStart w:id="514" w:name="_Toc24764"/>
      <w:bookmarkStart w:id="515" w:name="_Toc9968"/>
      <w:bookmarkStart w:id="516" w:name="_Toc20606"/>
      <w:bookmarkStart w:id="517" w:name="_Toc13704"/>
      <w:bookmarkStart w:id="518" w:name="_Toc2814"/>
      <w:bookmarkStart w:id="519" w:name="_Toc1410"/>
      <w:bookmarkStart w:id="520" w:name="_Toc31626"/>
      <w:r>
        <w:rPr>
          <w:rFonts w:hint="eastAsia"/>
        </w:rPr>
        <w:t>（二）项目过程情况</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4E5C0C76">
      <w:pPr>
        <w:pStyle w:val="9"/>
        <w:overflowPunct w:val="0"/>
        <w:spacing w:line="600" w:lineRule="exact"/>
        <w:ind w:firstLine="640" w:firstLineChars="200"/>
        <w:jc w:val="both"/>
        <w:outlineLvl w:val="2"/>
        <w:rPr>
          <w:highlight w:val="none"/>
          <w:lang w:val="en-US"/>
        </w:rPr>
      </w:pPr>
      <w:bookmarkStart w:id="521" w:name="_Toc13953"/>
      <w:r>
        <w:rPr>
          <w:rStyle w:val="43"/>
          <w:rFonts w:hint="eastAsia"/>
          <w:lang w:val="en-US"/>
        </w:rPr>
        <w:t>1.资金管理</w:t>
      </w:r>
      <w:r>
        <w:rPr>
          <w:rFonts w:hint="eastAsia"/>
          <w:highlight w:val="none"/>
          <w:lang w:val="en-US"/>
        </w:rPr>
        <w:t>（满分1</w:t>
      </w:r>
      <w:r>
        <w:rPr>
          <w:rFonts w:hint="eastAsia"/>
          <w:highlight w:val="none"/>
          <w:lang w:val="en-US" w:eastAsia="zh-CN"/>
        </w:rPr>
        <w:t>0</w:t>
      </w:r>
      <w:r>
        <w:rPr>
          <w:rFonts w:hint="eastAsia"/>
          <w:highlight w:val="none"/>
          <w:lang w:val="en-US"/>
        </w:rPr>
        <w:t>分，实得</w:t>
      </w:r>
      <w:r>
        <w:rPr>
          <w:rFonts w:hint="eastAsia"/>
          <w:highlight w:val="none"/>
          <w:lang w:val="en-US" w:eastAsia="zh-CN"/>
        </w:rPr>
        <w:t>10</w:t>
      </w:r>
      <w:r>
        <w:rPr>
          <w:rFonts w:hint="eastAsia"/>
          <w:highlight w:val="none"/>
          <w:lang w:val="en-US"/>
        </w:rPr>
        <w:t>分）</w:t>
      </w:r>
      <w:bookmarkEnd w:id="521"/>
    </w:p>
    <w:p w14:paraId="167C0E2B">
      <w:pPr>
        <w:pStyle w:val="9"/>
        <w:overflowPunct w:val="0"/>
        <w:spacing w:line="600" w:lineRule="exact"/>
        <w:ind w:firstLine="640" w:firstLineChars="200"/>
        <w:jc w:val="both"/>
        <w:rPr>
          <w:highlight w:val="none"/>
        </w:rPr>
      </w:pPr>
      <w:r>
        <w:rPr>
          <w:rFonts w:hint="eastAsia"/>
          <w:highlight w:val="none"/>
          <w:lang w:val="en-US"/>
        </w:rPr>
        <w:t>（1）资金到位率</w:t>
      </w:r>
      <w:r>
        <w:rPr>
          <w:rFonts w:hint="eastAsia"/>
          <w:highlight w:val="none"/>
        </w:rPr>
        <w:t>（</w:t>
      </w:r>
      <w:r>
        <w:rPr>
          <w:rFonts w:hint="eastAsia" w:hAnsi="Times New Roman" w:cs="Times New Roman"/>
          <w:highlight w:val="none"/>
          <w:lang w:val="en-US"/>
        </w:rPr>
        <w:t>满分</w:t>
      </w:r>
      <w:r>
        <w:rPr>
          <w:rFonts w:hint="eastAsia" w:hAnsi="Times New Roman" w:cs="Times New Roman"/>
          <w:highlight w:val="none"/>
          <w:lang w:val="en-US" w:eastAsia="zh-CN"/>
        </w:rPr>
        <w:t>3</w:t>
      </w:r>
      <w:r>
        <w:rPr>
          <w:rFonts w:hint="eastAsia" w:hAnsi="Times New Roman" w:cs="Times New Roman"/>
          <w:highlight w:val="none"/>
          <w:lang w:val="en-US"/>
        </w:rPr>
        <w:t>分，实得</w:t>
      </w:r>
      <w:r>
        <w:rPr>
          <w:rFonts w:hint="eastAsia" w:hAnsi="Times New Roman" w:cs="Times New Roman"/>
          <w:highlight w:val="none"/>
          <w:lang w:val="en-US" w:eastAsia="zh-CN"/>
        </w:rPr>
        <w:t>3</w:t>
      </w:r>
      <w:r>
        <w:rPr>
          <w:rFonts w:hint="eastAsia" w:hAnsi="Times New Roman" w:cs="Times New Roman"/>
          <w:highlight w:val="none"/>
          <w:lang w:val="en-US"/>
        </w:rPr>
        <w:t>分</w:t>
      </w:r>
      <w:r>
        <w:rPr>
          <w:rFonts w:hint="eastAsia"/>
          <w:highlight w:val="none"/>
        </w:rPr>
        <w:t>）</w:t>
      </w:r>
    </w:p>
    <w:p w14:paraId="2C7A276A">
      <w:pPr>
        <w:pStyle w:val="9"/>
        <w:overflowPunct w:val="0"/>
        <w:spacing w:line="600" w:lineRule="exact"/>
        <w:ind w:firstLine="640" w:firstLineChars="200"/>
        <w:jc w:val="both"/>
        <w:rPr>
          <w:highlight w:val="none"/>
        </w:rPr>
      </w:pPr>
      <w:r>
        <w:rPr>
          <w:rFonts w:hint="eastAsia"/>
          <w:highlight w:val="none"/>
          <w:lang w:val="en-US" w:eastAsia="zh-CN"/>
        </w:rPr>
        <w:t>2022年度人力资源经费项目到位资金808.51万元，调整后预算资金808.51万元，</w:t>
      </w:r>
      <w:r>
        <w:rPr>
          <w:rFonts w:hint="eastAsia"/>
          <w:highlight w:val="none"/>
          <w:lang w:val="en-US"/>
        </w:rPr>
        <w:t>资金到位率=(</w:t>
      </w:r>
      <w:r>
        <w:rPr>
          <w:rFonts w:hint="eastAsia"/>
          <w:highlight w:val="none"/>
          <w:lang w:val="en-US" w:eastAsia="zh-CN"/>
        </w:rPr>
        <w:t>808.51</w:t>
      </w:r>
      <w:r>
        <w:rPr>
          <w:rFonts w:hint="eastAsia"/>
          <w:highlight w:val="none"/>
          <w:lang w:val="en-US"/>
        </w:rPr>
        <w:t>/</w:t>
      </w:r>
      <w:r>
        <w:rPr>
          <w:rFonts w:hint="eastAsia"/>
          <w:highlight w:val="none"/>
          <w:lang w:val="en-US" w:eastAsia="zh-CN"/>
        </w:rPr>
        <w:t>808.51</w:t>
      </w:r>
      <w:r>
        <w:rPr>
          <w:rFonts w:hint="eastAsia"/>
          <w:highlight w:val="none"/>
          <w:lang w:val="en-US"/>
        </w:rPr>
        <w:t>）×100%=</w:t>
      </w:r>
      <w:r>
        <w:rPr>
          <w:rFonts w:hint="eastAsia"/>
          <w:highlight w:val="none"/>
          <w:lang w:val="en-US" w:eastAsia="zh-CN"/>
        </w:rPr>
        <w:t>100</w:t>
      </w:r>
      <w:r>
        <w:rPr>
          <w:rFonts w:hint="eastAsia"/>
          <w:highlight w:val="none"/>
          <w:lang w:val="en-US"/>
        </w:rPr>
        <w:t>%。</w:t>
      </w:r>
      <w:r>
        <w:rPr>
          <w:rFonts w:hint="eastAsia"/>
          <w:highlight w:val="none"/>
          <w:lang w:val="en-US" w:eastAsia="zh-CN"/>
        </w:rPr>
        <w:t>根据评分标准“资金到位率达到100%得3分”，</w:t>
      </w:r>
      <w:r>
        <w:rPr>
          <w:rFonts w:hint="eastAsia"/>
          <w:highlight w:val="none"/>
          <w:lang w:val="en-US"/>
        </w:rPr>
        <w:t>本项指标得</w:t>
      </w:r>
      <w:r>
        <w:rPr>
          <w:rFonts w:hint="eastAsia"/>
          <w:highlight w:val="none"/>
          <w:lang w:val="en-US" w:eastAsia="zh-CN"/>
        </w:rPr>
        <w:t>3</w:t>
      </w:r>
      <w:r>
        <w:rPr>
          <w:rFonts w:hint="eastAsia"/>
          <w:highlight w:val="none"/>
          <w:lang w:val="en-US"/>
        </w:rPr>
        <w:t>分，得分率</w:t>
      </w:r>
      <w:r>
        <w:rPr>
          <w:rFonts w:hint="eastAsia"/>
          <w:highlight w:val="none"/>
          <w:lang w:val="en-US" w:eastAsia="zh-CN"/>
        </w:rPr>
        <w:t>10</w:t>
      </w:r>
      <w:r>
        <w:rPr>
          <w:rFonts w:hint="eastAsia"/>
          <w:highlight w:val="none"/>
          <w:lang w:val="en-US"/>
        </w:rPr>
        <w:t>0%。</w:t>
      </w:r>
    </w:p>
    <w:p w14:paraId="100D15B6">
      <w:pPr>
        <w:pStyle w:val="9"/>
        <w:overflowPunct w:val="0"/>
        <w:spacing w:line="600" w:lineRule="exact"/>
        <w:ind w:firstLine="640" w:firstLineChars="200"/>
        <w:jc w:val="both"/>
        <w:rPr>
          <w:highlight w:val="none"/>
        </w:rPr>
      </w:pPr>
      <w:r>
        <w:rPr>
          <w:rFonts w:hint="eastAsia"/>
          <w:highlight w:val="none"/>
          <w:lang w:val="en-US"/>
        </w:rPr>
        <w:t>（2）预算执行率</w:t>
      </w:r>
      <w:r>
        <w:rPr>
          <w:rFonts w:hint="eastAsia"/>
          <w:highlight w:val="none"/>
        </w:rPr>
        <w:t>（</w:t>
      </w:r>
      <w:r>
        <w:rPr>
          <w:rFonts w:hint="eastAsia" w:hAnsi="Times New Roman" w:cs="Times New Roman"/>
          <w:highlight w:val="none"/>
          <w:lang w:val="en-US"/>
        </w:rPr>
        <w:t>满分</w:t>
      </w:r>
      <w:r>
        <w:rPr>
          <w:rFonts w:hint="eastAsia" w:hAnsi="Times New Roman" w:cs="Times New Roman"/>
          <w:highlight w:val="none"/>
          <w:lang w:val="en-US" w:eastAsia="zh-CN"/>
        </w:rPr>
        <w:t>3</w:t>
      </w:r>
      <w:r>
        <w:rPr>
          <w:rFonts w:hint="eastAsia" w:hAnsi="Times New Roman" w:cs="Times New Roman"/>
          <w:highlight w:val="none"/>
          <w:lang w:val="en-US"/>
        </w:rPr>
        <w:t>分，实得</w:t>
      </w:r>
      <w:r>
        <w:rPr>
          <w:rFonts w:hint="eastAsia" w:hAnsi="Times New Roman" w:cs="Times New Roman"/>
          <w:highlight w:val="none"/>
          <w:lang w:val="en-US" w:eastAsia="zh-CN"/>
        </w:rPr>
        <w:t>3</w:t>
      </w:r>
      <w:r>
        <w:rPr>
          <w:rFonts w:hint="eastAsia" w:hAnsi="Times New Roman" w:cs="Times New Roman"/>
          <w:highlight w:val="none"/>
          <w:lang w:val="en-US"/>
        </w:rPr>
        <w:t>分</w:t>
      </w:r>
      <w:r>
        <w:rPr>
          <w:rFonts w:hint="eastAsia"/>
          <w:highlight w:val="none"/>
        </w:rPr>
        <w:t>）</w:t>
      </w:r>
    </w:p>
    <w:p w14:paraId="28AEAF2F">
      <w:pPr>
        <w:pStyle w:val="9"/>
        <w:overflowPunct w:val="0"/>
        <w:spacing w:line="600" w:lineRule="exact"/>
        <w:ind w:firstLine="640" w:firstLineChars="200"/>
        <w:jc w:val="both"/>
        <w:rPr>
          <w:highlight w:val="none"/>
          <w:lang w:val="en-US"/>
        </w:rPr>
      </w:pPr>
      <w:r>
        <w:rPr>
          <w:rFonts w:hint="eastAsia"/>
          <w:highlight w:val="none"/>
          <w:lang w:val="en-US" w:eastAsia="zh-CN"/>
        </w:rPr>
        <w:t>2022年度人力资源经费项目实际支出808.51万元，调整后预算资金800万元，</w:t>
      </w:r>
      <w:r>
        <w:rPr>
          <w:rFonts w:hint="eastAsia"/>
          <w:highlight w:val="none"/>
          <w:lang w:val="en-US"/>
        </w:rPr>
        <w:t>预算执行率=(</w:t>
      </w:r>
      <w:r>
        <w:rPr>
          <w:rFonts w:hint="eastAsia"/>
          <w:highlight w:val="none"/>
          <w:lang w:val="en-US" w:eastAsia="zh-CN"/>
        </w:rPr>
        <w:t>808.51</w:t>
      </w:r>
      <w:r>
        <w:rPr>
          <w:rFonts w:hint="eastAsia"/>
          <w:highlight w:val="none"/>
          <w:lang w:val="en-US"/>
        </w:rPr>
        <w:t>/</w:t>
      </w:r>
      <w:r>
        <w:rPr>
          <w:rFonts w:hint="eastAsia"/>
          <w:highlight w:val="none"/>
          <w:lang w:val="en-US" w:eastAsia="zh-CN"/>
        </w:rPr>
        <w:t>808.51</w:t>
      </w:r>
      <w:r>
        <w:rPr>
          <w:rFonts w:hint="eastAsia"/>
          <w:highlight w:val="none"/>
          <w:lang w:val="en-US"/>
        </w:rPr>
        <w:t>)×100%=</w:t>
      </w:r>
      <w:r>
        <w:rPr>
          <w:rFonts w:hint="eastAsia"/>
          <w:highlight w:val="none"/>
          <w:lang w:val="en-US" w:eastAsia="zh-CN"/>
        </w:rPr>
        <w:t>100</w:t>
      </w:r>
      <w:r>
        <w:rPr>
          <w:rFonts w:hint="eastAsia"/>
          <w:highlight w:val="none"/>
          <w:lang w:val="en-US"/>
        </w:rPr>
        <w:t>%</w:t>
      </w:r>
      <w:r>
        <w:rPr>
          <w:rFonts w:hint="eastAsia"/>
          <w:highlight w:val="none"/>
          <w:lang w:val="en-US" w:eastAsia="zh-CN"/>
        </w:rPr>
        <w:t>。执行率达到100%，</w:t>
      </w:r>
      <w:r>
        <w:rPr>
          <w:rFonts w:hint="eastAsia"/>
          <w:highlight w:val="none"/>
          <w:lang w:val="en-US"/>
        </w:rPr>
        <w:t>因此本项指标得</w:t>
      </w:r>
      <w:r>
        <w:rPr>
          <w:rFonts w:hint="eastAsia"/>
          <w:highlight w:val="none"/>
          <w:lang w:val="en-US" w:eastAsia="zh-CN"/>
        </w:rPr>
        <w:t>3</w:t>
      </w:r>
      <w:r>
        <w:rPr>
          <w:rFonts w:hint="eastAsia"/>
          <w:highlight w:val="none"/>
          <w:lang w:val="en-US"/>
        </w:rPr>
        <w:t>分，得分率</w:t>
      </w:r>
      <w:r>
        <w:rPr>
          <w:rFonts w:hint="eastAsia"/>
          <w:highlight w:val="none"/>
          <w:lang w:val="en-US" w:eastAsia="zh-CN"/>
        </w:rPr>
        <w:t>100%</w:t>
      </w:r>
      <w:r>
        <w:rPr>
          <w:rFonts w:hint="eastAsia"/>
          <w:highlight w:val="none"/>
          <w:lang w:val="en-US"/>
        </w:rPr>
        <w:t>。</w:t>
      </w:r>
    </w:p>
    <w:p w14:paraId="2F6D306A">
      <w:pPr>
        <w:pStyle w:val="9"/>
        <w:overflowPunct w:val="0"/>
        <w:spacing w:line="600" w:lineRule="exact"/>
        <w:ind w:firstLine="640" w:firstLineChars="200"/>
        <w:jc w:val="both"/>
        <w:rPr>
          <w:highlight w:val="none"/>
          <w:lang w:val="en-US"/>
        </w:rPr>
      </w:pPr>
      <w:r>
        <w:rPr>
          <w:rFonts w:hint="eastAsia"/>
          <w:highlight w:val="none"/>
          <w:lang w:val="en-US"/>
        </w:rPr>
        <w:t>（3）资金使用合规性（</w:t>
      </w:r>
      <w:r>
        <w:rPr>
          <w:rFonts w:hint="eastAsia" w:hAnsi="Times New Roman" w:cs="Times New Roman"/>
          <w:highlight w:val="none"/>
          <w:lang w:val="en-US"/>
        </w:rPr>
        <w:t>满分4分，实得</w:t>
      </w:r>
      <w:r>
        <w:rPr>
          <w:rFonts w:hint="eastAsia" w:hAnsi="Times New Roman" w:cs="Times New Roman"/>
          <w:highlight w:val="none"/>
          <w:lang w:val="en-US" w:eastAsia="zh-CN"/>
        </w:rPr>
        <w:t>4</w:t>
      </w:r>
      <w:r>
        <w:rPr>
          <w:rFonts w:hint="eastAsia" w:hAnsi="Times New Roman" w:cs="Times New Roman"/>
          <w:highlight w:val="none"/>
          <w:lang w:val="en-US"/>
        </w:rPr>
        <w:t>分</w:t>
      </w:r>
      <w:r>
        <w:rPr>
          <w:rFonts w:hint="eastAsia"/>
          <w:highlight w:val="none"/>
          <w:lang w:val="en-US"/>
        </w:rPr>
        <w:t>）</w:t>
      </w:r>
    </w:p>
    <w:p w14:paraId="5A09C0C5">
      <w:pPr>
        <w:pStyle w:val="9"/>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highlight w:val="none"/>
          <w:lang w:val="en-US"/>
        </w:rPr>
      </w:pPr>
      <w:r>
        <w:rPr>
          <w:rFonts w:hint="eastAsia"/>
          <w:highlight w:val="none"/>
        </w:rPr>
        <w:t>根据现场调研，项目资金使用符合国家财经法规和财务管理制度以及有关专项资金管理办法</w:t>
      </w:r>
      <w:r>
        <w:rPr>
          <w:rFonts w:hint="eastAsia"/>
          <w:highlight w:val="none"/>
          <w:lang w:eastAsia="zh-CN"/>
        </w:rPr>
        <w:t>，资金的拨付有完整的审批程序和手续，</w:t>
      </w:r>
      <w:r>
        <w:rPr>
          <w:rFonts w:hint="eastAsia"/>
          <w:highlight w:val="none"/>
          <w:lang w:val="en-US" w:eastAsia="zh-CN"/>
        </w:rPr>
        <w:t>2022年支出的资金均以财政金融局下达的指标文为依据，各类补贴资金使用符合项目预算批复的用途，招聘和职称评审费用支出符合合同规定的用途。不存在截留、挤占、挪用、虚列支出、支付用途与预算不相符等情况。</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w:t>
      </w:r>
      <w:r>
        <w:rPr>
          <w:rFonts w:hint="eastAsia"/>
          <w:highlight w:val="none"/>
          <w:lang w:val="en-US" w:eastAsia="zh-CN"/>
        </w:rPr>
        <w:t>4</w:t>
      </w:r>
      <w:r>
        <w:rPr>
          <w:rFonts w:hint="eastAsia"/>
          <w:highlight w:val="none"/>
          <w:lang w:val="en-US"/>
        </w:rPr>
        <w:t>分，得分率</w:t>
      </w:r>
      <w:r>
        <w:rPr>
          <w:rFonts w:hint="eastAsia"/>
          <w:highlight w:val="none"/>
          <w:lang w:val="en-US" w:eastAsia="zh-CN"/>
        </w:rPr>
        <w:t>100%</w:t>
      </w:r>
      <w:r>
        <w:rPr>
          <w:rFonts w:hint="eastAsia"/>
          <w:highlight w:val="none"/>
          <w:lang w:val="en-US"/>
        </w:rPr>
        <w:t>。</w:t>
      </w:r>
    </w:p>
    <w:p w14:paraId="665A78CA">
      <w:pPr>
        <w:pStyle w:val="9"/>
        <w:overflowPunct w:val="0"/>
        <w:spacing w:line="600" w:lineRule="exact"/>
        <w:ind w:firstLine="640" w:firstLineChars="200"/>
        <w:jc w:val="both"/>
        <w:outlineLvl w:val="2"/>
        <w:rPr>
          <w:highlight w:val="none"/>
          <w:lang w:val="en-US"/>
        </w:rPr>
      </w:pPr>
      <w:bookmarkStart w:id="522" w:name="_Toc20759"/>
      <w:r>
        <w:rPr>
          <w:rStyle w:val="43"/>
          <w:rFonts w:hint="eastAsia"/>
          <w:lang w:val="en-US"/>
        </w:rPr>
        <w:t>2.组织实施</w:t>
      </w:r>
      <w:r>
        <w:rPr>
          <w:rFonts w:hint="eastAsia"/>
          <w:highlight w:val="none"/>
          <w:lang w:val="en-US"/>
        </w:rPr>
        <w:t>（满分</w:t>
      </w:r>
      <w:r>
        <w:rPr>
          <w:rFonts w:hint="eastAsia"/>
          <w:highlight w:val="none"/>
          <w:lang w:val="en-US" w:eastAsia="zh-CN"/>
        </w:rPr>
        <w:t>10</w:t>
      </w:r>
      <w:r>
        <w:rPr>
          <w:rFonts w:hint="eastAsia"/>
          <w:highlight w:val="none"/>
          <w:lang w:val="en-US"/>
        </w:rPr>
        <w:t>分，实得</w:t>
      </w:r>
      <w:r>
        <w:rPr>
          <w:rFonts w:hint="eastAsia"/>
          <w:highlight w:val="none"/>
          <w:lang w:val="en-US" w:eastAsia="zh-CN"/>
        </w:rPr>
        <w:t>8</w:t>
      </w:r>
      <w:r>
        <w:rPr>
          <w:rFonts w:hint="eastAsia"/>
          <w:highlight w:val="none"/>
          <w:lang w:val="en-US"/>
        </w:rPr>
        <w:t>分）</w:t>
      </w:r>
      <w:bookmarkEnd w:id="522"/>
    </w:p>
    <w:p w14:paraId="041B45BE">
      <w:pPr>
        <w:pStyle w:val="9"/>
        <w:overflowPunct w:val="0"/>
        <w:spacing w:line="600" w:lineRule="exact"/>
        <w:ind w:firstLine="640" w:firstLineChars="200"/>
        <w:jc w:val="both"/>
        <w:rPr>
          <w:highlight w:val="none"/>
          <w:lang w:val="en-US"/>
        </w:rPr>
      </w:pPr>
      <w:r>
        <w:rPr>
          <w:rFonts w:hint="eastAsia"/>
          <w:highlight w:val="none"/>
          <w:lang w:val="en-US"/>
        </w:rPr>
        <w:t>（1）管理制度健全性（</w:t>
      </w:r>
      <w:r>
        <w:rPr>
          <w:rFonts w:hint="eastAsia" w:hAnsi="Times New Roman" w:cs="Times New Roman"/>
          <w:highlight w:val="none"/>
          <w:lang w:val="en-US"/>
        </w:rPr>
        <w:t>满分</w:t>
      </w:r>
      <w:r>
        <w:rPr>
          <w:rFonts w:hint="eastAsia" w:hAnsi="Times New Roman" w:cs="Times New Roman"/>
          <w:highlight w:val="none"/>
          <w:lang w:val="en-US" w:eastAsia="zh-CN"/>
        </w:rPr>
        <w:t>5</w:t>
      </w:r>
      <w:r>
        <w:rPr>
          <w:rFonts w:hint="eastAsia" w:hAnsi="Times New Roman" w:cs="Times New Roman"/>
          <w:highlight w:val="none"/>
          <w:lang w:val="en-US"/>
        </w:rPr>
        <w:t>分，实得</w:t>
      </w:r>
      <w:r>
        <w:rPr>
          <w:rFonts w:hint="eastAsia" w:hAnsi="Times New Roman" w:cs="Times New Roman"/>
          <w:highlight w:val="none"/>
          <w:lang w:val="en-US" w:eastAsia="zh-CN"/>
        </w:rPr>
        <w:t>5</w:t>
      </w:r>
      <w:r>
        <w:rPr>
          <w:rFonts w:hint="eastAsia" w:hAnsi="Times New Roman" w:cs="Times New Roman"/>
          <w:highlight w:val="none"/>
          <w:lang w:val="en-US"/>
        </w:rPr>
        <w:t>分</w:t>
      </w:r>
      <w:r>
        <w:rPr>
          <w:rFonts w:hint="eastAsia"/>
          <w:highlight w:val="none"/>
          <w:lang w:val="en-US"/>
        </w:rPr>
        <w:t>）</w:t>
      </w:r>
    </w:p>
    <w:p w14:paraId="105FE79A">
      <w:pPr>
        <w:pStyle w:val="9"/>
        <w:overflowPunct w:val="0"/>
        <w:spacing w:line="600" w:lineRule="exact"/>
        <w:ind w:firstLine="640" w:firstLineChars="200"/>
        <w:jc w:val="both"/>
        <w:rPr>
          <w:highlight w:val="none"/>
          <w:lang w:val="en-US"/>
        </w:rPr>
      </w:pPr>
      <w:r>
        <w:rPr>
          <w:rFonts w:hint="eastAsia"/>
          <w:highlight w:val="none"/>
          <w:lang w:val="en-US" w:eastAsia="zh-CN"/>
        </w:rPr>
        <w:t>社会事务综合服务中心</w:t>
      </w:r>
      <w:r>
        <w:rPr>
          <w:rFonts w:hint="eastAsia"/>
          <w:highlight w:val="none"/>
          <w:lang w:val="en-US"/>
        </w:rPr>
        <w:t>具有相应的财务管理制度</w:t>
      </w:r>
      <w:r>
        <w:rPr>
          <w:rFonts w:hint="eastAsia"/>
          <w:highlight w:val="none"/>
          <w:lang w:val="en-US" w:eastAsia="zh-CN"/>
        </w:rPr>
        <w:t>、“三重一大”等业务管理制度</w:t>
      </w:r>
      <w:r>
        <w:rPr>
          <w:rFonts w:hint="eastAsia"/>
          <w:highlight w:val="none"/>
          <w:lang w:val="en-US"/>
        </w:rPr>
        <w:t>；管理制度合法、合规、完整</w:t>
      </w:r>
      <w:r>
        <w:rPr>
          <w:rFonts w:hint="eastAsia"/>
          <w:highlight w:val="none"/>
          <w:lang w:val="en-US" w:eastAsia="zh-CN"/>
        </w:rPr>
        <w:t>。</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，本项指标得分</w:t>
      </w:r>
      <w:r>
        <w:rPr>
          <w:rFonts w:hint="eastAsia"/>
          <w:highlight w:val="none"/>
          <w:lang w:val="en-US" w:eastAsia="zh-CN"/>
        </w:rPr>
        <w:t>5</w:t>
      </w:r>
      <w:r>
        <w:rPr>
          <w:rFonts w:hint="eastAsia"/>
          <w:highlight w:val="none"/>
          <w:lang w:val="en-US"/>
        </w:rPr>
        <w:t>分，得分率</w:t>
      </w:r>
      <w:r>
        <w:rPr>
          <w:rFonts w:hint="eastAsia"/>
          <w:highlight w:val="none"/>
          <w:lang w:val="en-US" w:eastAsia="zh-CN"/>
        </w:rPr>
        <w:t>100</w:t>
      </w:r>
      <w:r>
        <w:rPr>
          <w:rFonts w:hint="eastAsia"/>
          <w:highlight w:val="none"/>
          <w:lang w:val="en-US"/>
        </w:rPr>
        <w:t>%。</w:t>
      </w:r>
    </w:p>
    <w:p w14:paraId="0A045DFB">
      <w:pPr>
        <w:pStyle w:val="9"/>
        <w:overflowPunct w:val="0"/>
        <w:spacing w:line="600" w:lineRule="exact"/>
        <w:ind w:firstLine="640" w:firstLineChars="200"/>
        <w:jc w:val="both"/>
        <w:rPr>
          <w:highlight w:val="none"/>
          <w:lang w:val="en-US"/>
        </w:rPr>
      </w:pPr>
      <w:r>
        <w:rPr>
          <w:rFonts w:hint="eastAsia"/>
          <w:highlight w:val="none"/>
          <w:lang w:val="en-US"/>
        </w:rPr>
        <w:t>（2）制度执行有效性（</w:t>
      </w:r>
      <w:r>
        <w:rPr>
          <w:rFonts w:hint="eastAsia" w:hAnsi="Times New Roman" w:cs="Times New Roman"/>
          <w:highlight w:val="none"/>
          <w:lang w:val="en-US"/>
        </w:rPr>
        <w:t>满分</w:t>
      </w:r>
      <w:r>
        <w:rPr>
          <w:rFonts w:hint="eastAsia" w:hAnsi="Times New Roman" w:cs="Times New Roman"/>
          <w:highlight w:val="none"/>
          <w:lang w:val="en-US" w:eastAsia="zh-CN"/>
        </w:rPr>
        <w:t>5</w:t>
      </w:r>
      <w:r>
        <w:rPr>
          <w:rFonts w:hint="eastAsia" w:hAnsi="Times New Roman" w:cs="Times New Roman"/>
          <w:highlight w:val="none"/>
          <w:lang w:val="en-US"/>
        </w:rPr>
        <w:t>分，实得</w:t>
      </w:r>
      <w:r>
        <w:rPr>
          <w:rFonts w:hint="eastAsia" w:hAnsi="Times New Roman" w:cs="Times New Roman"/>
          <w:highlight w:val="none"/>
          <w:lang w:val="en-US" w:eastAsia="zh-CN"/>
        </w:rPr>
        <w:t>3</w:t>
      </w:r>
      <w:r>
        <w:rPr>
          <w:rFonts w:hint="eastAsia" w:hAnsi="Times New Roman" w:cs="Times New Roman"/>
          <w:highlight w:val="none"/>
          <w:lang w:val="en-US"/>
        </w:rPr>
        <w:t>分</w:t>
      </w:r>
      <w:r>
        <w:rPr>
          <w:rFonts w:hint="eastAsia"/>
          <w:highlight w:val="none"/>
          <w:lang w:val="en-US"/>
        </w:rPr>
        <w:t>）</w:t>
      </w:r>
    </w:p>
    <w:p w14:paraId="3EFEAD52">
      <w:pPr>
        <w:pStyle w:val="9"/>
        <w:overflowPunct w:val="0"/>
        <w:spacing w:line="600" w:lineRule="exact"/>
        <w:ind w:firstLine="640" w:firstLineChars="200"/>
        <w:jc w:val="both"/>
        <w:rPr>
          <w:highlight w:val="none"/>
        </w:rPr>
      </w:pPr>
      <w:r>
        <w:rPr>
          <w:rFonts w:hint="eastAsia"/>
          <w:highlight w:val="none"/>
        </w:rPr>
        <w:t>根据现场调研，</w:t>
      </w:r>
      <w:r>
        <w:rPr>
          <w:rFonts w:hint="eastAsia"/>
          <w:highlight w:val="none"/>
          <w:lang w:val="en-US" w:eastAsia="zh-CN"/>
        </w:rPr>
        <w:t>企业急需紧缺人才申请材料应由社会事务综合服务中心审核，实际由智创人力资源公司审核，不符合规定，扣1分；其他子</w:t>
      </w:r>
      <w:r>
        <w:rPr>
          <w:rFonts w:hint="eastAsia"/>
          <w:highlight w:val="none"/>
          <w:lang w:eastAsia="zh-CN"/>
        </w:rPr>
        <w:t>项目</w:t>
      </w:r>
      <w:r>
        <w:rPr>
          <w:rFonts w:hint="eastAsia"/>
          <w:highlight w:val="none"/>
          <w:lang w:val="en-US" w:eastAsia="zh-CN"/>
        </w:rPr>
        <w:t>遵守相关法律法规和相关管理规定，严格按照政策文件进行项目管理，项目未进行过调整；除企业继续紧缺人才项目外，项目合同书、审核资料等及时归档。</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，本项指标得分</w:t>
      </w:r>
      <w:r>
        <w:rPr>
          <w:rFonts w:hint="eastAsia"/>
          <w:highlight w:val="none"/>
          <w:lang w:val="en-US" w:eastAsia="zh-CN"/>
        </w:rPr>
        <w:t>3</w:t>
      </w:r>
      <w:r>
        <w:rPr>
          <w:rFonts w:hint="eastAsia"/>
          <w:highlight w:val="none"/>
          <w:lang w:val="en-US"/>
        </w:rPr>
        <w:t>分，得分率</w:t>
      </w:r>
      <w:r>
        <w:rPr>
          <w:rFonts w:hint="eastAsia"/>
          <w:highlight w:val="none"/>
          <w:lang w:val="en-US" w:eastAsia="zh-CN"/>
        </w:rPr>
        <w:t>60</w:t>
      </w:r>
      <w:r>
        <w:rPr>
          <w:rFonts w:hint="eastAsia"/>
          <w:highlight w:val="none"/>
          <w:lang w:val="en-US"/>
        </w:rPr>
        <w:t>%。</w:t>
      </w:r>
    </w:p>
    <w:p w14:paraId="3D59BEA9">
      <w:pPr>
        <w:pStyle w:val="4"/>
        <w:bidi w:val="0"/>
      </w:pPr>
      <w:bookmarkStart w:id="523" w:name="_Toc27578"/>
      <w:bookmarkStart w:id="524" w:name="_Toc20137"/>
      <w:bookmarkStart w:id="525" w:name="_Toc17004"/>
      <w:bookmarkStart w:id="526" w:name="_Toc1679"/>
      <w:bookmarkStart w:id="527" w:name="_Toc31348"/>
      <w:bookmarkStart w:id="528" w:name="_Toc20391"/>
      <w:bookmarkStart w:id="529" w:name="_Toc23828"/>
      <w:bookmarkStart w:id="530" w:name="_Toc19984"/>
      <w:bookmarkStart w:id="531" w:name="_Toc29606"/>
      <w:bookmarkStart w:id="532" w:name="_Toc27124"/>
      <w:bookmarkStart w:id="533" w:name="_Toc16085"/>
      <w:bookmarkStart w:id="534" w:name="_Toc1569"/>
      <w:bookmarkStart w:id="535" w:name="_Toc32701"/>
      <w:bookmarkStart w:id="536" w:name="_Toc23120"/>
      <w:bookmarkStart w:id="537" w:name="_Toc25957"/>
      <w:r>
        <w:rPr>
          <w:rFonts w:hint="eastAsia"/>
        </w:rPr>
        <w:t>（三）项目产出情况</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5D8AB54">
      <w:pPr>
        <w:pStyle w:val="9"/>
        <w:overflowPunct w:val="0"/>
        <w:spacing w:line="600" w:lineRule="exact"/>
        <w:ind w:firstLine="640" w:firstLineChars="200"/>
        <w:jc w:val="both"/>
        <w:outlineLvl w:val="2"/>
        <w:rPr>
          <w:highlight w:val="none"/>
          <w:lang w:val="en-US"/>
        </w:rPr>
      </w:pPr>
      <w:bookmarkStart w:id="538" w:name="_Toc3183"/>
      <w:r>
        <w:rPr>
          <w:rStyle w:val="43"/>
          <w:rFonts w:hint="eastAsia"/>
          <w:lang w:val="en-US"/>
        </w:rPr>
        <w:t>1.产出数量</w:t>
      </w:r>
      <w:r>
        <w:rPr>
          <w:rFonts w:hint="eastAsia"/>
          <w:highlight w:val="none"/>
          <w:lang w:val="en-US"/>
        </w:rPr>
        <w:t>（满分</w:t>
      </w:r>
      <w:r>
        <w:rPr>
          <w:rFonts w:hint="eastAsia"/>
          <w:highlight w:val="none"/>
          <w:lang w:val="en-US" w:eastAsia="zh-CN"/>
        </w:rPr>
        <w:t>10</w:t>
      </w:r>
      <w:r>
        <w:rPr>
          <w:rFonts w:hint="eastAsia"/>
          <w:highlight w:val="none"/>
          <w:lang w:val="en-US"/>
        </w:rPr>
        <w:t>分，实得</w:t>
      </w:r>
      <w:r>
        <w:rPr>
          <w:rFonts w:hint="eastAsia"/>
          <w:highlight w:val="none"/>
          <w:lang w:val="en-US" w:eastAsia="zh-CN"/>
        </w:rPr>
        <w:t>10</w:t>
      </w:r>
      <w:r>
        <w:rPr>
          <w:rFonts w:hint="eastAsia"/>
          <w:highlight w:val="none"/>
          <w:lang w:val="en-US"/>
        </w:rPr>
        <w:t>分）</w:t>
      </w:r>
      <w:bookmarkEnd w:id="538"/>
    </w:p>
    <w:p w14:paraId="244C900B">
      <w:pPr>
        <w:pStyle w:val="9"/>
        <w:overflowPunct w:val="0"/>
        <w:spacing w:line="600" w:lineRule="exact"/>
        <w:ind w:firstLine="640" w:firstLineChars="200"/>
        <w:jc w:val="both"/>
        <w:rPr>
          <w:highlight w:val="none"/>
          <w:lang w:val="en-US"/>
        </w:rPr>
      </w:pPr>
      <w:r>
        <w:rPr>
          <w:rFonts w:hint="eastAsia"/>
          <w:highlight w:val="none"/>
          <w:lang w:val="en-US"/>
        </w:rPr>
        <w:t>（1）补贴项目完成数（满分</w:t>
      </w:r>
      <w:r>
        <w:rPr>
          <w:rFonts w:hint="eastAsia"/>
          <w:highlight w:val="none"/>
          <w:lang w:val="en-US" w:eastAsia="zh-CN"/>
        </w:rPr>
        <w:t>4</w:t>
      </w:r>
      <w:r>
        <w:rPr>
          <w:rFonts w:hint="eastAsia"/>
          <w:highlight w:val="none"/>
          <w:lang w:val="en-US"/>
        </w:rPr>
        <w:t>分，实得</w:t>
      </w:r>
      <w:r>
        <w:rPr>
          <w:rFonts w:hint="eastAsia"/>
          <w:highlight w:val="none"/>
          <w:lang w:val="en-US" w:eastAsia="zh-CN"/>
        </w:rPr>
        <w:t>4</w:t>
      </w:r>
      <w:r>
        <w:rPr>
          <w:rFonts w:hint="eastAsia"/>
          <w:highlight w:val="none"/>
          <w:lang w:val="en-US"/>
        </w:rPr>
        <w:t>分）</w:t>
      </w:r>
    </w:p>
    <w:p w14:paraId="21B21367">
      <w:pPr>
        <w:pStyle w:val="9"/>
        <w:overflowPunct w:val="0"/>
        <w:spacing w:line="600" w:lineRule="exact"/>
        <w:ind w:firstLine="640" w:firstLineChars="200"/>
        <w:jc w:val="both"/>
        <w:rPr>
          <w:highlight w:val="none"/>
        </w:rPr>
      </w:pPr>
      <w:r>
        <w:rPr>
          <w:rFonts w:hint="eastAsia"/>
          <w:highlight w:val="none"/>
          <w:lang w:val="en-US" w:eastAsia="zh-CN"/>
        </w:rPr>
        <w:t>根据现场查看相关证明材料</w:t>
      </w:r>
      <w:r>
        <w:rPr>
          <w:rFonts w:hint="eastAsia"/>
          <w:highlight w:val="none"/>
          <w:lang w:val="en-US"/>
        </w:rPr>
        <w:t>，</w:t>
      </w:r>
      <w:r>
        <w:rPr>
          <w:rFonts w:hint="eastAsia"/>
          <w:highlight w:val="none"/>
          <w:lang w:val="en-US" w:eastAsia="zh-CN"/>
        </w:rPr>
        <w:t>被评价单位完成了大学生就业创业补贴、购房补助、人才优选补助等8项补贴项目，根据评分标准</w:t>
      </w:r>
      <w:r>
        <w:rPr>
          <w:rFonts w:hint="eastAsia"/>
          <w:highlight w:val="none"/>
          <w:lang w:val="en-US"/>
        </w:rPr>
        <w:t>本项指标</w:t>
      </w:r>
      <w:r>
        <w:rPr>
          <w:rFonts w:hint="eastAsia"/>
          <w:highlight w:val="none"/>
          <w:lang w:val="en-US" w:eastAsia="zh-CN"/>
        </w:rPr>
        <w:t>得4分，</w:t>
      </w:r>
      <w:r>
        <w:rPr>
          <w:rFonts w:hint="eastAsia"/>
          <w:highlight w:val="none"/>
          <w:lang w:val="en-US"/>
        </w:rPr>
        <w:t>得分率</w:t>
      </w:r>
      <w:r>
        <w:rPr>
          <w:rFonts w:hint="eastAsia"/>
          <w:highlight w:val="none"/>
          <w:lang w:val="en-US" w:eastAsia="zh-CN"/>
        </w:rPr>
        <w:t>100</w:t>
      </w:r>
      <w:r>
        <w:rPr>
          <w:rFonts w:hint="eastAsia"/>
          <w:highlight w:val="none"/>
          <w:lang w:val="en-US"/>
        </w:rPr>
        <w:t>%。</w:t>
      </w:r>
    </w:p>
    <w:p w14:paraId="3E0677B7">
      <w:pPr>
        <w:pStyle w:val="9"/>
        <w:overflowPunct w:val="0"/>
        <w:spacing w:line="600" w:lineRule="exact"/>
        <w:ind w:firstLine="640" w:firstLineChars="200"/>
        <w:jc w:val="both"/>
        <w:rPr>
          <w:highlight w:val="none"/>
          <w:lang w:val="en-US"/>
        </w:rPr>
      </w:pPr>
      <w:r>
        <w:rPr>
          <w:rFonts w:hint="eastAsia"/>
          <w:highlight w:val="none"/>
        </w:rPr>
        <w:t>（</w:t>
      </w:r>
      <w:r>
        <w:rPr>
          <w:rFonts w:hint="eastAsia"/>
          <w:highlight w:val="none"/>
          <w:lang w:val="en-US" w:eastAsia="zh-CN"/>
        </w:rPr>
        <w:t>2</w:t>
      </w:r>
      <w:r>
        <w:rPr>
          <w:rFonts w:hint="eastAsia"/>
          <w:highlight w:val="none"/>
        </w:rPr>
        <w:t>）招聘会举办场次</w:t>
      </w:r>
      <w:r>
        <w:rPr>
          <w:rFonts w:hint="eastAsia"/>
          <w:highlight w:val="none"/>
          <w:lang w:val="en-US"/>
        </w:rPr>
        <w:t>（满分</w:t>
      </w:r>
      <w:r>
        <w:rPr>
          <w:rFonts w:hint="eastAsia"/>
          <w:highlight w:val="none"/>
          <w:lang w:val="en-US" w:eastAsia="zh-CN"/>
        </w:rPr>
        <w:t>3</w:t>
      </w:r>
      <w:r>
        <w:rPr>
          <w:rFonts w:hint="eastAsia"/>
          <w:highlight w:val="none"/>
          <w:lang w:val="en-US"/>
        </w:rPr>
        <w:t>分，实得</w:t>
      </w:r>
      <w:r>
        <w:rPr>
          <w:rFonts w:hint="eastAsia"/>
          <w:highlight w:val="none"/>
          <w:lang w:val="en-US" w:eastAsia="zh-CN"/>
        </w:rPr>
        <w:t>3</w:t>
      </w:r>
      <w:r>
        <w:rPr>
          <w:rFonts w:hint="eastAsia"/>
          <w:highlight w:val="none"/>
          <w:lang w:val="en-US"/>
        </w:rPr>
        <w:t>分）</w:t>
      </w:r>
    </w:p>
    <w:p w14:paraId="25A2006B">
      <w:pPr>
        <w:pStyle w:val="9"/>
        <w:overflowPunct w:val="0"/>
        <w:spacing w:line="600" w:lineRule="exact"/>
        <w:ind w:firstLine="640" w:firstLineChars="200"/>
        <w:jc w:val="both"/>
        <w:rPr>
          <w:rFonts w:hint="eastAsia"/>
          <w:highlight w:val="none"/>
          <w:lang w:val="en-US"/>
        </w:rPr>
      </w:pPr>
      <w:r>
        <w:rPr>
          <w:rFonts w:hint="eastAsia"/>
          <w:highlight w:val="none"/>
          <w:lang w:val="en-US" w:eastAsia="zh-CN"/>
        </w:rPr>
        <w:t>2022年9月，枣庄高新区社会事务综合服务中心委托枣庄德信人力资源服务有限公司举办锂电产业高校直通车专场招聘会；2022年12月，委托山东省互联网传媒集团股份有限公司枣庄分公司开展锂电产业专场线上招聘会。完成了举办2次招聘会的目标，因此，</w:t>
      </w:r>
      <w:r>
        <w:rPr>
          <w:rFonts w:hint="eastAsia"/>
          <w:highlight w:val="none"/>
          <w:lang w:val="en-US"/>
        </w:rPr>
        <w:t>本项指标得</w:t>
      </w:r>
      <w:r>
        <w:rPr>
          <w:rFonts w:hint="eastAsia"/>
          <w:highlight w:val="none"/>
          <w:lang w:val="en-US" w:eastAsia="zh-CN"/>
        </w:rPr>
        <w:t>3</w:t>
      </w:r>
      <w:r>
        <w:rPr>
          <w:rFonts w:hint="eastAsia"/>
          <w:highlight w:val="none"/>
          <w:lang w:val="en-US"/>
        </w:rPr>
        <w:t>分，得分率</w:t>
      </w:r>
      <w:r>
        <w:rPr>
          <w:rFonts w:hint="eastAsia"/>
          <w:highlight w:val="none"/>
          <w:lang w:val="en-US" w:eastAsia="zh-CN"/>
        </w:rPr>
        <w:t>100</w:t>
      </w:r>
      <w:r>
        <w:rPr>
          <w:rFonts w:hint="eastAsia"/>
          <w:highlight w:val="none"/>
          <w:lang w:val="en-US"/>
        </w:rPr>
        <w:t>%。</w:t>
      </w:r>
    </w:p>
    <w:p w14:paraId="2FB3A81D">
      <w:pPr>
        <w:pStyle w:val="9"/>
        <w:numPr>
          <w:ilvl w:val="0"/>
          <w:numId w:val="2"/>
        </w:numPr>
        <w:overflowPunct w:val="0"/>
        <w:spacing w:line="600" w:lineRule="exact"/>
        <w:ind w:firstLine="640" w:firstLineChars="200"/>
        <w:jc w:val="both"/>
        <w:rPr>
          <w:rFonts w:hint="eastAsia"/>
          <w:highlight w:val="none"/>
          <w:lang w:val="en-US"/>
        </w:rPr>
      </w:pPr>
      <w:r>
        <w:rPr>
          <w:rFonts w:hint="eastAsia"/>
          <w:highlight w:val="none"/>
          <w:lang w:val="en-US"/>
        </w:rPr>
        <w:t>职称评审开展次数（满分</w:t>
      </w:r>
      <w:r>
        <w:rPr>
          <w:rFonts w:hint="eastAsia"/>
          <w:highlight w:val="none"/>
          <w:lang w:val="en-US" w:eastAsia="zh-CN"/>
        </w:rPr>
        <w:t>3</w:t>
      </w:r>
      <w:r>
        <w:rPr>
          <w:rFonts w:hint="eastAsia"/>
          <w:highlight w:val="none"/>
          <w:lang w:val="en-US"/>
        </w:rPr>
        <w:t>分，实得</w:t>
      </w:r>
      <w:r>
        <w:rPr>
          <w:rFonts w:hint="eastAsia"/>
          <w:highlight w:val="none"/>
          <w:lang w:val="en-US" w:eastAsia="zh-CN"/>
        </w:rPr>
        <w:t>3</w:t>
      </w:r>
      <w:r>
        <w:rPr>
          <w:rFonts w:hint="eastAsia"/>
          <w:highlight w:val="none"/>
          <w:lang w:val="en-US"/>
        </w:rPr>
        <w:t>分）</w:t>
      </w:r>
    </w:p>
    <w:p w14:paraId="7B12502C">
      <w:pPr>
        <w:pStyle w:val="9"/>
        <w:numPr>
          <w:ilvl w:val="0"/>
          <w:numId w:val="0"/>
        </w:numPr>
        <w:overflowPunct w:val="0"/>
        <w:spacing w:line="600" w:lineRule="exact"/>
        <w:ind w:firstLine="640" w:firstLineChars="200"/>
        <w:jc w:val="both"/>
        <w:rPr>
          <w:rFonts w:hint="default" w:eastAsia="仿宋_GB2312"/>
          <w:highlight w:val="none"/>
          <w:lang w:val="en-US" w:eastAsia="zh-CN"/>
        </w:rPr>
      </w:pPr>
      <w:r>
        <w:rPr>
          <w:rFonts w:hint="eastAsia"/>
          <w:highlight w:val="none"/>
          <w:lang w:val="en-US" w:eastAsia="zh-CN"/>
        </w:rPr>
        <w:t>2022年，枣庄高新区社会事务综合服务中心开展了建设工程、工程技术职务中初级职称评审，完成开展1次职称评审的目标。根据评分标准“开展1次职称评审得满分”，本指标得3分，得分率100%。</w:t>
      </w:r>
    </w:p>
    <w:p w14:paraId="6E03C897">
      <w:pPr>
        <w:pStyle w:val="9"/>
        <w:overflowPunct w:val="0"/>
        <w:spacing w:line="600" w:lineRule="exact"/>
        <w:ind w:firstLine="640" w:firstLineChars="200"/>
        <w:jc w:val="both"/>
        <w:outlineLvl w:val="2"/>
        <w:rPr>
          <w:highlight w:val="none"/>
          <w:lang w:val="en-US"/>
        </w:rPr>
      </w:pPr>
      <w:bookmarkStart w:id="539" w:name="_Toc23231"/>
      <w:r>
        <w:rPr>
          <w:rStyle w:val="43"/>
          <w:rFonts w:hint="eastAsia"/>
          <w:lang w:val="en-US"/>
        </w:rPr>
        <w:t>2.产出质量</w:t>
      </w:r>
      <w:r>
        <w:rPr>
          <w:rFonts w:hint="eastAsia"/>
          <w:highlight w:val="none"/>
          <w:lang w:val="en-US"/>
        </w:rPr>
        <w:t>（满分1</w:t>
      </w:r>
      <w:r>
        <w:rPr>
          <w:rFonts w:hint="eastAsia"/>
          <w:highlight w:val="none"/>
          <w:lang w:val="en-US" w:eastAsia="zh-CN"/>
        </w:rPr>
        <w:t>0</w:t>
      </w:r>
      <w:r>
        <w:rPr>
          <w:rFonts w:hint="eastAsia"/>
          <w:highlight w:val="none"/>
          <w:lang w:val="en-US"/>
        </w:rPr>
        <w:t>分，实得</w:t>
      </w:r>
      <w:r>
        <w:rPr>
          <w:rFonts w:hint="eastAsia"/>
          <w:highlight w:val="none"/>
          <w:lang w:val="en-US" w:eastAsia="zh-CN"/>
        </w:rPr>
        <w:t>10</w:t>
      </w:r>
      <w:r>
        <w:rPr>
          <w:rFonts w:hint="eastAsia"/>
          <w:highlight w:val="none"/>
          <w:lang w:val="en-US"/>
        </w:rPr>
        <w:t>分）</w:t>
      </w:r>
      <w:bookmarkEnd w:id="539"/>
    </w:p>
    <w:p w14:paraId="17A87B8A">
      <w:pPr>
        <w:pStyle w:val="9"/>
        <w:overflowPunct w:val="0"/>
        <w:spacing w:line="600" w:lineRule="exact"/>
        <w:ind w:firstLine="640" w:firstLineChars="200"/>
        <w:jc w:val="both"/>
        <w:rPr>
          <w:highlight w:val="none"/>
          <w:lang w:val="en-US"/>
        </w:rPr>
      </w:pPr>
      <w:r>
        <w:rPr>
          <w:rFonts w:hint="eastAsia"/>
          <w:highlight w:val="none"/>
          <w:lang w:val="en-US"/>
        </w:rPr>
        <w:t>（</w:t>
      </w:r>
      <w:r>
        <w:rPr>
          <w:rFonts w:hint="eastAsia"/>
          <w:highlight w:val="none"/>
          <w:lang w:val="en-US" w:eastAsia="zh-CN"/>
        </w:rPr>
        <w:t>1</w:t>
      </w:r>
      <w:r>
        <w:rPr>
          <w:rFonts w:hint="eastAsia"/>
          <w:highlight w:val="none"/>
          <w:lang w:val="en-US"/>
        </w:rPr>
        <w:t>）补贴审核准确率（满分</w:t>
      </w:r>
      <w:r>
        <w:rPr>
          <w:rFonts w:hint="eastAsia"/>
          <w:highlight w:val="none"/>
          <w:lang w:val="en-US" w:eastAsia="zh-CN"/>
        </w:rPr>
        <w:t>6</w:t>
      </w:r>
      <w:r>
        <w:rPr>
          <w:rFonts w:hint="eastAsia"/>
          <w:highlight w:val="none"/>
          <w:lang w:val="en-US"/>
        </w:rPr>
        <w:t>分，实得</w:t>
      </w:r>
      <w:r>
        <w:rPr>
          <w:rFonts w:hint="eastAsia"/>
          <w:highlight w:val="none"/>
          <w:lang w:val="en-US" w:eastAsia="zh-CN"/>
        </w:rPr>
        <w:t>6</w:t>
      </w:r>
      <w:r>
        <w:rPr>
          <w:rFonts w:hint="eastAsia"/>
          <w:highlight w:val="none"/>
          <w:lang w:val="en-US"/>
        </w:rPr>
        <w:t>分）</w:t>
      </w:r>
    </w:p>
    <w:p w14:paraId="3F7570ED">
      <w:pPr>
        <w:pStyle w:val="9"/>
        <w:overflowPunct w:val="0"/>
        <w:spacing w:line="600" w:lineRule="exact"/>
        <w:ind w:firstLine="640" w:firstLineChars="200"/>
        <w:jc w:val="both"/>
        <w:rPr>
          <w:highlight w:val="none"/>
        </w:rPr>
      </w:pPr>
      <w:r>
        <w:rPr>
          <w:rFonts w:hint="eastAsia"/>
          <w:highlight w:val="none"/>
          <w:lang w:val="en-US" w:eastAsia="zh-CN"/>
        </w:rPr>
        <w:t>通过现场调研，评价组查看了各类补贴的审核材料，与政策文件规定的资料进行了对比，未发现审核错误的情况</w:t>
      </w:r>
      <w:r>
        <w:rPr>
          <w:rFonts w:hint="eastAsia"/>
          <w:highlight w:val="none"/>
          <w:lang w:val="en-US"/>
        </w:rPr>
        <w:t>。因此，根据</w:t>
      </w:r>
      <w:r>
        <w:rPr>
          <w:rFonts w:hint="eastAsia"/>
          <w:highlight w:val="none"/>
          <w:lang w:val="en-US" w:eastAsia="zh-CN"/>
        </w:rPr>
        <w:t>评分标准“补贴审核准确率100%得满分”</w:t>
      </w:r>
      <w:r>
        <w:rPr>
          <w:rFonts w:hint="eastAsia"/>
          <w:highlight w:val="none"/>
          <w:lang w:val="en-US"/>
        </w:rPr>
        <w:t>，本项指标得</w:t>
      </w:r>
      <w:r>
        <w:rPr>
          <w:rFonts w:hint="eastAsia"/>
          <w:highlight w:val="none"/>
          <w:lang w:val="en-US" w:eastAsia="zh-CN"/>
        </w:rPr>
        <w:t>6</w:t>
      </w:r>
      <w:r>
        <w:rPr>
          <w:rFonts w:hint="eastAsia"/>
          <w:highlight w:val="none"/>
          <w:lang w:val="en-US"/>
        </w:rPr>
        <w:t>分，得分率</w:t>
      </w:r>
      <w:r>
        <w:rPr>
          <w:rFonts w:hint="eastAsia"/>
          <w:highlight w:val="none"/>
          <w:lang w:val="en-US" w:eastAsia="zh-CN"/>
        </w:rPr>
        <w:t>10</w:t>
      </w:r>
      <w:r>
        <w:rPr>
          <w:rFonts w:hint="eastAsia"/>
          <w:highlight w:val="none"/>
          <w:lang w:val="en-US"/>
        </w:rPr>
        <w:t>0%。</w:t>
      </w:r>
    </w:p>
    <w:p w14:paraId="277CCC36">
      <w:pPr>
        <w:pStyle w:val="9"/>
        <w:overflowPunct w:val="0"/>
        <w:spacing w:line="600" w:lineRule="exact"/>
        <w:ind w:firstLine="640" w:firstLineChars="200"/>
        <w:jc w:val="both"/>
        <w:rPr>
          <w:highlight w:val="none"/>
          <w:lang w:val="en-US"/>
        </w:rPr>
      </w:pPr>
      <w:r>
        <w:rPr>
          <w:rFonts w:hint="eastAsia"/>
          <w:highlight w:val="none"/>
          <w:lang w:val="en-US"/>
        </w:rPr>
        <w:t>（</w:t>
      </w:r>
      <w:r>
        <w:rPr>
          <w:rFonts w:hint="eastAsia"/>
          <w:highlight w:val="none"/>
          <w:lang w:val="en-US" w:eastAsia="zh-CN"/>
        </w:rPr>
        <w:t>2</w:t>
      </w:r>
      <w:r>
        <w:rPr>
          <w:rFonts w:hint="eastAsia"/>
          <w:highlight w:val="none"/>
          <w:lang w:val="en-US"/>
        </w:rPr>
        <w:t>）人事档案邮寄完成率（满分</w:t>
      </w:r>
      <w:r>
        <w:rPr>
          <w:rFonts w:hint="eastAsia"/>
          <w:highlight w:val="none"/>
          <w:lang w:val="en-US" w:eastAsia="zh-CN"/>
        </w:rPr>
        <w:t>4</w:t>
      </w:r>
      <w:r>
        <w:rPr>
          <w:rFonts w:hint="eastAsia"/>
          <w:highlight w:val="none"/>
          <w:lang w:val="en-US"/>
        </w:rPr>
        <w:t>分，实得</w:t>
      </w:r>
      <w:r>
        <w:rPr>
          <w:rFonts w:hint="eastAsia"/>
          <w:highlight w:val="none"/>
          <w:lang w:val="en-US" w:eastAsia="zh-CN"/>
        </w:rPr>
        <w:t>4</w:t>
      </w:r>
      <w:r>
        <w:rPr>
          <w:rFonts w:hint="eastAsia"/>
          <w:highlight w:val="none"/>
          <w:lang w:val="en-US"/>
        </w:rPr>
        <w:t>分）</w:t>
      </w:r>
    </w:p>
    <w:p w14:paraId="367C2A7B">
      <w:pPr>
        <w:pStyle w:val="9"/>
        <w:overflowPunct w:val="0"/>
        <w:spacing w:line="600" w:lineRule="exact"/>
        <w:ind w:firstLine="640" w:firstLineChars="200"/>
        <w:jc w:val="both"/>
        <w:rPr>
          <w:rFonts w:hint="eastAsia"/>
          <w:highlight w:val="none"/>
          <w:lang w:val="en-US"/>
        </w:rPr>
      </w:pPr>
      <w:r>
        <w:rPr>
          <w:rFonts w:hint="eastAsia"/>
          <w:highlight w:val="none"/>
          <w:lang w:val="en-US" w:eastAsia="zh-CN"/>
        </w:rPr>
        <w:t>根据现场调研，并查看财务签批单、发票等资料，流动人员人事档案邮寄工作已全部完成。</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，本项指标得分</w:t>
      </w:r>
      <w:r>
        <w:rPr>
          <w:rFonts w:hint="eastAsia"/>
          <w:highlight w:val="none"/>
          <w:lang w:val="en-US" w:eastAsia="zh-CN"/>
        </w:rPr>
        <w:t>4</w:t>
      </w:r>
      <w:r>
        <w:rPr>
          <w:rFonts w:hint="eastAsia"/>
          <w:highlight w:val="none"/>
          <w:lang w:val="en-US"/>
        </w:rPr>
        <w:t>分，得分率</w:t>
      </w:r>
      <w:r>
        <w:rPr>
          <w:rFonts w:hint="eastAsia"/>
          <w:highlight w:val="none"/>
          <w:lang w:val="en-US" w:eastAsia="zh-CN"/>
        </w:rPr>
        <w:t>10</w:t>
      </w:r>
      <w:r>
        <w:rPr>
          <w:rFonts w:hint="eastAsia"/>
          <w:highlight w:val="none"/>
          <w:lang w:val="en-US"/>
        </w:rPr>
        <w:t>0%。</w:t>
      </w:r>
    </w:p>
    <w:p w14:paraId="37E5AF22">
      <w:pPr>
        <w:pStyle w:val="9"/>
        <w:overflowPunct w:val="0"/>
        <w:spacing w:line="600" w:lineRule="exact"/>
        <w:ind w:firstLine="640" w:firstLineChars="200"/>
        <w:jc w:val="both"/>
        <w:outlineLvl w:val="2"/>
        <w:rPr>
          <w:highlight w:val="none"/>
          <w:lang w:val="en-US"/>
        </w:rPr>
      </w:pPr>
      <w:bookmarkStart w:id="540" w:name="_Toc9804"/>
      <w:r>
        <w:rPr>
          <w:rStyle w:val="43"/>
          <w:rFonts w:hint="eastAsia"/>
          <w:lang w:val="en-US"/>
        </w:rPr>
        <w:t>3.产出时效</w:t>
      </w:r>
      <w:r>
        <w:rPr>
          <w:rFonts w:hint="eastAsia"/>
          <w:highlight w:val="none"/>
          <w:lang w:val="en-US"/>
        </w:rPr>
        <w:t>（满分</w:t>
      </w:r>
      <w:r>
        <w:rPr>
          <w:rFonts w:hint="eastAsia"/>
          <w:highlight w:val="none"/>
          <w:lang w:val="en-US" w:eastAsia="zh-CN"/>
        </w:rPr>
        <w:t>6</w:t>
      </w:r>
      <w:r>
        <w:rPr>
          <w:rFonts w:hint="eastAsia"/>
          <w:highlight w:val="none"/>
          <w:lang w:val="en-US"/>
        </w:rPr>
        <w:t>分，实得</w:t>
      </w:r>
      <w:r>
        <w:rPr>
          <w:rFonts w:hint="eastAsia"/>
          <w:highlight w:val="none"/>
          <w:lang w:val="en-US" w:eastAsia="zh-CN"/>
        </w:rPr>
        <w:t>6</w:t>
      </w:r>
      <w:r>
        <w:rPr>
          <w:rFonts w:hint="eastAsia"/>
          <w:highlight w:val="none"/>
          <w:lang w:val="en-US"/>
        </w:rPr>
        <w:t>分）</w:t>
      </w:r>
      <w:bookmarkEnd w:id="540"/>
    </w:p>
    <w:p w14:paraId="2959324B">
      <w:pPr>
        <w:pStyle w:val="9"/>
        <w:overflowPunct w:val="0"/>
        <w:spacing w:line="600" w:lineRule="exact"/>
        <w:ind w:firstLine="640" w:firstLineChars="200"/>
        <w:jc w:val="both"/>
        <w:rPr>
          <w:highlight w:val="none"/>
          <w:lang w:val="en-US"/>
        </w:rPr>
      </w:pPr>
      <w:r>
        <w:rPr>
          <w:rFonts w:hint="eastAsia"/>
          <w:highlight w:val="none"/>
          <w:lang w:val="en-US"/>
        </w:rPr>
        <w:t>（1）资料审核及时性（满分</w:t>
      </w:r>
      <w:r>
        <w:rPr>
          <w:rFonts w:hint="eastAsia"/>
          <w:highlight w:val="none"/>
          <w:lang w:val="en-US" w:eastAsia="zh-CN"/>
        </w:rPr>
        <w:t>3</w:t>
      </w:r>
      <w:r>
        <w:rPr>
          <w:rFonts w:hint="eastAsia"/>
          <w:highlight w:val="none"/>
          <w:lang w:val="en-US"/>
        </w:rPr>
        <w:t>分，实得</w:t>
      </w:r>
      <w:r>
        <w:rPr>
          <w:rFonts w:hint="eastAsia"/>
          <w:highlight w:val="none"/>
          <w:lang w:val="en-US" w:eastAsia="zh-CN"/>
        </w:rPr>
        <w:t>3</w:t>
      </w:r>
      <w:r>
        <w:rPr>
          <w:rFonts w:hint="eastAsia"/>
          <w:highlight w:val="none"/>
          <w:lang w:val="en-US"/>
        </w:rPr>
        <w:t>分）</w:t>
      </w:r>
    </w:p>
    <w:p w14:paraId="03CE00EE">
      <w:pPr>
        <w:pStyle w:val="9"/>
        <w:overflowPunct w:val="0"/>
        <w:spacing w:line="600" w:lineRule="exact"/>
        <w:ind w:firstLine="640" w:firstLineChars="200"/>
        <w:jc w:val="both"/>
        <w:rPr>
          <w:rFonts w:hint="eastAsia"/>
          <w:highlight w:val="none"/>
          <w:lang w:val="en-US"/>
        </w:rPr>
      </w:pPr>
      <w:r>
        <w:rPr>
          <w:rFonts w:hint="eastAsia"/>
          <w:highlight w:val="none"/>
          <w:lang w:val="en-US" w:eastAsia="zh-CN"/>
        </w:rPr>
        <w:t>根据现场调研，工作人员抽取了各类补贴的审核资料，未发现审核不及时的情况。</w:t>
      </w:r>
      <w:r>
        <w:rPr>
          <w:rFonts w:hint="eastAsia"/>
          <w:highlight w:val="none"/>
          <w:lang w:val="en-US"/>
        </w:rPr>
        <w:t>因此，根据</w:t>
      </w:r>
      <w:r>
        <w:rPr>
          <w:rFonts w:hint="eastAsia"/>
          <w:highlight w:val="none"/>
          <w:lang w:val="en-US" w:eastAsia="zh-CN"/>
        </w:rPr>
        <w:t>评分标准</w:t>
      </w:r>
      <w:r>
        <w:rPr>
          <w:rFonts w:hint="eastAsia"/>
          <w:highlight w:val="none"/>
          <w:lang w:val="en-US"/>
        </w:rPr>
        <w:t>，本项指标得分</w:t>
      </w:r>
      <w:r>
        <w:rPr>
          <w:rFonts w:hint="eastAsia"/>
          <w:highlight w:val="none"/>
          <w:lang w:val="en-US" w:eastAsia="zh-CN"/>
        </w:rPr>
        <w:t>3</w:t>
      </w:r>
      <w:r>
        <w:rPr>
          <w:rFonts w:hint="eastAsia"/>
          <w:highlight w:val="none"/>
          <w:lang w:val="en-US"/>
        </w:rPr>
        <w:t>分，得分率</w:t>
      </w:r>
      <w:r>
        <w:rPr>
          <w:rFonts w:hint="eastAsia"/>
          <w:highlight w:val="none"/>
          <w:lang w:val="en-US" w:eastAsia="zh-CN"/>
        </w:rPr>
        <w:t>100</w:t>
      </w:r>
      <w:r>
        <w:rPr>
          <w:rFonts w:hint="eastAsia"/>
          <w:highlight w:val="none"/>
          <w:lang w:val="en-US"/>
        </w:rPr>
        <w:t>%。</w:t>
      </w:r>
    </w:p>
    <w:p w14:paraId="6C633121">
      <w:pPr>
        <w:pStyle w:val="9"/>
        <w:numPr>
          <w:ilvl w:val="0"/>
          <w:numId w:val="3"/>
        </w:numPr>
        <w:overflowPunct w:val="0"/>
        <w:spacing w:line="600" w:lineRule="exact"/>
        <w:ind w:firstLine="640" w:firstLineChars="200"/>
        <w:jc w:val="both"/>
        <w:rPr>
          <w:rFonts w:hint="eastAsia"/>
          <w:highlight w:val="none"/>
          <w:lang w:val="en-US"/>
        </w:rPr>
      </w:pPr>
      <w:r>
        <w:rPr>
          <w:rFonts w:hint="eastAsia"/>
          <w:highlight w:val="none"/>
          <w:lang w:val="en-US"/>
        </w:rPr>
        <w:t>资金发放及时性（满分</w:t>
      </w:r>
      <w:r>
        <w:rPr>
          <w:rFonts w:hint="eastAsia"/>
          <w:highlight w:val="none"/>
          <w:lang w:val="en-US" w:eastAsia="zh-CN"/>
        </w:rPr>
        <w:t>3</w:t>
      </w:r>
      <w:r>
        <w:rPr>
          <w:rFonts w:hint="eastAsia"/>
          <w:highlight w:val="none"/>
          <w:lang w:val="en-US"/>
        </w:rPr>
        <w:t>分，实得</w:t>
      </w:r>
      <w:r>
        <w:rPr>
          <w:rFonts w:hint="eastAsia"/>
          <w:highlight w:val="none"/>
          <w:lang w:val="en-US" w:eastAsia="zh-CN"/>
        </w:rPr>
        <w:t>3</w:t>
      </w:r>
      <w:r>
        <w:rPr>
          <w:rFonts w:hint="eastAsia"/>
          <w:highlight w:val="none"/>
          <w:lang w:val="en-US"/>
        </w:rPr>
        <w:t>分）</w:t>
      </w:r>
    </w:p>
    <w:p w14:paraId="1A2C13B8">
      <w:pPr>
        <w:pStyle w:val="9"/>
        <w:numPr>
          <w:ilvl w:val="0"/>
          <w:numId w:val="0"/>
        </w:numPr>
        <w:overflowPunct w:val="0"/>
        <w:spacing w:line="600" w:lineRule="exact"/>
        <w:ind w:firstLine="640" w:firstLineChars="200"/>
        <w:jc w:val="both"/>
        <w:rPr>
          <w:rFonts w:hint="default" w:eastAsia="仿宋_GB2312"/>
          <w:highlight w:val="none"/>
          <w:lang w:val="en-US" w:eastAsia="zh-CN"/>
        </w:rPr>
      </w:pPr>
      <w:r>
        <w:rPr>
          <w:rFonts w:hint="eastAsia"/>
          <w:highlight w:val="none"/>
          <w:lang w:val="en-US" w:eastAsia="zh-CN"/>
        </w:rPr>
        <w:t>根据现场调研，通过查看资金审批单、支付凭证等资料，各项补贴资金均已在2022年度及时发放。根据评分标准，本项指标得3分，得分率100%。</w:t>
      </w:r>
    </w:p>
    <w:p w14:paraId="19F04DE9">
      <w:pPr>
        <w:pStyle w:val="9"/>
        <w:overflowPunct w:val="0"/>
        <w:spacing w:line="600" w:lineRule="exact"/>
        <w:ind w:firstLine="640" w:firstLineChars="200"/>
        <w:jc w:val="both"/>
        <w:outlineLvl w:val="2"/>
        <w:rPr>
          <w:highlight w:val="none"/>
          <w:lang w:val="en-US"/>
        </w:rPr>
      </w:pPr>
      <w:bookmarkStart w:id="541" w:name="_Toc31718"/>
      <w:r>
        <w:rPr>
          <w:rStyle w:val="43"/>
          <w:rFonts w:hint="eastAsia"/>
          <w:lang w:val="en-US"/>
        </w:rPr>
        <w:t>4.产出成本</w:t>
      </w:r>
      <w:r>
        <w:rPr>
          <w:rFonts w:hint="eastAsia"/>
          <w:highlight w:val="none"/>
          <w:lang w:val="en-US"/>
        </w:rPr>
        <w:t>（满分</w:t>
      </w:r>
      <w:r>
        <w:rPr>
          <w:rFonts w:hint="eastAsia"/>
          <w:highlight w:val="none"/>
          <w:lang w:val="en-US" w:eastAsia="zh-CN"/>
        </w:rPr>
        <w:t>4</w:t>
      </w:r>
      <w:r>
        <w:rPr>
          <w:rFonts w:hint="eastAsia"/>
          <w:highlight w:val="none"/>
          <w:lang w:val="en-US"/>
        </w:rPr>
        <w:t>分，实得</w:t>
      </w:r>
      <w:r>
        <w:rPr>
          <w:rFonts w:hint="eastAsia"/>
          <w:highlight w:val="none"/>
          <w:lang w:val="en-US" w:eastAsia="zh-CN"/>
        </w:rPr>
        <w:t>4</w:t>
      </w:r>
      <w:r>
        <w:rPr>
          <w:rFonts w:hint="eastAsia"/>
          <w:highlight w:val="none"/>
          <w:lang w:val="en-US"/>
        </w:rPr>
        <w:t>分）</w:t>
      </w:r>
      <w:bookmarkEnd w:id="541"/>
    </w:p>
    <w:p w14:paraId="35C38C2E">
      <w:pPr>
        <w:pStyle w:val="9"/>
        <w:overflowPunct w:val="0"/>
        <w:spacing w:line="600" w:lineRule="exact"/>
        <w:ind w:firstLine="640" w:firstLineChars="200"/>
        <w:jc w:val="both"/>
        <w:outlineLvl w:val="2"/>
        <w:rPr>
          <w:highlight w:val="none"/>
          <w:lang w:val="en-US"/>
        </w:rPr>
      </w:pPr>
      <w:bookmarkStart w:id="542" w:name="_Toc28425"/>
      <w:r>
        <w:rPr>
          <w:rFonts w:hint="eastAsia"/>
          <w:highlight w:val="none"/>
          <w:lang w:val="en-US"/>
        </w:rPr>
        <w:t>成本</w:t>
      </w:r>
      <w:r>
        <w:rPr>
          <w:rFonts w:hint="eastAsia"/>
          <w:highlight w:val="none"/>
          <w:lang w:val="en-US" w:eastAsia="zh-CN"/>
        </w:rPr>
        <w:t>控制</w:t>
      </w:r>
      <w:r>
        <w:rPr>
          <w:rFonts w:hint="eastAsia"/>
          <w:highlight w:val="none"/>
          <w:lang w:val="en-US"/>
        </w:rPr>
        <w:t>率（满分</w:t>
      </w:r>
      <w:r>
        <w:rPr>
          <w:rFonts w:hint="eastAsia"/>
          <w:highlight w:val="none"/>
          <w:lang w:val="en-US" w:eastAsia="zh-CN"/>
        </w:rPr>
        <w:t>4</w:t>
      </w:r>
      <w:r>
        <w:rPr>
          <w:rFonts w:hint="eastAsia"/>
          <w:highlight w:val="none"/>
          <w:lang w:val="en-US"/>
        </w:rPr>
        <w:t>分，实得</w:t>
      </w:r>
      <w:r>
        <w:rPr>
          <w:rFonts w:hint="eastAsia"/>
          <w:highlight w:val="none"/>
          <w:lang w:val="en-US" w:eastAsia="zh-CN"/>
        </w:rPr>
        <w:t>4</w:t>
      </w:r>
      <w:r>
        <w:rPr>
          <w:rFonts w:hint="eastAsia"/>
          <w:highlight w:val="none"/>
          <w:lang w:val="en-US"/>
        </w:rPr>
        <w:t>分）</w:t>
      </w:r>
      <w:bookmarkEnd w:id="542"/>
    </w:p>
    <w:p w14:paraId="3B7431DE">
      <w:pPr>
        <w:pStyle w:val="9"/>
        <w:numPr>
          <w:ilvl w:val="0"/>
          <w:numId w:val="0"/>
        </w:numPr>
        <w:overflowPunct w:val="0"/>
        <w:spacing w:line="600" w:lineRule="exact"/>
        <w:ind w:firstLine="640" w:firstLineChars="200"/>
        <w:jc w:val="both"/>
        <w:rPr>
          <w:rFonts w:hint="eastAsia"/>
          <w:highlight w:val="none"/>
          <w:lang w:val="en-US" w:eastAsia="zh-CN"/>
        </w:rPr>
      </w:pPr>
      <w:r>
        <w:rPr>
          <w:rFonts w:hint="eastAsia"/>
          <w:highlight w:val="none"/>
          <w:lang w:val="en-US" w:eastAsia="zh-CN"/>
        </w:rPr>
        <w:t>根据调研及查阅资料，2022年，人力资源经费项目计划成本808.51万元，实际支出808.51万元。成本控制率=（808.51-808.51）/800*100%=100%。因此，根据评分标准“成本控制在808.51万元得满分”，本项指标得分4分，得分率100%。</w:t>
      </w:r>
    </w:p>
    <w:p w14:paraId="47D47B6C">
      <w:pPr>
        <w:pStyle w:val="4"/>
        <w:bidi w:val="0"/>
      </w:pPr>
      <w:bookmarkStart w:id="543" w:name="_Toc9407"/>
      <w:bookmarkStart w:id="544" w:name="_Toc6974"/>
      <w:bookmarkStart w:id="545" w:name="_Toc20286"/>
      <w:bookmarkStart w:id="546" w:name="_Toc23052"/>
      <w:bookmarkStart w:id="547" w:name="_Toc26352"/>
      <w:bookmarkStart w:id="548" w:name="_Toc5047"/>
      <w:bookmarkStart w:id="549" w:name="_Toc26135"/>
      <w:bookmarkStart w:id="550" w:name="_Toc31321"/>
      <w:bookmarkStart w:id="551" w:name="_Toc5934"/>
      <w:bookmarkStart w:id="552" w:name="_Toc184"/>
      <w:bookmarkStart w:id="553" w:name="_Toc24667"/>
      <w:bookmarkStart w:id="554" w:name="_Toc12935"/>
      <w:bookmarkStart w:id="555" w:name="_Toc9148"/>
      <w:bookmarkStart w:id="556" w:name="_Toc18059"/>
      <w:bookmarkStart w:id="557" w:name="_Toc14794"/>
      <w:r>
        <w:rPr>
          <w:rFonts w:hint="eastAsia"/>
        </w:rPr>
        <w:t>（四）项目效益情况</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1CA7C7B0">
      <w:pPr>
        <w:pStyle w:val="9"/>
        <w:overflowPunct w:val="0"/>
        <w:spacing w:line="600" w:lineRule="exact"/>
        <w:ind w:firstLine="640" w:firstLineChars="200"/>
        <w:jc w:val="both"/>
        <w:outlineLvl w:val="2"/>
        <w:rPr>
          <w:rStyle w:val="43"/>
          <w:rFonts w:hint="eastAsia"/>
          <w:lang w:val="en-US" w:eastAsia="zh-CN"/>
        </w:rPr>
      </w:pPr>
      <w:bookmarkStart w:id="558" w:name="_Toc21171"/>
      <w:r>
        <w:rPr>
          <w:rStyle w:val="43"/>
          <w:rFonts w:hint="eastAsia"/>
          <w:lang w:val="en-US" w:eastAsia="zh-CN"/>
        </w:rPr>
        <w:t>1.社会效益</w:t>
      </w:r>
      <w:r>
        <w:rPr>
          <w:rFonts w:hint="eastAsia"/>
          <w:highlight w:val="none"/>
          <w:lang w:val="en-US"/>
        </w:rPr>
        <w:t>（满分</w:t>
      </w:r>
      <w:r>
        <w:rPr>
          <w:rFonts w:hint="eastAsia"/>
          <w:highlight w:val="none"/>
          <w:lang w:val="en-US" w:eastAsia="zh-CN"/>
        </w:rPr>
        <w:t>15</w:t>
      </w:r>
      <w:r>
        <w:rPr>
          <w:rFonts w:hint="eastAsia"/>
          <w:highlight w:val="none"/>
          <w:lang w:val="en-US"/>
        </w:rPr>
        <w:t>分，实得</w:t>
      </w:r>
      <w:r>
        <w:rPr>
          <w:rFonts w:hint="eastAsia"/>
          <w:highlight w:val="none"/>
          <w:lang w:val="en-US" w:eastAsia="zh-CN"/>
        </w:rPr>
        <w:t>13</w:t>
      </w:r>
      <w:r>
        <w:rPr>
          <w:rFonts w:hint="eastAsia"/>
          <w:highlight w:val="none"/>
          <w:lang w:val="en-US"/>
        </w:rPr>
        <w:t>分）</w:t>
      </w:r>
    </w:p>
    <w:p w14:paraId="3DCDCE86">
      <w:pPr>
        <w:pStyle w:val="9"/>
        <w:overflowPunct w:val="0"/>
        <w:spacing w:line="600" w:lineRule="exact"/>
        <w:ind w:firstLine="640" w:firstLineChars="200"/>
        <w:jc w:val="both"/>
        <w:outlineLvl w:val="2"/>
        <w:rPr>
          <w:rFonts w:hint="eastAsia"/>
          <w:highlight w:val="none"/>
          <w:lang w:val="en-US"/>
        </w:rPr>
      </w:pPr>
      <w:r>
        <w:rPr>
          <w:rStyle w:val="43"/>
          <w:rFonts w:hint="eastAsia"/>
          <w:lang w:val="en-US" w:eastAsia="zh-CN"/>
        </w:rPr>
        <w:t>（1）政策享受人群规模合理性</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3</w:t>
      </w:r>
      <w:r>
        <w:rPr>
          <w:rFonts w:hint="eastAsia"/>
          <w:highlight w:val="none"/>
          <w:lang w:val="en-US"/>
        </w:rPr>
        <w:t>分）</w:t>
      </w:r>
    </w:p>
    <w:p w14:paraId="027B8D7A">
      <w:pPr>
        <w:pStyle w:val="6"/>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highlight w:val="none"/>
          <w:lang w:val="en-US" w:eastAsia="zh-CN"/>
        </w:rPr>
        <w:t>表5.1：2022年实际享受各项人才政策的人数或企业数统计表</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2736"/>
      </w:tblGrid>
      <w:tr w14:paraId="25EE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83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27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实际享受政策人数或企业数</w:t>
            </w:r>
          </w:p>
        </w:tc>
      </w:tr>
      <w:tr w14:paraId="0DC1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4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大学生就业创业补贴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E6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165人</w:t>
            </w:r>
          </w:p>
        </w:tc>
      </w:tr>
      <w:tr w14:paraId="59BB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37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人才优选补贴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EC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80人</w:t>
            </w:r>
          </w:p>
        </w:tc>
      </w:tr>
      <w:tr w14:paraId="55A2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F6D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购房补助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D4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9人</w:t>
            </w:r>
          </w:p>
        </w:tc>
      </w:tr>
      <w:tr w14:paraId="3B55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14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企业急需紧缺人才津贴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05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6人</w:t>
            </w:r>
          </w:p>
        </w:tc>
      </w:tr>
      <w:tr w14:paraId="0AAD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03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BB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1人</w:t>
            </w:r>
          </w:p>
        </w:tc>
      </w:tr>
      <w:tr w14:paraId="02A7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14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小微企业招用高校毕业生一次性吸纳就业补贴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F5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2家企业</w:t>
            </w:r>
          </w:p>
        </w:tc>
      </w:tr>
      <w:tr w14:paraId="5194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80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小微企业招用高校毕业生社保补贴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86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1家企业</w:t>
            </w:r>
          </w:p>
        </w:tc>
      </w:tr>
      <w:tr w14:paraId="099D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B7B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8F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53家企业（个体工商户）</w:t>
            </w:r>
          </w:p>
        </w:tc>
      </w:tr>
      <w:tr w14:paraId="22DE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0E2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一次性创业岗位开发补贴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9E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3家企业</w:t>
            </w:r>
          </w:p>
        </w:tc>
      </w:tr>
    </w:tbl>
    <w:p w14:paraId="30149410">
      <w:pPr>
        <w:pStyle w:val="9"/>
        <w:overflowPunct w:val="0"/>
        <w:spacing w:line="600" w:lineRule="exact"/>
        <w:ind w:firstLine="640" w:firstLineChars="200"/>
        <w:jc w:val="both"/>
        <w:outlineLvl w:val="2"/>
        <w:rPr>
          <w:rStyle w:val="43"/>
          <w:rFonts w:hint="default"/>
          <w:lang w:val="en-US" w:eastAsia="zh-CN"/>
        </w:rPr>
      </w:pPr>
      <w:r>
        <w:rPr>
          <w:rStyle w:val="43"/>
          <w:rFonts w:hint="eastAsia"/>
          <w:lang w:val="en-US" w:eastAsia="zh-CN"/>
        </w:rPr>
        <w:t>根据部门提供的资料，评价人员统计了2022年实际享受各项人才政策的人数或企业数，如表5.1所示。大学生创业补贴1人，由于大学生创业难度较大，仅有1人享受该政策补贴在合理范围内。小微企业招用高校毕业生一次性吸纳就业补贴项目仅有山东中成环境技术服务有限公司和山东弘尚环保科技有限公司共2名员工申请并最终享受该政策补贴，小微企业招用高校毕业生社保补贴只有山东飞羊数字科技股份有限公司7名员工申请并最终享受该政策补贴。提出申请的企业或员工较少，实际享受这两个政策的人数较少，本指标扣2分，得3分，得分率60%。</w:t>
      </w:r>
    </w:p>
    <w:p w14:paraId="17B75CC6">
      <w:pPr>
        <w:pStyle w:val="9"/>
        <w:overflowPunct w:val="0"/>
        <w:spacing w:line="600" w:lineRule="exact"/>
        <w:ind w:firstLine="640" w:firstLineChars="200"/>
        <w:jc w:val="both"/>
        <w:outlineLvl w:val="2"/>
        <w:rPr>
          <w:rFonts w:hint="eastAsia"/>
          <w:highlight w:val="none"/>
          <w:lang w:val="en-US" w:eastAsia="zh-CN"/>
        </w:rPr>
      </w:pPr>
      <w:r>
        <w:rPr>
          <w:rFonts w:hint="eastAsia"/>
          <w:highlight w:val="none"/>
          <w:lang w:val="en-US" w:eastAsia="zh-CN"/>
        </w:rPr>
        <w:t>（2）引才数量增长情况</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5</w:t>
      </w:r>
      <w:r>
        <w:rPr>
          <w:rFonts w:hint="eastAsia"/>
          <w:highlight w:val="none"/>
          <w:lang w:val="en-US"/>
        </w:rPr>
        <w:t>分）</w:t>
      </w:r>
    </w:p>
    <w:p w14:paraId="0404F06C">
      <w:pPr>
        <w:pStyle w:val="9"/>
        <w:overflowPunct w:val="0"/>
        <w:spacing w:line="600" w:lineRule="exact"/>
        <w:ind w:firstLine="640" w:firstLineChars="200"/>
        <w:jc w:val="both"/>
        <w:outlineLvl w:val="2"/>
        <w:rPr>
          <w:rStyle w:val="43"/>
          <w:rFonts w:hint="default" w:eastAsia="仿宋_GB2312"/>
          <w:lang w:val="en-US" w:eastAsia="zh-CN"/>
        </w:rPr>
      </w:pPr>
      <w:r>
        <w:rPr>
          <w:rFonts w:hint="eastAsia"/>
          <w:highlight w:val="none"/>
          <w:lang w:val="en-US" w:eastAsia="zh-CN"/>
        </w:rPr>
        <w:t>由于子项目众多且各补贴资金执行时间不一致无法统一汇总引才数量，评价组选取了补贴人数最多、最具代表性的大学生就业补贴项目进行分析。如图5-1，2022年4个季度的大学生就业补贴人数分别为224人、287人、291人、311人，呈持续递增趋势。根据评分标准“引进人才数量持续增长得5分”，本指标得5分，得分率100%。</w:t>
      </w:r>
    </w:p>
    <w:p w14:paraId="3B149D33">
      <w:pPr>
        <w:pStyle w:val="9"/>
        <w:overflowPunct w:val="0"/>
        <w:spacing w:line="600" w:lineRule="exact"/>
        <w:ind w:firstLine="640" w:firstLineChars="200"/>
        <w:jc w:val="both"/>
        <w:outlineLvl w:val="2"/>
        <w:rPr>
          <w:rFonts w:hint="eastAsia"/>
          <w:highlight w:val="none"/>
          <w:lang w:val="en-US" w:eastAsia="zh-CN"/>
        </w:rPr>
      </w:pPr>
      <w:r>
        <w:drawing>
          <wp:anchor distT="0" distB="0" distL="114300" distR="114300" simplePos="0" relativeHeight="251662336" behindDoc="1" locked="0" layoutInCell="1" allowOverlap="1">
            <wp:simplePos x="0" y="0"/>
            <wp:positionH relativeFrom="column">
              <wp:posOffset>459105</wp:posOffset>
            </wp:positionH>
            <wp:positionV relativeFrom="paragraph">
              <wp:posOffset>198755</wp:posOffset>
            </wp:positionV>
            <wp:extent cx="4572000" cy="24765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7ADE7D70">
      <w:pPr>
        <w:pStyle w:val="9"/>
        <w:overflowPunct w:val="0"/>
        <w:spacing w:line="600" w:lineRule="exact"/>
        <w:ind w:firstLine="640" w:firstLineChars="200"/>
        <w:jc w:val="both"/>
        <w:outlineLvl w:val="2"/>
        <w:rPr>
          <w:rFonts w:hint="eastAsia"/>
          <w:highlight w:val="none"/>
          <w:lang w:val="en-US" w:eastAsia="zh-CN"/>
        </w:rPr>
      </w:pPr>
    </w:p>
    <w:p w14:paraId="45EF8CEF">
      <w:pPr>
        <w:pStyle w:val="9"/>
        <w:overflowPunct w:val="0"/>
        <w:spacing w:line="600" w:lineRule="exact"/>
        <w:ind w:firstLine="640" w:firstLineChars="200"/>
        <w:jc w:val="both"/>
        <w:outlineLvl w:val="2"/>
        <w:rPr>
          <w:rFonts w:hint="eastAsia"/>
          <w:highlight w:val="none"/>
          <w:lang w:val="en-US" w:eastAsia="zh-CN"/>
        </w:rPr>
      </w:pPr>
    </w:p>
    <w:p w14:paraId="41C3DA51">
      <w:pPr>
        <w:pStyle w:val="9"/>
        <w:overflowPunct w:val="0"/>
        <w:spacing w:line="600" w:lineRule="exact"/>
        <w:ind w:firstLine="640" w:firstLineChars="200"/>
        <w:jc w:val="both"/>
        <w:outlineLvl w:val="2"/>
        <w:rPr>
          <w:rFonts w:hint="eastAsia"/>
          <w:highlight w:val="none"/>
          <w:lang w:val="en-US" w:eastAsia="zh-CN"/>
        </w:rPr>
      </w:pPr>
    </w:p>
    <w:p w14:paraId="1C095DDF">
      <w:pPr>
        <w:pStyle w:val="9"/>
        <w:overflowPunct w:val="0"/>
        <w:spacing w:line="600" w:lineRule="exact"/>
        <w:ind w:firstLine="640" w:firstLineChars="200"/>
        <w:jc w:val="both"/>
        <w:outlineLvl w:val="2"/>
        <w:rPr>
          <w:rFonts w:hint="eastAsia"/>
          <w:highlight w:val="none"/>
          <w:lang w:val="en-US" w:eastAsia="zh-CN"/>
        </w:rPr>
      </w:pPr>
    </w:p>
    <w:p w14:paraId="44A5F346">
      <w:pPr>
        <w:pStyle w:val="9"/>
        <w:overflowPunct w:val="0"/>
        <w:spacing w:line="600" w:lineRule="exact"/>
        <w:ind w:firstLine="640" w:firstLineChars="200"/>
        <w:jc w:val="both"/>
        <w:outlineLvl w:val="2"/>
        <w:rPr>
          <w:rFonts w:hint="eastAsia"/>
          <w:highlight w:val="none"/>
          <w:lang w:val="en-US" w:eastAsia="zh-CN"/>
        </w:rPr>
      </w:pPr>
    </w:p>
    <w:p w14:paraId="318ADF43">
      <w:pPr>
        <w:pStyle w:val="9"/>
        <w:overflowPunct w:val="0"/>
        <w:spacing w:line="600" w:lineRule="exact"/>
        <w:ind w:firstLine="640" w:firstLineChars="200"/>
        <w:jc w:val="both"/>
        <w:outlineLvl w:val="2"/>
        <w:rPr>
          <w:rFonts w:hint="eastAsia"/>
          <w:highlight w:val="none"/>
          <w:lang w:val="en-US" w:eastAsia="zh-CN"/>
        </w:rPr>
      </w:pPr>
    </w:p>
    <w:p w14:paraId="0BFF67D2">
      <w:pPr>
        <w:pStyle w:val="9"/>
        <w:overflowPunct w:val="0"/>
        <w:spacing w:line="600" w:lineRule="exact"/>
        <w:ind w:left="0" w:leftChars="0" w:firstLine="0" w:firstLineChars="0"/>
        <w:jc w:val="center"/>
        <w:outlineLvl w:val="2"/>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图5-1 2022年大学生就业补贴人数季度变化图，单位（人）</w:t>
      </w:r>
    </w:p>
    <w:p w14:paraId="6FA679A0">
      <w:pPr>
        <w:pStyle w:val="9"/>
        <w:overflowPunct w:val="0"/>
        <w:spacing w:line="600" w:lineRule="exact"/>
        <w:ind w:firstLine="640" w:firstLineChars="200"/>
        <w:jc w:val="both"/>
        <w:outlineLvl w:val="2"/>
        <w:rPr>
          <w:rFonts w:hint="eastAsia"/>
          <w:highlight w:val="none"/>
          <w:lang w:val="en-US"/>
        </w:rPr>
      </w:pPr>
      <w:r>
        <w:rPr>
          <w:rStyle w:val="43"/>
          <w:rFonts w:hint="eastAsia"/>
          <w:lang w:val="en-US" w:eastAsia="zh-CN"/>
        </w:rPr>
        <w:t>（3）补贴企业（个体户）正常运转率</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5</w:t>
      </w:r>
      <w:r>
        <w:rPr>
          <w:rFonts w:hint="eastAsia"/>
          <w:highlight w:val="none"/>
          <w:lang w:val="en-US"/>
        </w:rPr>
        <w:t>分）</w:t>
      </w:r>
    </w:p>
    <w:p w14:paraId="6AE9ECC5">
      <w:pPr>
        <w:pStyle w:val="9"/>
        <w:overflowPunct w:val="0"/>
        <w:spacing w:line="600" w:lineRule="exact"/>
        <w:ind w:firstLine="640" w:firstLineChars="200"/>
        <w:jc w:val="both"/>
        <w:outlineLvl w:val="2"/>
        <w:rPr>
          <w:rFonts w:hint="eastAsia"/>
          <w:highlight w:val="none"/>
          <w:lang w:val="en-US" w:eastAsia="zh-CN"/>
        </w:rPr>
      </w:pPr>
      <w:r>
        <w:rPr>
          <w:rFonts w:hint="eastAsia"/>
          <w:highlight w:val="none"/>
          <w:lang w:val="en-US" w:eastAsia="zh-CN"/>
        </w:rPr>
        <w:t xml:space="preserve">根据现场调研，2022年所补贴的企业（个体户）均处于正常营业状态，正常运转率100%，本项指标得5分，得分率100%。      </w:t>
      </w:r>
    </w:p>
    <w:p w14:paraId="45213DC0">
      <w:pPr>
        <w:pStyle w:val="9"/>
        <w:overflowPunct w:val="0"/>
        <w:spacing w:line="600" w:lineRule="exact"/>
        <w:ind w:firstLine="640" w:firstLineChars="200"/>
        <w:jc w:val="both"/>
        <w:outlineLvl w:val="2"/>
        <w:rPr>
          <w:rFonts w:hint="eastAsia"/>
          <w:highlight w:val="none"/>
          <w:lang w:val="en-US" w:eastAsia="zh-CN"/>
        </w:rPr>
      </w:pPr>
      <w:r>
        <w:rPr>
          <w:rStyle w:val="43"/>
          <w:rFonts w:hint="eastAsia"/>
          <w:lang w:val="en-US" w:eastAsia="zh-CN"/>
        </w:rPr>
        <w:t>2.可持续性影响</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5</w:t>
      </w:r>
      <w:r>
        <w:rPr>
          <w:rFonts w:hint="eastAsia"/>
          <w:highlight w:val="none"/>
          <w:lang w:val="en-US"/>
        </w:rPr>
        <w:t>分）</w:t>
      </w:r>
      <w:bookmarkEnd w:id="558"/>
    </w:p>
    <w:p w14:paraId="727A62D8">
      <w:pPr>
        <w:pStyle w:val="9"/>
        <w:overflowPunct w:val="0"/>
        <w:spacing w:line="600" w:lineRule="exact"/>
        <w:ind w:firstLine="640" w:firstLineChars="200"/>
        <w:jc w:val="both"/>
        <w:rPr>
          <w:highlight w:val="none"/>
          <w:lang w:val="en-US"/>
        </w:rPr>
      </w:pPr>
      <w:r>
        <w:rPr>
          <w:rFonts w:hint="eastAsia"/>
          <w:highlight w:val="none"/>
          <w:lang w:val="en-US"/>
        </w:rPr>
        <w:t>补贴审核机制健全性（满分</w:t>
      </w:r>
      <w:r>
        <w:rPr>
          <w:rFonts w:hint="eastAsia"/>
          <w:highlight w:val="none"/>
          <w:lang w:val="en-US" w:eastAsia="zh-CN"/>
        </w:rPr>
        <w:t>5</w:t>
      </w:r>
      <w:r>
        <w:rPr>
          <w:rFonts w:hint="eastAsia"/>
          <w:highlight w:val="none"/>
          <w:lang w:val="en-US"/>
        </w:rPr>
        <w:t>分，实得</w:t>
      </w:r>
      <w:r>
        <w:rPr>
          <w:rFonts w:hint="eastAsia"/>
          <w:highlight w:val="none"/>
          <w:lang w:val="en-US" w:eastAsia="zh-CN"/>
        </w:rPr>
        <w:t>5</w:t>
      </w:r>
      <w:r>
        <w:rPr>
          <w:rFonts w:hint="eastAsia"/>
          <w:highlight w:val="none"/>
          <w:lang w:val="en-US"/>
        </w:rPr>
        <w:t>分）</w:t>
      </w:r>
    </w:p>
    <w:p w14:paraId="6FF8EDC1">
      <w:pPr>
        <w:pStyle w:val="9"/>
        <w:numPr>
          <w:ilvl w:val="0"/>
          <w:numId w:val="0"/>
        </w:numPr>
        <w:overflowPunct w:val="0"/>
        <w:spacing w:line="600" w:lineRule="exact"/>
        <w:ind w:firstLine="640" w:firstLineChars="200"/>
        <w:jc w:val="both"/>
        <w:rPr>
          <w:rFonts w:hint="eastAsia"/>
          <w:highlight w:val="none"/>
          <w:lang w:val="en-US" w:eastAsia="zh-CN"/>
        </w:rPr>
      </w:pPr>
      <w:r>
        <w:rPr>
          <w:rFonts w:hint="eastAsia"/>
          <w:highlight w:val="none"/>
          <w:lang w:val="en-US" w:eastAsia="zh-CN"/>
        </w:rPr>
        <w:t>根据现场调研并分析相关资料，枣庄高新区社会事务综合服务中心有较为健全的审核机制，将所有业务的操作步骤做成了汇编，人员分工明确，经办流程等制度详细。本指标得分5分，得分率100%。</w:t>
      </w:r>
    </w:p>
    <w:p w14:paraId="339FD24A">
      <w:pPr>
        <w:pStyle w:val="9"/>
        <w:numPr>
          <w:ilvl w:val="0"/>
          <w:numId w:val="0"/>
        </w:numPr>
        <w:overflowPunct w:val="0"/>
        <w:spacing w:line="600" w:lineRule="exact"/>
        <w:ind w:firstLine="640" w:firstLineChars="200"/>
        <w:jc w:val="both"/>
        <w:rPr>
          <w:rFonts w:hint="eastAsia"/>
          <w:highlight w:val="none"/>
          <w:lang w:val="en-US" w:eastAsia="zh-CN"/>
        </w:rPr>
      </w:pPr>
      <w:r>
        <w:rPr>
          <w:rFonts w:hint="eastAsia"/>
          <w:highlight w:val="none"/>
          <w:lang w:val="en-US" w:eastAsia="zh-CN"/>
        </w:rPr>
        <w:t>3.满意度</w:t>
      </w:r>
      <w:r>
        <w:rPr>
          <w:rFonts w:hint="eastAsia"/>
          <w:highlight w:val="none"/>
          <w:lang w:val="en-US"/>
        </w:rPr>
        <w:t>（满分</w:t>
      </w:r>
      <w:r>
        <w:rPr>
          <w:rFonts w:hint="eastAsia"/>
          <w:highlight w:val="none"/>
          <w:lang w:val="en-US" w:eastAsia="zh-CN"/>
        </w:rPr>
        <w:t>10</w:t>
      </w:r>
      <w:r>
        <w:rPr>
          <w:rFonts w:hint="eastAsia"/>
          <w:highlight w:val="none"/>
          <w:lang w:val="en-US"/>
        </w:rPr>
        <w:t>分，实得</w:t>
      </w:r>
      <w:r>
        <w:rPr>
          <w:rFonts w:hint="eastAsia"/>
          <w:highlight w:val="none"/>
          <w:lang w:val="en-US" w:eastAsia="zh-CN"/>
        </w:rPr>
        <w:t>10</w:t>
      </w:r>
      <w:r>
        <w:rPr>
          <w:rFonts w:hint="eastAsia"/>
          <w:highlight w:val="none"/>
          <w:lang w:val="en-US"/>
        </w:rPr>
        <w:t>分）</w:t>
      </w:r>
    </w:p>
    <w:p w14:paraId="50952185">
      <w:pPr>
        <w:pStyle w:val="9"/>
        <w:numPr>
          <w:ilvl w:val="0"/>
          <w:numId w:val="0"/>
        </w:numPr>
        <w:overflowPunct w:val="0"/>
        <w:spacing w:line="600" w:lineRule="exact"/>
        <w:ind w:firstLine="640" w:firstLineChars="200"/>
        <w:jc w:val="both"/>
        <w:rPr>
          <w:rFonts w:hint="eastAsia"/>
          <w:highlight w:val="none"/>
          <w:lang w:val="en-US"/>
        </w:rPr>
      </w:pPr>
      <w:r>
        <w:rPr>
          <w:rFonts w:hint="eastAsia"/>
          <w:highlight w:val="none"/>
          <w:lang w:val="en-US" w:eastAsia="zh-CN"/>
        </w:rPr>
        <w:t>（1）受益企业满意度</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5</w:t>
      </w:r>
      <w:r>
        <w:rPr>
          <w:rFonts w:hint="eastAsia"/>
          <w:highlight w:val="none"/>
          <w:lang w:val="en-US"/>
        </w:rPr>
        <w:t>分）</w:t>
      </w:r>
    </w:p>
    <w:p w14:paraId="0AA660DF">
      <w:pPr>
        <w:pStyle w:val="9"/>
        <w:numPr>
          <w:ilvl w:val="0"/>
          <w:numId w:val="0"/>
        </w:numPr>
        <w:overflowPunct w:val="0"/>
        <w:spacing w:line="600" w:lineRule="exact"/>
        <w:ind w:firstLine="640" w:firstLineChars="200"/>
        <w:jc w:val="both"/>
        <w:rPr>
          <w:rFonts w:hint="default" w:eastAsia="仿宋_GB2312"/>
          <w:highlight w:val="none"/>
          <w:lang w:val="en-US" w:eastAsia="zh-CN"/>
        </w:rPr>
      </w:pPr>
      <w:r>
        <w:rPr>
          <w:rFonts w:hint="eastAsia"/>
          <w:highlight w:val="none"/>
          <w:lang w:val="en-US" w:eastAsia="zh-CN"/>
        </w:rPr>
        <w:t>根据满意度问卷调查，受益企业的满意度为100%，根据评分标准“调查问卷得分≥95分，本项指标得满分”，本指标得5分，得分率100%。</w:t>
      </w:r>
    </w:p>
    <w:p w14:paraId="0B433D65">
      <w:pPr>
        <w:pStyle w:val="9"/>
        <w:numPr>
          <w:ilvl w:val="0"/>
          <w:numId w:val="0"/>
        </w:numPr>
        <w:overflowPunct w:val="0"/>
        <w:spacing w:line="600" w:lineRule="exact"/>
        <w:ind w:firstLine="640" w:firstLineChars="200"/>
        <w:jc w:val="both"/>
        <w:rPr>
          <w:rFonts w:hint="eastAsia"/>
          <w:highlight w:val="none"/>
          <w:lang w:val="en-US"/>
        </w:rPr>
      </w:pPr>
      <w:r>
        <w:rPr>
          <w:rFonts w:hint="eastAsia"/>
          <w:highlight w:val="none"/>
          <w:lang w:val="en-US" w:eastAsia="zh-CN"/>
        </w:rPr>
        <w:t>（2）受益人群满意度</w:t>
      </w:r>
      <w:r>
        <w:rPr>
          <w:rFonts w:hint="eastAsia"/>
          <w:highlight w:val="none"/>
          <w:lang w:val="en-US"/>
        </w:rPr>
        <w:t>（满分</w:t>
      </w:r>
      <w:r>
        <w:rPr>
          <w:rFonts w:hint="eastAsia"/>
          <w:highlight w:val="none"/>
          <w:lang w:val="en-US" w:eastAsia="zh-CN"/>
        </w:rPr>
        <w:t>5</w:t>
      </w:r>
      <w:r>
        <w:rPr>
          <w:rFonts w:hint="eastAsia"/>
          <w:highlight w:val="none"/>
          <w:lang w:val="en-US"/>
        </w:rPr>
        <w:t>分，实得</w:t>
      </w:r>
      <w:r>
        <w:rPr>
          <w:rFonts w:hint="eastAsia"/>
          <w:highlight w:val="none"/>
          <w:lang w:val="en-US" w:eastAsia="zh-CN"/>
        </w:rPr>
        <w:t>5</w:t>
      </w:r>
      <w:r>
        <w:rPr>
          <w:rFonts w:hint="eastAsia"/>
          <w:highlight w:val="none"/>
          <w:lang w:val="en-US"/>
        </w:rPr>
        <w:t>分）</w:t>
      </w:r>
    </w:p>
    <w:p w14:paraId="74009B74">
      <w:pPr>
        <w:pStyle w:val="9"/>
        <w:numPr>
          <w:ilvl w:val="0"/>
          <w:numId w:val="0"/>
        </w:numPr>
        <w:overflowPunct w:val="0"/>
        <w:spacing w:line="600" w:lineRule="exact"/>
        <w:ind w:firstLine="640" w:firstLineChars="200"/>
        <w:jc w:val="both"/>
        <w:rPr>
          <w:rFonts w:hint="default"/>
          <w:highlight w:val="none"/>
          <w:lang w:val="en-US" w:eastAsia="zh-CN"/>
        </w:rPr>
      </w:pPr>
      <w:r>
        <w:rPr>
          <w:rFonts w:hint="eastAsia"/>
          <w:highlight w:val="none"/>
          <w:lang w:val="en-US" w:eastAsia="zh-CN"/>
        </w:rPr>
        <w:t>根据满意度问卷调查，受益人群的满意度为100%，根据评分标准“调查问卷得分≥95分，本项指标得满分”，本指标得5分，得分率100%。</w:t>
      </w:r>
    </w:p>
    <w:p w14:paraId="44F1081F">
      <w:pPr>
        <w:pStyle w:val="3"/>
        <w:bidi w:val="0"/>
        <w:rPr>
          <w:rFonts w:hint="eastAsia" w:ascii="黑体" w:hAnsi="黑体" w:eastAsia="黑体" w:cs="黑体"/>
          <w:highlight w:val="none"/>
          <w:lang w:val="en-US" w:eastAsia="zh-CN"/>
        </w:rPr>
      </w:pPr>
      <w:bookmarkStart w:id="559" w:name="_Toc24091"/>
      <w:bookmarkStart w:id="560" w:name="_Toc9846"/>
      <w:bookmarkStart w:id="561" w:name="_Toc28211"/>
      <w:bookmarkStart w:id="562" w:name="_Toc5700"/>
      <w:bookmarkStart w:id="563" w:name="_Toc14207"/>
      <w:bookmarkStart w:id="564" w:name="_Toc11120"/>
      <w:bookmarkStart w:id="565" w:name="_Toc12497"/>
      <w:bookmarkStart w:id="566" w:name="_Toc30630"/>
      <w:bookmarkStart w:id="567" w:name="_Toc17476"/>
      <w:bookmarkStart w:id="568" w:name="_Toc6855"/>
      <w:bookmarkStart w:id="569" w:name="_Toc29213"/>
      <w:bookmarkStart w:id="570" w:name="_Toc11267"/>
      <w:bookmarkStart w:id="571" w:name="_Toc22152"/>
      <w:bookmarkStart w:id="572" w:name="_Toc14664"/>
      <w:bookmarkStart w:id="573" w:name="_Toc11684"/>
      <w:r>
        <w:rPr>
          <w:rFonts w:hint="eastAsia"/>
          <w:lang w:val="en-US" w:eastAsia="zh-CN"/>
        </w:rPr>
        <w:t>六</w:t>
      </w:r>
      <w:r>
        <w:rPr>
          <w:rFonts w:hint="eastAsia"/>
        </w:rPr>
        <w:t>、存在的问题</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4D9C71EA">
      <w:pPr>
        <w:pStyle w:val="4"/>
        <w:bidi w:val="0"/>
        <w:rPr>
          <w:rFonts w:hint="eastAsia"/>
          <w:lang w:val="en-US" w:eastAsia="zh-CN"/>
        </w:rPr>
      </w:pPr>
      <w:bookmarkStart w:id="574" w:name="_Toc26057"/>
      <w:bookmarkStart w:id="575" w:name="_Toc29771"/>
      <w:bookmarkStart w:id="576" w:name="_Toc13960"/>
      <w:bookmarkStart w:id="577" w:name="_Toc19723"/>
      <w:bookmarkStart w:id="578" w:name="_Toc21928"/>
      <w:bookmarkStart w:id="579" w:name="_Toc30124"/>
      <w:bookmarkStart w:id="580" w:name="_Toc25988"/>
      <w:bookmarkStart w:id="581" w:name="_Toc15295"/>
      <w:bookmarkStart w:id="582" w:name="_Toc29319"/>
      <w:bookmarkStart w:id="583" w:name="_Toc3136"/>
      <w:bookmarkStart w:id="584" w:name="_Toc21147"/>
      <w:bookmarkStart w:id="585" w:name="_Toc3993"/>
      <w:bookmarkStart w:id="586" w:name="_Toc25782"/>
      <w:r>
        <w:rPr>
          <w:rFonts w:hint="eastAsia"/>
          <w:lang w:val="en-US" w:eastAsia="zh-CN"/>
        </w:rPr>
        <w:t>（一）部分政策的享受人数或企业数较少</w:t>
      </w:r>
      <w:bookmarkEnd w:id="574"/>
      <w:bookmarkEnd w:id="575"/>
      <w:bookmarkEnd w:id="576"/>
      <w:bookmarkEnd w:id="577"/>
      <w:bookmarkEnd w:id="578"/>
    </w:p>
    <w:p w14:paraId="4A342184">
      <w:pPr>
        <w:rPr>
          <w:rFonts w:hint="default" w:eastAsia="仿宋_GB2312"/>
          <w:highlight w:val="none"/>
          <w:lang w:val="en-US" w:eastAsia="zh-CN"/>
        </w:rPr>
      </w:pPr>
      <w:r>
        <w:rPr>
          <w:rStyle w:val="43"/>
          <w:rFonts w:hint="eastAsia"/>
          <w:lang w:val="en-US" w:eastAsia="zh-CN"/>
        </w:rPr>
        <w:t>根据部门提供的数据，小微企业招用高校毕业生一次性吸纳就业补贴项目仅有山东中成环境技术服务有限公司和山东弘尚环保科技有限公司共2家企业申请并最终享受该政策补贴，小微企业招用高校毕业生社保补贴只有山东飞羊数字科技股份有限公司申请并最终享受该政策补贴。对于整个高新区来说，仅有1家或2家公司提出相关申请是不合理的，提出申请的企业或员工过少，实际享受这两个政策的人数或企业数较少，达不到通过政策补贴引进人才的目的</w:t>
      </w:r>
      <w:r>
        <w:rPr>
          <w:rFonts w:hint="eastAsia"/>
          <w:highlight w:val="none"/>
          <w:lang w:val="en-US"/>
        </w:rPr>
        <w:t>。</w:t>
      </w:r>
      <w:r>
        <w:rPr>
          <w:rFonts w:hint="eastAsia"/>
          <w:highlight w:val="none"/>
          <w:lang w:val="en-US" w:eastAsia="zh-CN"/>
        </w:rPr>
        <w:t>经初步分析，社会事务综合服务中心并未出台相关政策的解读文件，宣传工作不够，造成大部分企业对相关政策的知晓率较低。</w:t>
      </w:r>
    </w:p>
    <w:bookmarkEnd w:id="579"/>
    <w:bookmarkEnd w:id="580"/>
    <w:bookmarkEnd w:id="581"/>
    <w:bookmarkEnd w:id="582"/>
    <w:bookmarkEnd w:id="583"/>
    <w:bookmarkEnd w:id="584"/>
    <w:p w14:paraId="04D6F7A0">
      <w:pPr>
        <w:pStyle w:val="4"/>
        <w:bidi w:val="0"/>
        <w:rPr>
          <w:rFonts w:hint="default"/>
          <w:lang w:val="en-US" w:eastAsia="zh-CN"/>
        </w:rPr>
      </w:pPr>
      <w:bookmarkStart w:id="587" w:name="_Toc28692"/>
      <w:bookmarkStart w:id="588" w:name="_Toc12243"/>
      <w:bookmarkStart w:id="589" w:name="_Toc24648"/>
      <w:r>
        <w:rPr>
          <w:rFonts w:hint="eastAsia"/>
          <w:lang w:val="en-US" w:eastAsia="zh-CN"/>
        </w:rPr>
        <w:t>（二）企业急需紧缺人才补贴项目审核工作不规范，档案保存不完整</w:t>
      </w:r>
      <w:bookmarkEnd w:id="587"/>
      <w:bookmarkEnd w:id="588"/>
      <w:bookmarkEnd w:id="589"/>
    </w:p>
    <w:p w14:paraId="392B68A3">
      <w:pPr>
        <w:bidi w:val="0"/>
        <w:rPr>
          <w:rFonts w:hint="eastAsia"/>
          <w:highlight w:val="none"/>
          <w:lang w:val="en-US" w:eastAsia="zh-CN"/>
        </w:rPr>
      </w:pPr>
      <w:r>
        <w:rPr>
          <w:rFonts w:hint="eastAsia"/>
          <w:highlight w:val="none"/>
          <w:lang w:val="en-US" w:eastAsia="zh-CN"/>
        </w:rPr>
        <w:t>根据现场调研，企业急需紧缺人才项目的申请材料由枣庄智创人力资源服务有限公司进行审核，枣庄高新区社会事务综合服务中心未将相关资料进行存档，此操作不符合规范，补贴政策的核心工作是对申请人提交的相关材料的真实性全面性的审核，需要主管部门进行严格把关。对第三方监管，要求审核报告</w:t>
      </w:r>
      <w:bookmarkStart w:id="590" w:name="_Toc17863"/>
      <w:bookmarkStart w:id="591" w:name="_Toc18196"/>
      <w:bookmarkStart w:id="592" w:name="_Toc9287"/>
      <w:bookmarkStart w:id="593" w:name="_Toc31110"/>
      <w:bookmarkStart w:id="594" w:name="_Toc100"/>
    </w:p>
    <w:bookmarkEnd w:id="585"/>
    <w:bookmarkEnd w:id="586"/>
    <w:bookmarkEnd w:id="590"/>
    <w:bookmarkEnd w:id="591"/>
    <w:bookmarkEnd w:id="592"/>
    <w:bookmarkEnd w:id="593"/>
    <w:bookmarkEnd w:id="594"/>
    <w:p w14:paraId="2CF740A2">
      <w:pPr>
        <w:pStyle w:val="4"/>
        <w:bidi w:val="0"/>
        <w:rPr>
          <w:rFonts w:hint="eastAsia"/>
          <w:lang w:val="en-US" w:eastAsia="zh-CN"/>
        </w:rPr>
      </w:pPr>
      <w:bookmarkStart w:id="595" w:name="_Toc264"/>
      <w:bookmarkStart w:id="596" w:name="_Toc11896"/>
      <w:bookmarkStart w:id="597" w:name="_Toc878"/>
      <w:bookmarkStart w:id="598" w:name="_Toc7769"/>
      <w:bookmarkStart w:id="599" w:name="_Toc3561"/>
      <w:bookmarkStart w:id="600" w:name="_Toc13353"/>
      <w:bookmarkStart w:id="601" w:name="_Toc28596"/>
      <w:r>
        <w:rPr>
          <w:rFonts w:hint="eastAsia"/>
          <w:lang w:val="en-US" w:eastAsia="zh-CN"/>
        </w:rPr>
        <w:t>（三）预算编制不合理，存在多个项目打包处理现象</w:t>
      </w:r>
      <w:bookmarkEnd w:id="595"/>
      <w:bookmarkEnd w:id="596"/>
      <w:bookmarkEnd w:id="597"/>
    </w:p>
    <w:p w14:paraId="5E650F9D">
      <w:pPr>
        <w:keepNext w:val="0"/>
        <w:keepLines w:val="0"/>
        <w:pageBreakBefore w:val="0"/>
        <w:widowControl w:val="0"/>
        <w:kinsoku/>
        <w:wordWrap/>
        <w:overflowPunct/>
        <w:topLinePunct w:val="0"/>
        <w:autoSpaceDE w:val="0"/>
        <w:autoSpaceDN w:val="0"/>
        <w:bidi w:val="0"/>
        <w:adjustRightInd/>
        <w:snapToGrid/>
        <w:jc w:val="both"/>
        <w:textAlignment w:val="auto"/>
        <w:rPr>
          <w:rFonts w:hint="eastAsia"/>
          <w:lang w:val="en-US" w:eastAsia="zh-CN"/>
        </w:rPr>
      </w:pPr>
      <w:bookmarkStart w:id="602" w:name="_Toc26289"/>
      <w:r>
        <w:rPr>
          <w:rFonts w:hint="eastAsia"/>
          <w:lang w:val="en-US" w:eastAsia="zh-CN"/>
        </w:rPr>
        <w:t>根据部门提供的预算材料以及公开信息，枣庄高新区社会事务综合服务中心将所有的人力政策补贴项目打包编制预算，未分析每个项目的预算金额，不利于资金的日常管理和合理使用。</w:t>
      </w:r>
      <w:bookmarkEnd w:id="602"/>
    </w:p>
    <w:p w14:paraId="3D7B1199">
      <w:pPr>
        <w:pStyle w:val="3"/>
        <w:numPr>
          <w:ilvl w:val="0"/>
          <w:numId w:val="0"/>
        </w:numPr>
        <w:bidi w:val="0"/>
        <w:ind w:leftChars="200"/>
        <w:rPr>
          <w:rFonts w:hint="eastAsia"/>
          <w:lang w:val="en-US" w:eastAsia="zh-CN"/>
        </w:rPr>
      </w:pPr>
      <w:bookmarkStart w:id="603" w:name="_Toc23124"/>
      <w:bookmarkStart w:id="604" w:name="_Toc3911"/>
      <w:bookmarkStart w:id="605" w:name="_Toc21113"/>
      <w:r>
        <w:rPr>
          <w:rFonts w:hint="eastAsia"/>
          <w:lang w:val="en-US" w:eastAsia="zh-CN"/>
        </w:rPr>
        <w:t>七、相关建议</w:t>
      </w:r>
      <w:bookmarkEnd w:id="598"/>
      <w:bookmarkEnd w:id="599"/>
      <w:bookmarkEnd w:id="600"/>
      <w:bookmarkEnd w:id="601"/>
      <w:bookmarkEnd w:id="603"/>
      <w:bookmarkEnd w:id="604"/>
      <w:bookmarkEnd w:id="605"/>
    </w:p>
    <w:p w14:paraId="564781B2">
      <w:pPr>
        <w:pStyle w:val="4"/>
        <w:bidi w:val="0"/>
        <w:rPr>
          <w:rFonts w:hint="default" w:ascii="楷体_GB2312" w:hAnsi="楷体_GB2312" w:eastAsia="楷体_GB2312" w:cs="楷体_GB2312"/>
          <w:lang w:val="en-US" w:eastAsia="zh-CN"/>
        </w:rPr>
      </w:pPr>
      <w:bookmarkStart w:id="606" w:name="_Toc1378"/>
      <w:bookmarkStart w:id="607" w:name="_Toc12473"/>
      <w:bookmarkStart w:id="608" w:name="_Toc27595"/>
      <w:bookmarkStart w:id="609" w:name="_Toc4926"/>
      <w:bookmarkStart w:id="610" w:name="_Toc11542"/>
      <w:r>
        <w:rPr>
          <w:rFonts w:hint="eastAsia"/>
          <w:lang w:val="en-US" w:eastAsia="zh-CN"/>
        </w:rPr>
        <w:t>（一）</w:t>
      </w:r>
      <w:bookmarkEnd w:id="606"/>
      <w:bookmarkEnd w:id="607"/>
      <w:bookmarkEnd w:id="608"/>
      <w:bookmarkEnd w:id="609"/>
      <w:bookmarkEnd w:id="610"/>
      <w:r>
        <w:rPr>
          <w:rFonts w:hint="eastAsia" w:ascii="楷体_GB2312" w:hAnsi="楷体_GB2312" w:eastAsia="楷体_GB2312" w:cs="楷体_GB2312"/>
          <w:lang w:val="en-US" w:eastAsia="zh-CN"/>
        </w:rPr>
        <w:t>政策宣传不到位，个别补贴政策申请企业或人数较少，未充分发挥通过政策补贴引进人才的目的</w:t>
      </w:r>
    </w:p>
    <w:p w14:paraId="10A3AC20">
      <w:pPr>
        <w:keepNext w:val="0"/>
        <w:keepLines w:val="0"/>
        <w:pageBreakBefore w:val="0"/>
        <w:widowControl w:val="0"/>
        <w:kinsoku/>
        <w:wordWrap/>
        <w:overflowPunct/>
        <w:topLinePunct w:val="0"/>
        <w:autoSpaceDE w:val="0"/>
        <w:autoSpaceDN w:val="0"/>
        <w:bidi w:val="0"/>
        <w:adjustRightInd/>
        <w:snapToGrid/>
        <w:jc w:val="both"/>
        <w:textAlignment w:val="auto"/>
        <w:rPr>
          <w:rFonts w:hint="default"/>
          <w:lang w:val="en-US" w:eastAsia="zh-CN"/>
        </w:rPr>
      </w:pPr>
      <w:r>
        <w:rPr>
          <w:rFonts w:hint="eastAsia"/>
          <w:lang w:val="en-US" w:eastAsia="zh-CN"/>
        </w:rPr>
        <w:t>通过查询公开信息，在枣庄市高新区管委会及高新区社会事务综合服务中心的官方网站、公众号等信息传播渠道并未找到宣传相关人力资源政策的信息，政策宣传工作不到位。建议高新区社会事务综合服务中心充分利用各种工作力量和各类媒体平台，大范围、多层次、高密度、全方位开展政策宣传工作；针对市级部门出台的政策做好解读工作，让群众明晰政策口径、使用标准、办理方式，做到政策解读分众化、服务群众精准化，推动各类政策应知尽知、应享尽享。</w:t>
      </w:r>
    </w:p>
    <w:p w14:paraId="6DED4CF1">
      <w:pPr>
        <w:pStyle w:val="4"/>
        <w:bidi w:val="0"/>
        <w:rPr>
          <w:rFonts w:hint="default" w:ascii="楷体_GB2312" w:hAnsi="楷体_GB2312" w:eastAsia="楷体_GB2312" w:cs="楷体_GB2312"/>
          <w:lang w:val="en-US" w:eastAsia="zh-CN"/>
        </w:rPr>
      </w:pPr>
      <w:bookmarkStart w:id="611" w:name="_Toc16387"/>
      <w:bookmarkStart w:id="612" w:name="_Toc19860"/>
      <w:r>
        <w:rPr>
          <w:rFonts w:hint="eastAsia"/>
          <w:lang w:val="en-US" w:eastAsia="zh-CN"/>
        </w:rPr>
        <w:t>（二）进一步规范审核工作和档案管理工作</w:t>
      </w:r>
      <w:bookmarkEnd w:id="611"/>
      <w:bookmarkEnd w:id="612"/>
    </w:p>
    <w:p w14:paraId="0EED2BFE">
      <w:pPr>
        <w:pStyle w:val="9"/>
        <w:overflowPunct w:val="0"/>
        <w:spacing w:line="600" w:lineRule="exact"/>
        <w:ind w:firstLine="640" w:firstLineChars="200"/>
        <w:jc w:val="both"/>
        <w:rPr>
          <w:rFonts w:hint="eastAsia"/>
          <w:lang w:val="en-US" w:eastAsia="zh-CN"/>
        </w:rPr>
      </w:pPr>
      <w:r>
        <w:rPr>
          <w:rFonts w:hint="eastAsia"/>
          <w:lang w:val="en-US" w:eastAsia="zh-CN"/>
        </w:rPr>
        <w:t>枣庄高新区社会事务综合服务中心要加强对各项补贴申请资料的审核力度，原则上要由政府承担审核工作，涉及高端人才专业领域等项目、政府内部无法审核的可委托第三方专业机构参与</w:t>
      </w:r>
      <w:r>
        <w:rPr>
          <w:rFonts w:hint="eastAsia"/>
          <w:highlight w:val="none"/>
          <w:lang w:val="en-US" w:eastAsia="zh-CN"/>
        </w:rPr>
        <w:t>。需要注意的是，第三方仅是参与审核工作起辅助作用，主管部门仍然为主导，</w:t>
      </w:r>
      <w:r>
        <w:rPr>
          <w:rFonts w:hint="eastAsia"/>
          <w:lang w:val="en-US" w:eastAsia="zh-CN"/>
        </w:rPr>
        <w:t>枣庄高新区社会事务综合服务中心要对第三方的工作进行有效监督，保证审核工作的客观性、真实性、公平性。建议对第三方实行考核，第三方的工作要形成汇报材料，对工作的组织开展情况、资料审核情况、最终结果情况等进行书面报告。这样既能加强对第三方的监督又能加强对项目的了解，还能通过与第三方的交流形成工作经验。</w:t>
      </w:r>
    </w:p>
    <w:p w14:paraId="55C14712">
      <w:pPr>
        <w:pStyle w:val="9"/>
        <w:overflowPunct w:val="0"/>
        <w:spacing w:line="600" w:lineRule="exact"/>
        <w:ind w:firstLine="640" w:firstLineChars="200"/>
        <w:jc w:val="both"/>
        <w:rPr>
          <w:rFonts w:hint="default"/>
          <w:highlight w:val="none"/>
          <w:lang w:val="en-US" w:eastAsia="zh-CN"/>
        </w:rPr>
      </w:pPr>
      <w:r>
        <w:rPr>
          <w:rFonts w:hint="eastAsia"/>
          <w:lang w:val="en-US" w:eastAsia="zh-CN"/>
        </w:rPr>
        <w:t>要更加重视档案管理工作，人力资源经费项目涉及的子项目较多，要更加有序地整理存放档案，不可出现随意堆放、缺页少页等情况；所有项目的审核资料都要存档备查，委托第三方审核的部分也要做好备份，保证档案完整性。</w:t>
      </w:r>
    </w:p>
    <w:p w14:paraId="41D7F7B0">
      <w:pPr>
        <w:pStyle w:val="4"/>
        <w:bidi w:val="0"/>
        <w:rPr>
          <w:rFonts w:hint="eastAsia"/>
          <w:lang w:val="en-US" w:eastAsia="zh-CN"/>
        </w:rPr>
      </w:pPr>
      <w:bookmarkStart w:id="613" w:name="_Toc9972"/>
      <w:bookmarkStart w:id="614" w:name="_Toc15858"/>
      <w:bookmarkStart w:id="615" w:name="_Toc19219"/>
      <w:r>
        <w:rPr>
          <w:rFonts w:hint="eastAsia"/>
          <w:lang w:val="en-US" w:eastAsia="zh-CN"/>
        </w:rPr>
        <w:t>（三）细化预算编制，明确每个项目的预算额，避免“打包”编制预算</w:t>
      </w:r>
      <w:bookmarkEnd w:id="613"/>
      <w:bookmarkEnd w:id="614"/>
      <w:bookmarkEnd w:id="615"/>
    </w:p>
    <w:p w14:paraId="21571F35">
      <w:pPr>
        <w:keepNext w:val="0"/>
        <w:keepLines w:val="0"/>
        <w:pageBreakBefore w:val="0"/>
        <w:widowControl w:val="0"/>
        <w:kinsoku/>
        <w:wordWrap/>
        <w:overflowPunct/>
        <w:topLinePunct w:val="0"/>
        <w:autoSpaceDE w:val="0"/>
        <w:autoSpaceDN w:val="0"/>
        <w:bidi w:val="0"/>
        <w:adjustRightInd/>
        <w:snapToGrid/>
        <w:jc w:val="both"/>
        <w:textAlignment w:val="auto"/>
        <w:rPr>
          <w:rFonts w:hint="default"/>
          <w:lang w:val="en-US" w:eastAsia="zh-CN"/>
        </w:rPr>
      </w:pPr>
      <w:r>
        <w:rPr>
          <w:rFonts w:hint="eastAsia"/>
          <w:lang w:val="en-US" w:eastAsia="zh-CN"/>
        </w:rPr>
        <w:t>进一步规范预算管理，取消打包编制预算的方式，建议部门对每个子项目进行预算编制，便于精确化管理资金和节约资金，同时避免各项目资金混合使用，提高资金使用效率。</w:t>
      </w:r>
    </w:p>
    <w:p w14:paraId="1ED56576">
      <w:pPr>
        <w:pStyle w:val="6"/>
        <w:keepNext w:val="0"/>
        <w:keepLines w:val="0"/>
        <w:pageBreakBefore w:val="0"/>
        <w:widowControl w:val="0"/>
        <w:numPr>
          <w:ilvl w:val="0"/>
          <w:numId w:val="0"/>
        </w:numPr>
        <w:kinsoku/>
        <w:wordWrap/>
        <w:overflowPunct/>
        <w:autoSpaceDE w:val="0"/>
        <w:autoSpaceDN w:val="0"/>
        <w:bidi w:val="0"/>
        <w:adjustRightInd/>
        <w:snapToGrid/>
        <w:ind w:firstLine="640" w:firstLineChars="200"/>
        <w:jc w:val="both"/>
        <w:textAlignment w:val="auto"/>
        <w:rPr>
          <w:rFonts w:hint="eastAsia" w:cs="仿宋_GB2312"/>
          <w:sz w:val="32"/>
          <w:szCs w:val="32"/>
          <w:highlight w:val="none"/>
          <w:lang w:val="en-US" w:eastAsia="zh-CN" w:bidi="zh-CN"/>
        </w:rPr>
      </w:pPr>
    </w:p>
    <w:p w14:paraId="3FD83329">
      <w:pPr>
        <w:pStyle w:val="9"/>
        <w:overflowPunct w:val="0"/>
        <w:spacing w:line="600" w:lineRule="exact"/>
        <w:ind w:firstLine="640" w:firstLineChars="200"/>
        <w:jc w:val="both"/>
        <w:rPr>
          <w:highlight w:val="none"/>
        </w:rPr>
      </w:pPr>
    </w:p>
    <w:p w14:paraId="33C1BB2E">
      <w:pPr>
        <w:pStyle w:val="9"/>
        <w:overflowPunct w:val="0"/>
        <w:spacing w:line="600" w:lineRule="exact"/>
        <w:ind w:firstLine="640" w:firstLineChars="200"/>
        <w:jc w:val="both"/>
        <w:outlineLvl w:val="1"/>
        <w:rPr>
          <w:highlight w:val="none"/>
        </w:rPr>
        <w:sectPr>
          <w:footerReference r:id="rId12" w:type="default"/>
          <w:pgSz w:w="11910" w:h="16840"/>
          <w:pgMar w:top="1417" w:right="1474" w:bottom="1417" w:left="1587" w:header="850" w:footer="1077" w:gutter="0"/>
          <w:pgNumType w:fmt="numberInDash" w:start="1"/>
          <w:cols w:space="720" w:num="1"/>
        </w:sectPr>
      </w:pPr>
    </w:p>
    <w:p w14:paraId="6F973E10">
      <w:pPr>
        <w:pStyle w:val="3"/>
        <w:bidi w:val="0"/>
        <w:rPr>
          <w:lang w:val="en-US"/>
        </w:rPr>
      </w:pPr>
      <w:bookmarkStart w:id="616" w:name="_Toc1484"/>
      <w:bookmarkStart w:id="617" w:name="_Toc3488"/>
      <w:bookmarkStart w:id="618" w:name="_Toc541"/>
      <w:bookmarkStart w:id="619" w:name="_Toc11265"/>
      <w:bookmarkStart w:id="620" w:name="_Toc23864"/>
      <w:bookmarkStart w:id="621" w:name="_Toc20520"/>
      <w:bookmarkStart w:id="622" w:name="_Toc16826"/>
      <w:bookmarkStart w:id="623" w:name="_Toc25550"/>
      <w:bookmarkStart w:id="624" w:name="_Toc16944"/>
      <w:bookmarkStart w:id="625" w:name="_Toc14260"/>
      <w:bookmarkStart w:id="626" w:name="_Toc14933"/>
      <w:bookmarkStart w:id="627" w:name="_Toc10645"/>
      <w:bookmarkStart w:id="628" w:name="_Toc18484"/>
      <w:bookmarkStart w:id="629" w:name="_Toc17197"/>
      <w:bookmarkStart w:id="630" w:name="_Toc23729"/>
      <w:r>
        <w:rPr>
          <w:rFonts w:hint="eastAsia"/>
          <w:lang w:val="en-US"/>
        </w:rPr>
        <w:t>附件</w:t>
      </w:r>
      <w:r>
        <w:rPr>
          <w:rFonts w:hint="eastAsia"/>
          <w:lang w:val="en-US" w:eastAsia="zh-CN"/>
        </w:rPr>
        <w:t>一、</w:t>
      </w:r>
      <w:r>
        <w:rPr>
          <w:rFonts w:hint="eastAsia"/>
          <w:lang w:val="en-US"/>
        </w:rPr>
        <w:t>绩效评价得分表</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tbl>
      <w:tblPr>
        <w:tblStyle w:val="22"/>
        <w:tblpPr w:leftFromText="180" w:rightFromText="180" w:vertAnchor="text" w:horzAnchor="page" w:tblpXSpec="center" w:tblpY="1427"/>
        <w:tblOverlap w:val="never"/>
        <w:tblW w:w="1424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39"/>
        <w:gridCol w:w="992"/>
        <w:gridCol w:w="1256"/>
        <w:gridCol w:w="1824"/>
        <w:gridCol w:w="3345"/>
        <w:gridCol w:w="2687"/>
        <w:gridCol w:w="463"/>
        <w:gridCol w:w="462"/>
        <w:gridCol w:w="2575"/>
      </w:tblGrid>
      <w:tr w14:paraId="103994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653" w:hRule="atLeast"/>
          <w:tblHeader/>
          <w:jc w:val="center"/>
        </w:trPr>
        <w:tc>
          <w:tcPr>
            <w:tcW w:w="639" w:type="dxa"/>
            <w:tcBorders>
              <w:bottom w:val="single" w:color="auto" w:sz="4" w:space="0"/>
              <w:right w:val="single" w:color="000000" w:sz="4" w:space="0"/>
            </w:tcBorders>
            <w:noWrap/>
            <w:vAlign w:val="center"/>
          </w:tcPr>
          <w:p w14:paraId="2EA6D46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一级指标</w:t>
            </w:r>
          </w:p>
        </w:tc>
        <w:tc>
          <w:tcPr>
            <w:tcW w:w="992" w:type="dxa"/>
            <w:tcBorders>
              <w:left w:val="single" w:color="000000" w:sz="4" w:space="0"/>
              <w:bottom w:val="single" w:color="000000" w:sz="4" w:space="0"/>
              <w:right w:val="single" w:color="000000" w:sz="4" w:space="0"/>
            </w:tcBorders>
            <w:noWrap/>
            <w:vAlign w:val="center"/>
          </w:tcPr>
          <w:p w14:paraId="4D1A6908">
            <w:pPr>
              <w:snapToGrid w:val="0"/>
              <w:spacing w:line="240" w:lineRule="auto"/>
              <w:ind w:left="0" w:leftChars="0" w:firstLine="0" w:firstLineChars="0"/>
              <w:jc w:val="center"/>
              <w:rPr>
                <w:rFonts w:hint="eastAsia"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二级指标</w:t>
            </w:r>
          </w:p>
        </w:tc>
        <w:tc>
          <w:tcPr>
            <w:tcW w:w="1256" w:type="dxa"/>
            <w:tcBorders>
              <w:left w:val="single" w:color="000000" w:sz="4" w:space="0"/>
              <w:bottom w:val="single" w:color="000000" w:sz="4" w:space="0"/>
              <w:right w:val="single" w:color="000000" w:sz="4" w:space="0"/>
            </w:tcBorders>
            <w:noWrap/>
            <w:vAlign w:val="center"/>
          </w:tcPr>
          <w:p w14:paraId="10EF2640">
            <w:pPr>
              <w:snapToGrid w:val="0"/>
              <w:spacing w:line="240" w:lineRule="auto"/>
              <w:ind w:left="0" w:leftChars="0" w:firstLine="0" w:firstLineChars="0"/>
              <w:jc w:val="center"/>
              <w:rPr>
                <w:rFonts w:hint="eastAsia"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三级指标</w:t>
            </w:r>
          </w:p>
        </w:tc>
        <w:tc>
          <w:tcPr>
            <w:tcW w:w="1824" w:type="dxa"/>
            <w:tcBorders>
              <w:left w:val="single" w:color="000000" w:sz="4" w:space="0"/>
              <w:bottom w:val="single" w:color="000000" w:sz="4" w:space="0"/>
              <w:right w:val="single" w:color="000000" w:sz="4" w:space="0"/>
            </w:tcBorders>
            <w:noWrap w:val="0"/>
            <w:vAlign w:val="center"/>
          </w:tcPr>
          <w:p w14:paraId="5FFDB944">
            <w:pPr>
              <w:snapToGrid w:val="0"/>
              <w:spacing w:line="240" w:lineRule="auto"/>
              <w:ind w:left="0" w:leftChars="0" w:firstLine="0" w:firstLineChars="0"/>
              <w:jc w:val="center"/>
              <w:rPr>
                <w:rFonts w:hint="default"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指标解释</w:t>
            </w:r>
          </w:p>
        </w:tc>
        <w:tc>
          <w:tcPr>
            <w:tcW w:w="3345" w:type="dxa"/>
            <w:tcBorders>
              <w:left w:val="single" w:color="000000" w:sz="4" w:space="0"/>
              <w:bottom w:val="single" w:color="000000" w:sz="4" w:space="0"/>
              <w:right w:val="single" w:color="000000" w:sz="4" w:space="0"/>
            </w:tcBorders>
            <w:noWrap w:val="0"/>
            <w:vAlign w:val="center"/>
          </w:tcPr>
          <w:p w14:paraId="0167B583">
            <w:pPr>
              <w:snapToGrid w:val="0"/>
              <w:spacing w:line="240" w:lineRule="auto"/>
              <w:ind w:left="0" w:leftChars="0" w:firstLine="0" w:firstLineChars="0"/>
              <w:jc w:val="center"/>
              <w:rPr>
                <w:rFonts w:hint="eastAsia"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指标说明</w:t>
            </w:r>
          </w:p>
        </w:tc>
        <w:tc>
          <w:tcPr>
            <w:tcW w:w="2687" w:type="dxa"/>
            <w:tcBorders>
              <w:left w:val="single" w:color="000000" w:sz="4" w:space="0"/>
              <w:bottom w:val="single" w:color="000000" w:sz="4" w:space="0"/>
              <w:right w:val="single" w:color="000000" w:sz="4" w:space="0"/>
            </w:tcBorders>
            <w:noWrap w:val="0"/>
            <w:vAlign w:val="center"/>
          </w:tcPr>
          <w:p w14:paraId="2E1B155A">
            <w:pPr>
              <w:snapToGrid w:val="0"/>
              <w:spacing w:line="240" w:lineRule="auto"/>
              <w:ind w:left="0" w:leftChars="0" w:firstLine="0" w:firstLineChars="0"/>
              <w:jc w:val="center"/>
              <w:rPr>
                <w:rFonts w:hint="eastAsia"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评分标准</w:t>
            </w:r>
          </w:p>
        </w:tc>
        <w:tc>
          <w:tcPr>
            <w:tcW w:w="463" w:type="dxa"/>
            <w:tcBorders>
              <w:left w:val="single" w:color="000000" w:sz="4" w:space="0"/>
              <w:bottom w:val="single" w:color="000000" w:sz="4" w:space="0"/>
              <w:right w:val="single" w:color="000000" w:sz="4" w:space="0"/>
            </w:tcBorders>
            <w:noWrap/>
            <w:vAlign w:val="center"/>
          </w:tcPr>
          <w:p w14:paraId="4B365898">
            <w:pPr>
              <w:snapToGrid w:val="0"/>
              <w:spacing w:line="240" w:lineRule="auto"/>
              <w:ind w:left="0" w:leftChars="0" w:firstLine="0" w:firstLineChars="0"/>
              <w:jc w:val="center"/>
              <w:rPr>
                <w:rFonts w:hint="default"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得分</w:t>
            </w:r>
          </w:p>
        </w:tc>
        <w:tc>
          <w:tcPr>
            <w:tcW w:w="462" w:type="dxa"/>
            <w:tcBorders>
              <w:left w:val="single" w:color="000000" w:sz="4" w:space="0"/>
              <w:bottom w:val="single" w:color="000000" w:sz="4" w:space="0"/>
              <w:right w:val="single" w:color="000000" w:sz="4" w:space="0"/>
            </w:tcBorders>
            <w:noWrap/>
            <w:vAlign w:val="center"/>
          </w:tcPr>
          <w:p w14:paraId="2146A0C2">
            <w:pPr>
              <w:snapToGrid w:val="0"/>
              <w:spacing w:line="240" w:lineRule="auto"/>
              <w:ind w:left="0" w:leftChars="0" w:firstLine="0" w:firstLineChars="0"/>
              <w:jc w:val="center"/>
              <w:rPr>
                <w:rFonts w:hint="eastAsia"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失</w:t>
            </w:r>
            <w:r>
              <w:rPr>
                <w:rFonts w:hint="default" w:ascii="宋体" w:hAnsi="宋体" w:eastAsia="宋体" w:cs="宋体"/>
                <w:b/>
                <w:bCs w:val="0"/>
                <w:color w:val="auto"/>
                <w:spacing w:val="-10"/>
                <w:sz w:val="18"/>
                <w:szCs w:val="18"/>
                <w:highlight w:val="none"/>
                <w:lang w:val="en-US" w:eastAsia="zh-CN"/>
              </w:rPr>
              <w:t>分</w:t>
            </w:r>
          </w:p>
        </w:tc>
        <w:tc>
          <w:tcPr>
            <w:tcW w:w="2575" w:type="dxa"/>
            <w:tcBorders>
              <w:left w:val="single" w:color="000000" w:sz="4" w:space="0"/>
              <w:bottom w:val="single" w:color="000000" w:sz="4" w:space="0"/>
            </w:tcBorders>
            <w:noWrap w:val="0"/>
            <w:vAlign w:val="center"/>
          </w:tcPr>
          <w:p w14:paraId="0CF3AD3F">
            <w:pPr>
              <w:snapToGrid w:val="0"/>
              <w:spacing w:line="240" w:lineRule="auto"/>
              <w:ind w:left="0" w:leftChars="0" w:firstLine="0" w:firstLineChars="0"/>
              <w:jc w:val="center"/>
              <w:rPr>
                <w:rFonts w:hint="default" w:ascii="宋体" w:hAnsi="宋体" w:eastAsia="宋体" w:cs="宋体"/>
                <w:b/>
                <w:bCs w:val="0"/>
                <w:color w:val="auto"/>
                <w:spacing w:val="-10"/>
                <w:sz w:val="18"/>
                <w:szCs w:val="18"/>
                <w:highlight w:val="none"/>
                <w:lang w:val="en-US" w:eastAsia="zh-CN"/>
              </w:rPr>
            </w:pPr>
            <w:r>
              <w:rPr>
                <w:rFonts w:hint="eastAsia" w:ascii="宋体" w:hAnsi="宋体" w:eastAsia="宋体" w:cs="宋体"/>
                <w:b/>
                <w:bCs w:val="0"/>
                <w:color w:val="auto"/>
                <w:spacing w:val="-10"/>
                <w:sz w:val="18"/>
                <w:szCs w:val="18"/>
                <w:highlight w:val="none"/>
                <w:lang w:val="en-US" w:eastAsia="zh-CN"/>
              </w:rPr>
              <w:t>得失分依据</w:t>
            </w:r>
          </w:p>
        </w:tc>
      </w:tr>
      <w:tr w14:paraId="7DCE01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2" w:hRule="atLeast"/>
          <w:jc w:val="center"/>
        </w:trPr>
        <w:tc>
          <w:tcPr>
            <w:tcW w:w="639" w:type="dxa"/>
            <w:vMerge w:val="restart"/>
            <w:tcBorders>
              <w:top w:val="single" w:color="auto" w:sz="4" w:space="0"/>
              <w:bottom w:val="single" w:color="auto" w:sz="4" w:space="0"/>
              <w:right w:val="single" w:color="000000" w:sz="4" w:space="0"/>
            </w:tcBorders>
            <w:noWrap w:val="0"/>
            <w:vAlign w:val="center"/>
          </w:tcPr>
          <w:p w14:paraId="2B2A3A4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决策</w:t>
            </w:r>
          </w:p>
          <w:p w14:paraId="7163F7A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（20分）</w:t>
            </w:r>
          </w:p>
        </w:tc>
        <w:tc>
          <w:tcPr>
            <w:tcW w:w="992" w:type="dxa"/>
            <w:vMerge w:val="restart"/>
            <w:tcBorders>
              <w:top w:val="single" w:color="000000" w:sz="4" w:space="0"/>
              <w:left w:val="single" w:color="auto" w:sz="4" w:space="0"/>
              <w:right w:val="single" w:color="000000" w:sz="4" w:space="0"/>
            </w:tcBorders>
            <w:noWrap w:val="0"/>
            <w:vAlign w:val="center"/>
          </w:tcPr>
          <w:p w14:paraId="0382124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项目立项（8分）</w:t>
            </w:r>
          </w:p>
        </w:tc>
        <w:tc>
          <w:tcPr>
            <w:tcW w:w="1256" w:type="dxa"/>
            <w:tcBorders>
              <w:top w:val="single" w:color="000000" w:sz="4" w:space="0"/>
              <w:left w:val="single" w:color="auto" w:sz="4" w:space="0"/>
              <w:bottom w:val="single" w:color="000000" w:sz="4" w:space="0"/>
              <w:right w:val="single" w:color="000000" w:sz="4" w:space="0"/>
            </w:tcBorders>
            <w:noWrap w:val="0"/>
            <w:vAlign w:val="center"/>
          </w:tcPr>
          <w:p w14:paraId="0E9A5FD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立项依据充分性（4分）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09757B0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项目立项是否符合法律法规、相关政策、发展规划以及部门职责，用以反映和考核项目立项依据情况。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EB49FA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0CEC050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①项目立项是否符合国家法律法规、国民经济发展规划和相关政策；②项目立项是否符合行业发展规划和政策要求；</w:t>
            </w:r>
          </w:p>
          <w:p w14:paraId="5DF3F23E">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③项目立项是否与部门职责范围相符，属于部门履职所需；④项目是否属于公共财政支持范围，是否符合中央、地方事权支出责任划分原则；⑤项目是否与相关部门同类项目或部门内部相关项目重复。</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67020F6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立项符合国家法律法规、国民经济发展规划和相关政策得1分；符合行业发展规划和政策要求得1分，每发现一个子项目与行业发展规划或政策要求不符，扣0.4分，扣完为止；与部门职责范围相符，属于部门履职所需得0.8分；属于公共财政支持范围，符合中央、地方事权支出责任划分原则得1分；没有与相关部门同类项目或部门内部相关项目重复得1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1D61B6A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4</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163B864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0C7CC39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枣庄市高新区人力资源经费项目包括了高新区所有的人才项目，主要由引进人才的各项政策性补贴费用和职称评审费用组成，每一项补贴都有上级的政策文件，立项依据充分。</w:t>
            </w:r>
          </w:p>
        </w:tc>
      </w:tr>
      <w:tr w14:paraId="6C8FE9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83" w:hRule="exact"/>
          <w:jc w:val="center"/>
        </w:trPr>
        <w:tc>
          <w:tcPr>
            <w:tcW w:w="639" w:type="dxa"/>
            <w:vMerge w:val="continue"/>
            <w:tcBorders>
              <w:top w:val="single" w:color="auto" w:sz="4" w:space="0"/>
              <w:bottom w:val="single" w:color="auto" w:sz="4" w:space="0"/>
              <w:right w:val="single" w:color="000000" w:sz="4" w:space="0"/>
            </w:tcBorders>
            <w:noWrap w:val="0"/>
            <w:vAlign w:val="center"/>
          </w:tcPr>
          <w:p w14:paraId="6999D2E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bottom w:val="single" w:color="000000" w:sz="4" w:space="0"/>
              <w:right w:val="single" w:color="000000" w:sz="4" w:space="0"/>
            </w:tcBorders>
            <w:noWrap w:val="0"/>
            <w:vAlign w:val="center"/>
          </w:tcPr>
          <w:p w14:paraId="192A8AC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auto" w:sz="4" w:space="0"/>
              <w:bottom w:val="single" w:color="000000" w:sz="4" w:space="0"/>
              <w:right w:val="single" w:color="000000" w:sz="4" w:space="0"/>
            </w:tcBorders>
            <w:noWrap w:val="0"/>
            <w:vAlign w:val="center"/>
          </w:tcPr>
          <w:p w14:paraId="1EAFEF2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立项程序规范性（4分）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44AEDC6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项目申请、设立过程是否符合相关要求，用以反映和考核项目立项的规范情况。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C8E5D7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45E8B42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①项目是否按照规定的程序申请设立；②审批文件、材料是否符合相关要求；③事前是否已经过必要的可行性研究、专家论证、风险评估、绩效评估、集体决策。 项目按照规定的程序申请设立得1分；审批文件、材料符合相关要求得1分；事前已经过必要的可行性研究、专家论证、风险评估、绩效评估、集体决策等满足其中两项得2分，不满足扣2分。</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04E8CD0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项目按照规定的程序申请设立得1.5分；审批文件、材料符合相关要求得1.5分；事前已经过必要的可行性研究、专家论证、风险评估、绩效评估、集体决策等满足其中一项得1分，不满足扣2分。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7445B5F1">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4</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088A32D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314A1E3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 xml:space="preserve">项目按照规定的程序申请设立，立项资料符合枣庄市人民政府的要求；事前已经过必要集体决策。项目按照规定的程序申请设立，立项资料符合枣庄市人民政府的要求；事前已经过必要集体决策。 </w:t>
            </w:r>
          </w:p>
        </w:tc>
      </w:tr>
      <w:tr w14:paraId="7EF52C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5"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1BC267F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restart"/>
            <w:tcBorders>
              <w:top w:val="single" w:color="000000" w:sz="4" w:space="0"/>
              <w:left w:val="single" w:color="000000" w:sz="4" w:space="0"/>
              <w:right w:val="single" w:color="000000" w:sz="4" w:space="0"/>
            </w:tcBorders>
            <w:noWrap w:val="0"/>
            <w:vAlign w:val="center"/>
          </w:tcPr>
          <w:p w14:paraId="1708B61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绩效目标（5分）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0D51D0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绩效目标合理性（2分）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492A434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项目所设定的绩效目标是否依据充分，是否符合客观实际，用以反映和考核项目绩效目标与项目实施的相符情况。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9B498DE">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24B0A53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（如未设定预算绩效目标，也可考核其他工作任务目标）① 项目是否有绩效目标；②项目绩效目标与实际工作内容是否具有相关性；③项目预期产出效益和效果是否符合正常的业绩水平；④是否与预算确定的项目投资额或资金量相匹配。</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6B528388">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项目绩效目标与实际工作内容具有相关性得1分；项目预期产出效益和效果符合正常的业绩水平得0.5分；与预算确定的项目投资额或资金量相匹配得0.5分。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42FA4B8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1</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5C133215">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1</w:t>
            </w:r>
          </w:p>
        </w:tc>
        <w:tc>
          <w:tcPr>
            <w:tcW w:w="2575" w:type="dxa"/>
            <w:tcBorders>
              <w:top w:val="single" w:color="000000" w:sz="4" w:space="0"/>
              <w:left w:val="single" w:color="000000" w:sz="4" w:space="0"/>
              <w:bottom w:val="single" w:color="000000" w:sz="4" w:space="0"/>
            </w:tcBorders>
            <w:noWrap w:val="0"/>
            <w:vAlign w:val="center"/>
          </w:tcPr>
          <w:p w14:paraId="0C91A9B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根据部门提供的绩效目标申报表，2022年度被评价单位设置的绩效目标与工作任务相关联，但指标设置不合理，多个目标值未填写体现产出效益的目标值，例如指标名称填写招聘会，指标值填写80%，二者明显不匹配，预期产出效益和效果无法体现，项目投资额或资金量不匹配。</w:t>
            </w:r>
          </w:p>
        </w:tc>
      </w:tr>
      <w:tr w14:paraId="5FF2EA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710F8F4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000000" w:sz="4" w:space="0"/>
              <w:bottom w:val="single" w:color="000000" w:sz="4" w:space="0"/>
              <w:right w:val="single" w:color="000000" w:sz="4" w:space="0"/>
            </w:tcBorders>
            <w:noWrap w:val="0"/>
            <w:vAlign w:val="center"/>
          </w:tcPr>
          <w:p w14:paraId="6D1A846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ACDED1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绩效指标明确性（3分）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1180BEF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依据绩效目标设定的绩效指标是否清晰、细化、可衡量等，用以反映和考核项目绩效目标的明细化情况。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49C6FD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3B8A83D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①是否将项目绩效目标细化分解为具体的绩效指标；②是否通过清晰、可衡量的指标值予以体现；③是否与项目目标任务数或计划数相对应。</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4E5621F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项目绩效目标细化分解为具体的绩效指标得1分；通过清晰、可衡量的指标值予以体现得1分；与项目目标任务数或计划数相对应得1分。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438C04D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1</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0FDAA63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w:t>
            </w:r>
          </w:p>
        </w:tc>
        <w:tc>
          <w:tcPr>
            <w:tcW w:w="2575" w:type="dxa"/>
            <w:tcBorders>
              <w:top w:val="single" w:color="000000" w:sz="4" w:space="0"/>
              <w:left w:val="single" w:color="000000" w:sz="4" w:space="0"/>
              <w:bottom w:val="single" w:color="000000" w:sz="4" w:space="0"/>
            </w:tcBorders>
            <w:noWrap w:val="0"/>
            <w:vAlign w:val="center"/>
          </w:tcPr>
          <w:p w14:paraId="222AF7C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根据部门提供的绩效目标申报表，项目绩效目标未细化分解为具体的绩效指标，例如招聘会项目仅填写了项目名称未分解成指标；指标值均量化可衡量；与项目目标任务数或计划数不对应，项目目标任务共14个，仅填写了8个。</w:t>
            </w:r>
          </w:p>
        </w:tc>
      </w:tr>
      <w:tr w14:paraId="665D21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9"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2FB2C1D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restart"/>
            <w:tcBorders>
              <w:top w:val="single" w:color="000000" w:sz="4" w:space="0"/>
              <w:left w:val="single" w:color="000000" w:sz="4" w:space="0"/>
              <w:right w:val="single" w:color="000000" w:sz="4" w:space="0"/>
            </w:tcBorders>
            <w:noWrap w:val="0"/>
            <w:vAlign w:val="center"/>
          </w:tcPr>
          <w:p w14:paraId="6985094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资金投入（7分）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6887A5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预算编制科学性（4分）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6FA01DE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项目预算编制是否经过科学论证、有明确标准，资金额度与年度目标是否相适应，用以反映和考核项目预算编制的科学性、合理性情况。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CA023D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7BC01B7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①预算编制是否经过科学论证；②预算内容与项目内容是否匹配；③预算额度测算依据是否充分,是否按照标准编制；④预算确定的项目投资额或资金量是否与工作任务相匹配。</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69D5A8B5">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①预算编制经过科学论证得1分；②预算内容与项目内容匹配、投资额或资金量与工作任务相匹配得1分；③预算额度测算依据充分，按照标准编制得1分；④项目不存在打捆的情况得1分。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34A52B7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64B4F4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1</w:t>
            </w:r>
          </w:p>
        </w:tc>
        <w:tc>
          <w:tcPr>
            <w:tcW w:w="2575" w:type="dxa"/>
            <w:tcBorders>
              <w:top w:val="single" w:color="000000" w:sz="4" w:space="0"/>
              <w:left w:val="single" w:color="000000" w:sz="4" w:space="0"/>
              <w:bottom w:val="single" w:color="000000" w:sz="4" w:space="0"/>
            </w:tcBorders>
            <w:noWrap w:val="0"/>
            <w:vAlign w:val="center"/>
          </w:tcPr>
          <w:p w14:paraId="0EADDC25">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项目总预算经过了科学论证；预算内容与项目内容匹配；预算额度测算依据充分，各补贴项目预算完全按照上级政策文件确定的标准编制；预算确定的项目资金量与工作任务相匹配。将所有项目打包编制预算，扣1分。</w:t>
            </w:r>
          </w:p>
        </w:tc>
      </w:tr>
      <w:tr w14:paraId="32E40F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8"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27581A5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000000" w:sz="4" w:space="0"/>
              <w:bottom w:val="single" w:color="000000" w:sz="4" w:space="0"/>
              <w:right w:val="single" w:color="000000" w:sz="4" w:space="0"/>
            </w:tcBorders>
            <w:noWrap w:val="0"/>
            <w:vAlign w:val="center"/>
          </w:tcPr>
          <w:p w14:paraId="4416041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C1694B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资金分配合理性（3分）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70980CAB">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项目预算资金分配是否有测算依据，与补助单位或地方实际是否相适应，用以反映和考核项目预算资金分配的科学性、合理性情况。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241D059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013287F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①预算资金分配依据是否充分；②资金分配额度是否合理,与项目单位或地方实际是否相适应。</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172A565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预算资金分配依据充分得1分；资金分配额度合理,与项目单位或地方实际相适应得2分。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25C354C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6592A3B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7806ABFB">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通过分析被评价单位的预算和实际支出情况，项目预算资金完全根据上级政策文件进行分配，分配依据充分；资金分配额度合理,与项目单位及地方实际相适应。</w:t>
            </w:r>
          </w:p>
        </w:tc>
      </w:tr>
      <w:tr w14:paraId="6D0E33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4" w:hRule="atLeast"/>
          <w:jc w:val="center"/>
        </w:trPr>
        <w:tc>
          <w:tcPr>
            <w:tcW w:w="639" w:type="dxa"/>
            <w:vMerge w:val="restart"/>
            <w:tcBorders>
              <w:top w:val="single" w:color="auto" w:sz="4" w:space="0"/>
              <w:bottom w:val="single" w:color="auto" w:sz="4" w:space="0"/>
              <w:right w:val="single" w:color="000000" w:sz="4" w:space="0"/>
            </w:tcBorders>
            <w:noWrap w:val="0"/>
            <w:vAlign w:val="center"/>
          </w:tcPr>
          <w:p w14:paraId="135ADBB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过程</w:t>
            </w:r>
          </w:p>
          <w:p w14:paraId="5CDC97F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（20分）</w:t>
            </w:r>
          </w:p>
        </w:tc>
        <w:tc>
          <w:tcPr>
            <w:tcW w:w="992" w:type="dxa"/>
            <w:vMerge w:val="restart"/>
            <w:tcBorders>
              <w:top w:val="single" w:color="000000" w:sz="4" w:space="0"/>
              <w:left w:val="single" w:color="000000" w:sz="4" w:space="0"/>
              <w:right w:val="single" w:color="000000" w:sz="4" w:space="0"/>
            </w:tcBorders>
            <w:noWrap w:val="0"/>
            <w:vAlign w:val="center"/>
          </w:tcPr>
          <w:p w14:paraId="55D87D9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资金管理（10分）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BA1D695">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资金到位率（3分）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22B5A28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实际到位资金与预算资金的比率，用以反映和考核资金落实情况对项目实施的总体保障程度。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229D0CF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资金到位率=(实际到位资金/预算资金)×100%。</w:t>
            </w:r>
          </w:p>
          <w:p w14:paraId="6712CD7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实际到位资金:一定时期(本年度或项目期)内落实到具体项目的资金。预算资金:一定时期(本年度或项目期)内预算安排到具体项目的资金。</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36A0246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资金到位率达到100%得3分，每降低1%扣0.5分，扣完为止。</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600CB17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6273965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537FBE3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2022年度人力资源经费项目到位资金808.51万元，调整后预算资金808.51万元，资金到位率=(808.51/808.51）×100%=100%。</w:t>
            </w:r>
          </w:p>
        </w:tc>
      </w:tr>
      <w:tr w14:paraId="47D5E5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3F5033D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000000" w:sz="4" w:space="0"/>
              <w:right w:val="single" w:color="000000" w:sz="4" w:space="0"/>
            </w:tcBorders>
            <w:noWrap w:val="0"/>
            <w:vAlign w:val="center"/>
          </w:tcPr>
          <w:p w14:paraId="581595E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7B70C1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预算执行率（3分）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22BE845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实际到位资金与预算资金的比率，用以反映和考核资金落实情况对项目实施的总体保障程度。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F3F9CC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预算执行率=(实际支出资金/实际到位资金)×100%</w:t>
            </w:r>
          </w:p>
          <w:p w14:paraId="47B1B5A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实际支出资金:一定时期(本年度或项目期)内项目实际拨付的资金。</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6D2145C6">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根据预算执行率与本指标标准分的乘积作为本指标的最终得分。若执行率≦80%，该指标不得分。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33A059B5">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10BA1D13">
            <w:pPr>
              <w:snapToGrid w:val="0"/>
              <w:spacing w:line="240" w:lineRule="auto"/>
              <w:ind w:left="0" w:leftChars="0" w:firstLine="0" w:firstLineChars="0"/>
              <w:jc w:val="both"/>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582E3FF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2022年度人力资源经费项目实际支出808.51万元，调整后预算资金800万元，预算执行率=(808.51/808.51)×100%=100%。</w:t>
            </w:r>
          </w:p>
        </w:tc>
      </w:tr>
      <w:tr w14:paraId="291088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0B791C5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000000" w:sz="4" w:space="0"/>
              <w:bottom w:val="single" w:color="000000" w:sz="4" w:space="0"/>
              <w:right w:val="single" w:color="000000" w:sz="4" w:space="0"/>
            </w:tcBorders>
            <w:noWrap w:val="0"/>
            <w:vAlign w:val="center"/>
          </w:tcPr>
          <w:p w14:paraId="6094E61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A0A03B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资金使用合规性（4分）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567ECCA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项目资金使用是否符合相关的财务管理制度规定，用以反映和考核项目资金的规范运行情况。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59AC45C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73BD2A9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76E6B3E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资金使用符合国家财经法规和财务管理制度以及有关专项资金管理办法的规定得1分；资金的拨付有完整的审批程序和手续得1分；符合项目预算批复或合同规定的用途得2分；若存在截留、挤占、挪用、虚列支出、支付用途与预算不相符等情况则资金管理此项指标不得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5EC3AC3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4</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4ABC231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406C3A4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根据现场调研，项目资金使用符合国家财经法规和财务管理制度以及有关专项资金管理办法，资金的拨付有完整的审批程序和手续，202</w:t>
            </w:r>
            <w:r>
              <w:rPr>
                <w:rFonts w:hint="eastAsia" w:ascii="宋体" w:hAnsi="宋体" w:eastAsia="宋体" w:cs="宋体"/>
                <w:bCs/>
                <w:color w:val="auto"/>
                <w:spacing w:val="-10"/>
                <w:sz w:val="18"/>
                <w:szCs w:val="18"/>
                <w:highlight w:val="none"/>
                <w:lang w:val="en-US" w:eastAsia="zh-CN"/>
              </w:rPr>
              <w:t>2</w:t>
            </w:r>
            <w:r>
              <w:rPr>
                <w:rFonts w:hint="default" w:ascii="宋体" w:hAnsi="宋体" w:eastAsia="宋体" w:cs="宋体"/>
                <w:bCs/>
                <w:color w:val="auto"/>
                <w:spacing w:val="-10"/>
                <w:sz w:val="18"/>
                <w:szCs w:val="18"/>
                <w:highlight w:val="none"/>
                <w:lang w:val="en-US" w:eastAsia="zh-CN"/>
              </w:rPr>
              <w:t>年支出的资金均以财政局下达的指标文为依据，各类补贴资金使用符合项目预算批复的用途，招聘和职称评审费用支出符合合同规定的用途。不存在截留、挤占、挪用、虚列支出、支付用途与预算不相符等情况。</w:t>
            </w:r>
          </w:p>
        </w:tc>
      </w:tr>
      <w:tr w14:paraId="0E2C7C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75"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5D039E0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restart"/>
            <w:tcBorders>
              <w:top w:val="single" w:color="000000" w:sz="4" w:space="0"/>
              <w:left w:val="single" w:color="000000" w:sz="4" w:space="0"/>
              <w:right w:val="single" w:color="000000" w:sz="4" w:space="0"/>
            </w:tcBorders>
            <w:noWrap w:val="0"/>
            <w:vAlign w:val="center"/>
          </w:tcPr>
          <w:p w14:paraId="4077929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组织实施（10分）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FF131EB">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管理制度健全性（5分）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68874E1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项目实施单位的财务和业务管理制度是否健全，用以反映和考核财务和业务管理制度对项目顺利实施的保障情况。</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34E799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6D776EB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①是否已制定或具有相应的财务和业务管理制度；②财务和业务管理制度是否合法、合规、完整。</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44E8E3B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项目实施单位制定或具有相应的财务管理制度得2分，具有业务管理制度得1分，否则本项指标不得分；财务管理制度合法、合规、完整得1分；业务管理制度合法、合规、完整得1分。</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69ADFB47">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5</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527EA27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77050B0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社会事务综合服务中心具有相应的财务管理制度、“三重一大”等业务管理制度；管理制度合法、合规、完整。</w:t>
            </w:r>
          </w:p>
        </w:tc>
      </w:tr>
      <w:tr w14:paraId="2FF1FE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53"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615902B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 xml:space="preserve">     吗吗</w:t>
            </w:r>
          </w:p>
        </w:tc>
        <w:tc>
          <w:tcPr>
            <w:tcW w:w="992" w:type="dxa"/>
            <w:vMerge w:val="continue"/>
            <w:tcBorders>
              <w:left w:val="single" w:color="000000" w:sz="4" w:space="0"/>
              <w:bottom w:val="single" w:color="000000" w:sz="4" w:space="0"/>
              <w:right w:val="single" w:color="000000" w:sz="4" w:space="0"/>
            </w:tcBorders>
            <w:noWrap w:val="0"/>
            <w:vAlign w:val="center"/>
          </w:tcPr>
          <w:p w14:paraId="1FE4F28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000000" w:sz="4" w:space="0"/>
              <w:bottom w:val="single" w:color="auto" w:sz="4" w:space="0"/>
              <w:right w:val="single" w:color="000000" w:sz="4" w:space="0"/>
            </w:tcBorders>
            <w:noWrap w:val="0"/>
            <w:vAlign w:val="center"/>
          </w:tcPr>
          <w:p w14:paraId="78644D2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制度执行有效性（5分）</w:t>
            </w:r>
          </w:p>
        </w:tc>
        <w:tc>
          <w:tcPr>
            <w:tcW w:w="1824" w:type="dxa"/>
            <w:tcBorders>
              <w:top w:val="single" w:color="000000" w:sz="4" w:space="0"/>
              <w:left w:val="single" w:color="000000" w:sz="4" w:space="0"/>
              <w:bottom w:val="single" w:color="auto" w:sz="4" w:space="0"/>
              <w:right w:val="single" w:color="000000" w:sz="4" w:space="0"/>
            </w:tcBorders>
            <w:noWrap w:val="0"/>
            <w:vAlign w:val="center"/>
          </w:tcPr>
          <w:p w14:paraId="1CF3E0C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项目实施是否符合相关管理规定，用以反映和考核相关管理制度的有效执行情况。</w:t>
            </w:r>
          </w:p>
        </w:tc>
        <w:tc>
          <w:tcPr>
            <w:tcW w:w="3345" w:type="dxa"/>
            <w:tcBorders>
              <w:top w:val="single" w:color="000000" w:sz="4" w:space="0"/>
              <w:left w:val="single" w:color="000000" w:sz="4" w:space="0"/>
              <w:bottom w:val="single" w:color="auto" w:sz="4" w:space="0"/>
              <w:right w:val="single" w:color="000000" w:sz="4" w:space="0"/>
            </w:tcBorders>
            <w:noWrap w:val="0"/>
            <w:vAlign w:val="center"/>
          </w:tcPr>
          <w:p w14:paraId="371A644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6691098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①是否遵守相关法律法规和相关管理规定；</w:t>
            </w:r>
          </w:p>
          <w:p w14:paraId="13D97CC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②项目调整及支出调整手续是否完备；</w:t>
            </w:r>
          </w:p>
          <w:p w14:paraId="4671850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③项目实施是否按照政府采购的相关制度和合同管理执行；</w:t>
            </w:r>
          </w:p>
          <w:p w14:paraId="6D7F843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④项目合同书、验收报告、技术鉴定等资料是否齐全并及时归档；</w:t>
            </w:r>
          </w:p>
          <w:p w14:paraId="2C87788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2687" w:type="dxa"/>
            <w:tcBorders>
              <w:top w:val="single" w:color="000000" w:sz="4" w:space="0"/>
              <w:left w:val="single" w:color="000000" w:sz="4" w:space="0"/>
              <w:bottom w:val="single" w:color="auto" w:sz="4" w:space="0"/>
              <w:right w:val="single" w:color="000000" w:sz="4" w:space="0"/>
            </w:tcBorders>
            <w:noWrap w:val="0"/>
            <w:vAlign w:val="center"/>
          </w:tcPr>
          <w:p w14:paraId="09EE37C2">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项目实施遵守相关法律法规和相关管理规定得2分；项目调整及支出调整手续完备得1分；项目实施按照政府采购的相关制度和合同管理执行得1分；项目合同书、验收报告、技术鉴定等资料齐全并及时归档得1分</w:t>
            </w:r>
          </w:p>
        </w:tc>
        <w:tc>
          <w:tcPr>
            <w:tcW w:w="463" w:type="dxa"/>
            <w:tcBorders>
              <w:top w:val="single" w:color="000000" w:sz="4" w:space="0"/>
              <w:left w:val="single" w:color="000000" w:sz="4" w:space="0"/>
              <w:bottom w:val="single" w:color="auto" w:sz="4" w:space="0"/>
              <w:right w:val="single" w:color="000000" w:sz="4" w:space="0"/>
            </w:tcBorders>
            <w:noWrap w:val="0"/>
            <w:vAlign w:val="center"/>
          </w:tcPr>
          <w:p w14:paraId="5C4B1D1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auto" w:sz="4" w:space="0"/>
              <w:right w:val="single" w:color="000000" w:sz="4" w:space="0"/>
            </w:tcBorders>
            <w:noWrap w:val="0"/>
            <w:vAlign w:val="center"/>
          </w:tcPr>
          <w:p w14:paraId="47546631">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w:t>
            </w:r>
          </w:p>
        </w:tc>
        <w:tc>
          <w:tcPr>
            <w:tcW w:w="2575" w:type="dxa"/>
            <w:tcBorders>
              <w:top w:val="single" w:color="000000" w:sz="4" w:space="0"/>
              <w:left w:val="single" w:color="000000" w:sz="4" w:space="0"/>
              <w:bottom w:val="single" w:color="auto" w:sz="4" w:space="0"/>
            </w:tcBorders>
            <w:noWrap w:val="0"/>
            <w:vAlign w:val="center"/>
          </w:tcPr>
          <w:p w14:paraId="7F99820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调研，企业急需紧缺人才申请材料应由社会事务综合服务中心审核，实际由智创人力资源公司审核，不符合规定，扣1分；其他子项目遵守相关法律法规和相关管理规定，严格按照政策文件进行项目管理，项目未进行过调整；</w:t>
            </w:r>
            <w:r>
              <w:rPr>
                <w:rFonts w:hint="eastAsia" w:ascii="宋体" w:hAnsi="宋体" w:eastAsia="宋体" w:cs="宋体"/>
                <w:bCs/>
                <w:color w:val="auto"/>
                <w:spacing w:val="-10"/>
                <w:sz w:val="18"/>
                <w:szCs w:val="18"/>
                <w:highlight w:val="none"/>
                <w:lang w:val="en-US" w:eastAsia="zh-CN"/>
              </w:rPr>
              <w:t>除企业急需紧缺人才项目外，</w:t>
            </w:r>
            <w:r>
              <w:rPr>
                <w:rFonts w:hint="default" w:ascii="宋体" w:hAnsi="宋体" w:eastAsia="宋体" w:cs="宋体"/>
                <w:bCs/>
                <w:color w:val="auto"/>
                <w:spacing w:val="-10"/>
                <w:sz w:val="18"/>
                <w:szCs w:val="18"/>
                <w:highlight w:val="none"/>
                <w:lang w:val="en-US" w:eastAsia="zh-CN"/>
              </w:rPr>
              <w:t>项目合同书、审核资料等及时归档。</w:t>
            </w:r>
          </w:p>
        </w:tc>
      </w:tr>
      <w:tr w14:paraId="03A12A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8" w:hRule="atLeast"/>
          <w:jc w:val="center"/>
        </w:trPr>
        <w:tc>
          <w:tcPr>
            <w:tcW w:w="639" w:type="dxa"/>
            <w:vMerge w:val="restart"/>
            <w:tcBorders>
              <w:top w:val="single" w:color="auto" w:sz="4" w:space="0"/>
              <w:right w:val="single" w:color="auto" w:sz="4" w:space="0"/>
            </w:tcBorders>
            <w:noWrap w:val="0"/>
            <w:vAlign w:val="center"/>
          </w:tcPr>
          <w:p w14:paraId="57D62C1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产出</w:t>
            </w:r>
          </w:p>
          <w:p w14:paraId="5CB19CEE">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（30分）</w:t>
            </w:r>
          </w:p>
        </w:tc>
        <w:tc>
          <w:tcPr>
            <w:tcW w:w="992" w:type="dxa"/>
            <w:vMerge w:val="restart"/>
            <w:tcBorders>
              <w:top w:val="single" w:color="000000" w:sz="4" w:space="0"/>
              <w:left w:val="single" w:color="auto" w:sz="4" w:space="0"/>
              <w:right w:val="single" w:color="000000" w:sz="4" w:space="0"/>
            </w:tcBorders>
            <w:noWrap w:val="0"/>
            <w:vAlign w:val="center"/>
          </w:tcPr>
          <w:p w14:paraId="0E8A637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产出数量（10分）</w:t>
            </w:r>
          </w:p>
        </w:tc>
        <w:tc>
          <w:tcPr>
            <w:tcW w:w="1256" w:type="dxa"/>
            <w:tcBorders>
              <w:top w:val="single" w:color="auto" w:sz="4" w:space="0"/>
              <w:left w:val="single" w:color="auto" w:sz="4" w:space="0"/>
              <w:bottom w:val="single" w:color="auto" w:sz="4" w:space="0"/>
              <w:right w:val="single" w:color="000000" w:sz="4" w:space="0"/>
            </w:tcBorders>
            <w:noWrap w:val="0"/>
            <w:vAlign w:val="center"/>
          </w:tcPr>
          <w:p w14:paraId="4D77D7F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补贴项目完成数（4分）</w:t>
            </w:r>
          </w:p>
        </w:tc>
        <w:tc>
          <w:tcPr>
            <w:tcW w:w="1824" w:type="dxa"/>
            <w:tcBorders>
              <w:top w:val="single" w:color="auto" w:sz="4" w:space="0"/>
              <w:left w:val="single" w:color="000000" w:sz="4" w:space="0"/>
              <w:bottom w:val="single" w:color="auto" w:sz="4" w:space="0"/>
              <w:right w:val="single" w:color="000000" w:sz="4" w:space="0"/>
            </w:tcBorders>
            <w:noWrap w:val="0"/>
            <w:vAlign w:val="center"/>
          </w:tcPr>
          <w:p w14:paraId="71F4B5E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反映补贴项目完成的数量</w:t>
            </w:r>
          </w:p>
        </w:tc>
        <w:tc>
          <w:tcPr>
            <w:tcW w:w="3345" w:type="dxa"/>
            <w:tcBorders>
              <w:top w:val="single" w:color="auto" w:sz="4" w:space="0"/>
              <w:left w:val="single" w:color="000000" w:sz="4" w:space="0"/>
              <w:bottom w:val="single" w:color="auto" w:sz="4" w:space="0"/>
              <w:right w:val="single" w:color="000000" w:sz="4" w:space="0"/>
            </w:tcBorders>
            <w:noWrap w:val="0"/>
            <w:vAlign w:val="center"/>
          </w:tcPr>
          <w:p w14:paraId="7E326F7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通过与项目主管部门座谈、现场调研及查阅资料，考察2022年的大学生就业补贴人数是否达到计划值</w:t>
            </w:r>
          </w:p>
        </w:tc>
        <w:tc>
          <w:tcPr>
            <w:tcW w:w="2687" w:type="dxa"/>
            <w:tcBorders>
              <w:top w:val="single" w:color="auto" w:sz="4" w:space="0"/>
              <w:left w:val="single" w:color="000000" w:sz="4" w:space="0"/>
              <w:bottom w:val="single" w:color="auto" w:sz="4" w:space="0"/>
              <w:right w:val="single" w:color="000000" w:sz="4" w:space="0"/>
            </w:tcBorders>
            <w:noWrap w:val="0"/>
            <w:vAlign w:val="center"/>
          </w:tcPr>
          <w:p w14:paraId="13B4745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完成大学生就业创业补贴、购房补助、人才优选补助等8项补贴项目得满分，每少1项扣1分，扣完为止。</w:t>
            </w:r>
          </w:p>
        </w:tc>
        <w:tc>
          <w:tcPr>
            <w:tcW w:w="463" w:type="dxa"/>
            <w:tcBorders>
              <w:top w:val="single" w:color="auto" w:sz="4" w:space="0"/>
              <w:left w:val="single" w:color="000000" w:sz="4" w:space="0"/>
              <w:bottom w:val="single" w:color="auto" w:sz="4" w:space="0"/>
              <w:right w:val="single" w:color="000000" w:sz="4" w:space="0"/>
            </w:tcBorders>
            <w:noWrap w:val="0"/>
            <w:vAlign w:val="center"/>
          </w:tcPr>
          <w:p w14:paraId="26A6263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4</w:t>
            </w:r>
          </w:p>
        </w:tc>
        <w:tc>
          <w:tcPr>
            <w:tcW w:w="462" w:type="dxa"/>
            <w:tcBorders>
              <w:top w:val="single" w:color="auto" w:sz="4" w:space="0"/>
              <w:left w:val="single" w:color="000000" w:sz="4" w:space="0"/>
              <w:bottom w:val="single" w:color="auto" w:sz="4" w:space="0"/>
              <w:right w:val="single" w:color="000000" w:sz="4" w:space="0"/>
            </w:tcBorders>
            <w:noWrap w:val="0"/>
            <w:vAlign w:val="center"/>
          </w:tcPr>
          <w:p w14:paraId="50D74CD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auto" w:sz="4" w:space="0"/>
              <w:left w:val="single" w:color="000000" w:sz="4" w:space="0"/>
              <w:bottom w:val="single" w:color="auto" w:sz="4" w:space="0"/>
            </w:tcBorders>
            <w:noWrap w:val="0"/>
            <w:vAlign w:val="center"/>
          </w:tcPr>
          <w:p w14:paraId="4ECFEA9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根据现场查看相关证明材料，被评价单位完成了大学生就业创业补贴、购房补助、人才优选补助等8项补贴项目</w:t>
            </w:r>
            <w:r>
              <w:rPr>
                <w:rFonts w:hint="eastAsia" w:ascii="宋体" w:hAnsi="宋体" w:eastAsia="宋体" w:cs="宋体"/>
                <w:bCs/>
                <w:color w:val="auto"/>
                <w:spacing w:val="-10"/>
                <w:sz w:val="18"/>
                <w:szCs w:val="18"/>
                <w:highlight w:val="none"/>
                <w:lang w:val="en-US" w:eastAsia="zh-CN"/>
              </w:rPr>
              <w:t>。</w:t>
            </w:r>
          </w:p>
        </w:tc>
      </w:tr>
      <w:tr w14:paraId="20E4D8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2" w:hRule="atLeast"/>
          <w:jc w:val="center"/>
        </w:trPr>
        <w:tc>
          <w:tcPr>
            <w:tcW w:w="639" w:type="dxa"/>
            <w:vMerge w:val="continue"/>
            <w:tcBorders>
              <w:top w:val="single" w:color="auto" w:sz="4" w:space="0"/>
              <w:bottom w:val="single" w:color="auto" w:sz="4" w:space="0"/>
              <w:right w:val="single" w:color="auto" w:sz="4" w:space="0"/>
            </w:tcBorders>
            <w:noWrap w:val="0"/>
            <w:vAlign w:val="center"/>
          </w:tcPr>
          <w:p w14:paraId="0E1F595B">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right w:val="single" w:color="000000" w:sz="4" w:space="0"/>
            </w:tcBorders>
            <w:noWrap w:val="0"/>
            <w:vAlign w:val="center"/>
          </w:tcPr>
          <w:p w14:paraId="4E4B350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auto" w:sz="4" w:space="0"/>
              <w:bottom w:val="single" w:color="000000" w:sz="4" w:space="0"/>
              <w:right w:val="single" w:color="000000" w:sz="4" w:space="0"/>
            </w:tcBorders>
            <w:noWrap w:val="0"/>
            <w:vAlign w:val="center"/>
          </w:tcPr>
          <w:p w14:paraId="2F07454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招聘会举办场次（3分）</w:t>
            </w:r>
          </w:p>
        </w:tc>
        <w:tc>
          <w:tcPr>
            <w:tcW w:w="1824" w:type="dxa"/>
            <w:tcBorders>
              <w:top w:val="single" w:color="000000" w:sz="4" w:space="0"/>
              <w:left w:val="single" w:color="000000" w:sz="4" w:space="0"/>
              <w:right w:val="single" w:color="000000" w:sz="4" w:space="0"/>
            </w:tcBorders>
            <w:noWrap w:val="0"/>
            <w:vAlign w:val="center"/>
          </w:tcPr>
          <w:p w14:paraId="4BC96CC7">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反映招聘会举办的次数</w:t>
            </w:r>
          </w:p>
        </w:tc>
        <w:tc>
          <w:tcPr>
            <w:tcW w:w="3345" w:type="dxa"/>
            <w:tcBorders>
              <w:top w:val="single" w:color="000000" w:sz="4" w:space="0"/>
              <w:left w:val="single" w:color="000000" w:sz="4" w:space="0"/>
              <w:right w:val="single" w:color="000000" w:sz="4" w:space="0"/>
            </w:tcBorders>
            <w:noWrap w:val="0"/>
            <w:vAlign w:val="center"/>
          </w:tcPr>
          <w:p w14:paraId="7485F23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通过与项目主管部门座谈、现场调研及查阅资料，考察招聘会的举办场次是否达到计划值。</w:t>
            </w:r>
          </w:p>
        </w:tc>
        <w:tc>
          <w:tcPr>
            <w:tcW w:w="2687" w:type="dxa"/>
            <w:tcBorders>
              <w:top w:val="single" w:color="000000" w:sz="4" w:space="0"/>
              <w:left w:val="single" w:color="000000" w:sz="4" w:space="0"/>
              <w:right w:val="single" w:color="000000" w:sz="4" w:space="0"/>
            </w:tcBorders>
            <w:noWrap w:val="0"/>
            <w:vAlign w:val="center"/>
          </w:tcPr>
          <w:p w14:paraId="07FC706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举办2次招聘会得满分，否则本项不得分。</w:t>
            </w:r>
          </w:p>
        </w:tc>
        <w:tc>
          <w:tcPr>
            <w:tcW w:w="463" w:type="dxa"/>
            <w:tcBorders>
              <w:top w:val="single" w:color="000000" w:sz="4" w:space="0"/>
              <w:left w:val="single" w:color="000000" w:sz="4" w:space="0"/>
              <w:right w:val="single" w:color="000000" w:sz="4" w:space="0"/>
            </w:tcBorders>
            <w:noWrap w:val="0"/>
            <w:vAlign w:val="center"/>
          </w:tcPr>
          <w:p w14:paraId="52BF883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right w:val="single" w:color="000000" w:sz="4" w:space="0"/>
            </w:tcBorders>
            <w:noWrap w:val="0"/>
            <w:vAlign w:val="center"/>
          </w:tcPr>
          <w:p w14:paraId="222A9D48">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tcBorders>
            <w:noWrap w:val="0"/>
            <w:vAlign w:val="center"/>
          </w:tcPr>
          <w:p w14:paraId="5761663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2022年9月，枣庄高新区社会事务综合服务中心委托枣庄德信人力资源服务有限公司举办锂电产业高校直通车专场招聘会；2022年12月，委托山东省互联网传媒集团股份有限公司枣庄分公司开展锂电产业专场线上招聘会。完成了举办2次招聘会的目标。</w:t>
            </w:r>
          </w:p>
        </w:tc>
      </w:tr>
      <w:tr w14:paraId="6ECCEC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2" w:hRule="atLeast"/>
          <w:jc w:val="center"/>
        </w:trPr>
        <w:tc>
          <w:tcPr>
            <w:tcW w:w="639" w:type="dxa"/>
            <w:vMerge w:val="continue"/>
            <w:tcBorders>
              <w:top w:val="single" w:color="auto" w:sz="4" w:space="0"/>
              <w:bottom w:val="single" w:color="auto" w:sz="4" w:space="0"/>
              <w:right w:val="single" w:color="auto" w:sz="4" w:space="0"/>
            </w:tcBorders>
            <w:noWrap w:val="0"/>
            <w:vAlign w:val="center"/>
          </w:tcPr>
          <w:p w14:paraId="3EA0B8A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bottom w:val="single" w:color="000000" w:sz="4" w:space="0"/>
              <w:right w:val="single" w:color="000000" w:sz="4" w:space="0"/>
            </w:tcBorders>
            <w:noWrap w:val="0"/>
            <w:vAlign w:val="center"/>
          </w:tcPr>
          <w:p w14:paraId="53B2DD4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auto" w:sz="4" w:space="0"/>
              <w:bottom w:val="single" w:color="000000" w:sz="4" w:space="0"/>
              <w:right w:val="single" w:color="000000" w:sz="4" w:space="0"/>
            </w:tcBorders>
            <w:noWrap w:val="0"/>
            <w:vAlign w:val="center"/>
          </w:tcPr>
          <w:p w14:paraId="7E4F97E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职称评审开展次数（3分）</w:t>
            </w:r>
          </w:p>
        </w:tc>
        <w:tc>
          <w:tcPr>
            <w:tcW w:w="1824" w:type="dxa"/>
            <w:tcBorders>
              <w:top w:val="single" w:color="000000" w:sz="4" w:space="0"/>
              <w:left w:val="single" w:color="000000" w:sz="4" w:space="0"/>
              <w:right w:val="single" w:color="000000" w:sz="4" w:space="0"/>
            </w:tcBorders>
            <w:noWrap w:val="0"/>
            <w:vAlign w:val="center"/>
          </w:tcPr>
          <w:p w14:paraId="1ABAAB1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反映职称评审的次数</w:t>
            </w:r>
          </w:p>
        </w:tc>
        <w:tc>
          <w:tcPr>
            <w:tcW w:w="3345" w:type="dxa"/>
            <w:tcBorders>
              <w:top w:val="single" w:color="000000" w:sz="4" w:space="0"/>
              <w:left w:val="single" w:color="000000" w:sz="4" w:space="0"/>
              <w:right w:val="single" w:color="000000" w:sz="4" w:space="0"/>
            </w:tcBorders>
            <w:noWrap w:val="0"/>
            <w:vAlign w:val="center"/>
          </w:tcPr>
          <w:p w14:paraId="771A96D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通过查看相关资料考察职称评审开展情况。</w:t>
            </w:r>
          </w:p>
        </w:tc>
        <w:tc>
          <w:tcPr>
            <w:tcW w:w="2687" w:type="dxa"/>
            <w:tcBorders>
              <w:top w:val="single" w:color="000000" w:sz="4" w:space="0"/>
              <w:left w:val="single" w:color="000000" w:sz="4" w:space="0"/>
              <w:right w:val="single" w:color="000000" w:sz="4" w:space="0"/>
            </w:tcBorders>
            <w:noWrap w:val="0"/>
            <w:vAlign w:val="center"/>
          </w:tcPr>
          <w:p w14:paraId="4B1E3BD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开展1次职称评审得满分，否则本项不得分。</w:t>
            </w:r>
          </w:p>
        </w:tc>
        <w:tc>
          <w:tcPr>
            <w:tcW w:w="463" w:type="dxa"/>
            <w:tcBorders>
              <w:top w:val="single" w:color="000000" w:sz="4" w:space="0"/>
              <w:left w:val="single" w:color="000000" w:sz="4" w:space="0"/>
              <w:right w:val="single" w:color="000000" w:sz="4" w:space="0"/>
            </w:tcBorders>
            <w:noWrap w:val="0"/>
            <w:vAlign w:val="center"/>
          </w:tcPr>
          <w:p w14:paraId="18B5FB1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right w:val="single" w:color="000000" w:sz="4" w:space="0"/>
            </w:tcBorders>
            <w:noWrap w:val="0"/>
            <w:vAlign w:val="center"/>
          </w:tcPr>
          <w:p w14:paraId="62D25D76">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tcBorders>
            <w:noWrap w:val="0"/>
            <w:vAlign w:val="center"/>
          </w:tcPr>
          <w:p w14:paraId="35C12BA5">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2022年，枣庄高新区社会事务综合服务中心开展了建设工程、工程技术职务中初级职称评审，完成开展1次职称评审的目标。</w:t>
            </w:r>
          </w:p>
        </w:tc>
      </w:tr>
      <w:tr w14:paraId="11853F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2" w:hRule="atLeast"/>
          <w:jc w:val="center"/>
        </w:trPr>
        <w:tc>
          <w:tcPr>
            <w:tcW w:w="639" w:type="dxa"/>
            <w:vMerge w:val="continue"/>
            <w:tcBorders>
              <w:top w:val="single" w:color="auto" w:sz="4" w:space="0"/>
              <w:bottom w:val="single" w:color="auto" w:sz="4" w:space="0"/>
              <w:right w:val="single" w:color="auto" w:sz="4" w:space="0"/>
            </w:tcBorders>
            <w:noWrap w:val="0"/>
            <w:vAlign w:val="center"/>
          </w:tcPr>
          <w:p w14:paraId="2784D0B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吗</w:t>
            </w:r>
          </w:p>
        </w:tc>
        <w:tc>
          <w:tcPr>
            <w:tcW w:w="992" w:type="dxa"/>
            <w:vMerge w:val="restart"/>
            <w:tcBorders>
              <w:left w:val="single" w:color="auto" w:sz="4" w:space="0"/>
              <w:right w:val="single" w:color="000000" w:sz="4" w:space="0"/>
            </w:tcBorders>
            <w:noWrap w:val="0"/>
            <w:vAlign w:val="center"/>
          </w:tcPr>
          <w:p w14:paraId="2D61736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产出质量（10分）</w:t>
            </w:r>
          </w:p>
        </w:tc>
        <w:tc>
          <w:tcPr>
            <w:tcW w:w="1256" w:type="dxa"/>
            <w:tcBorders>
              <w:top w:val="single" w:color="000000" w:sz="4" w:space="0"/>
              <w:left w:val="single" w:color="auto" w:sz="4" w:space="0"/>
              <w:bottom w:val="single" w:color="000000" w:sz="4" w:space="0"/>
              <w:right w:val="single" w:color="000000" w:sz="4" w:space="0"/>
            </w:tcBorders>
            <w:noWrap w:val="0"/>
            <w:vAlign w:val="center"/>
          </w:tcPr>
          <w:p w14:paraId="71CB17E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补贴审核准确率（6分）</w:t>
            </w:r>
          </w:p>
        </w:tc>
        <w:tc>
          <w:tcPr>
            <w:tcW w:w="1824" w:type="dxa"/>
            <w:tcBorders>
              <w:top w:val="single" w:color="000000" w:sz="4" w:space="0"/>
              <w:left w:val="single" w:color="000000" w:sz="4" w:space="0"/>
              <w:right w:val="single" w:color="000000" w:sz="4" w:space="0"/>
            </w:tcBorders>
            <w:noWrap w:val="0"/>
            <w:vAlign w:val="center"/>
          </w:tcPr>
          <w:p w14:paraId="1FAA07B1">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反映各项补贴审核的准确情况</w:t>
            </w:r>
          </w:p>
        </w:tc>
        <w:tc>
          <w:tcPr>
            <w:tcW w:w="3345" w:type="dxa"/>
            <w:tcBorders>
              <w:top w:val="single" w:color="000000" w:sz="4" w:space="0"/>
              <w:left w:val="single" w:color="000000" w:sz="4" w:space="0"/>
              <w:right w:val="single" w:color="000000" w:sz="4" w:space="0"/>
            </w:tcBorders>
            <w:noWrap w:val="0"/>
            <w:vAlign w:val="center"/>
          </w:tcPr>
          <w:p w14:paraId="577B71D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对各项补贴的审核材料随机抽检，对照政策文件规定的资格，确定补贴审核准确率。</w:t>
            </w:r>
          </w:p>
        </w:tc>
        <w:tc>
          <w:tcPr>
            <w:tcW w:w="2687" w:type="dxa"/>
            <w:tcBorders>
              <w:top w:val="single" w:color="000000" w:sz="4" w:space="0"/>
              <w:left w:val="single" w:color="000000" w:sz="4" w:space="0"/>
              <w:right w:val="single" w:color="000000" w:sz="4" w:space="0"/>
            </w:tcBorders>
            <w:noWrap w:val="0"/>
            <w:vAlign w:val="center"/>
          </w:tcPr>
          <w:p w14:paraId="4E78406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补贴审核准确率100%得满分，每发现1例不准确扣1分，扣完为止。</w:t>
            </w:r>
          </w:p>
        </w:tc>
        <w:tc>
          <w:tcPr>
            <w:tcW w:w="463" w:type="dxa"/>
            <w:tcBorders>
              <w:top w:val="single" w:color="000000" w:sz="4" w:space="0"/>
              <w:left w:val="single" w:color="000000" w:sz="4" w:space="0"/>
              <w:right w:val="single" w:color="000000" w:sz="4" w:space="0"/>
            </w:tcBorders>
            <w:noWrap w:val="0"/>
            <w:vAlign w:val="center"/>
          </w:tcPr>
          <w:p w14:paraId="14066D57">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6</w:t>
            </w:r>
          </w:p>
        </w:tc>
        <w:tc>
          <w:tcPr>
            <w:tcW w:w="462" w:type="dxa"/>
            <w:tcBorders>
              <w:top w:val="single" w:color="000000" w:sz="4" w:space="0"/>
              <w:left w:val="single" w:color="000000" w:sz="4" w:space="0"/>
              <w:right w:val="single" w:color="000000" w:sz="4" w:space="0"/>
            </w:tcBorders>
            <w:noWrap w:val="0"/>
            <w:vAlign w:val="center"/>
          </w:tcPr>
          <w:p w14:paraId="04294B2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tcBorders>
            <w:noWrap w:val="0"/>
            <w:vAlign w:val="center"/>
          </w:tcPr>
          <w:p w14:paraId="3E9AD17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通过现场调研，工作人员查看了各类补贴的审核材料，与政策文件规定的资料进行了对比，未发现审核错误的情况。</w:t>
            </w:r>
          </w:p>
        </w:tc>
      </w:tr>
      <w:tr w14:paraId="193533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8" w:hRule="atLeast"/>
          <w:jc w:val="center"/>
        </w:trPr>
        <w:tc>
          <w:tcPr>
            <w:tcW w:w="639" w:type="dxa"/>
            <w:vMerge w:val="continue"/>
            <w:tcBorders>
              <w:top w:val="single" w:color="auto" w:sz="4" w:space="0"/>
              <w:bottom w:val="single" w:color="auto" w:sz="4" w:space="0"/>
              <w:right w:val="single" w:color="auto" w:sz="4" w:space="0"/>
            </w:tcBorders>
            <w:noWrap w:val="0"/>
            <w:vAlign w:val="center"/>
          </w:tcPr>
          <w:p w14:paraId="21C7642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right w:val="single" w:color="000000" w:sz="4" w:space="0"/>
            </w:tcBorders>
            <w:noWrap w:val="0"/>
            <w:vAlign w:val="center"/>
          </w:tcPr>
          <w:p w14:paraId="51E65B4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auto" w:sz="4" w:space="0"/>
              <w:right w:val="single" w:color="000000" w:sz="4" w:space="0"/>
            </w:tcBorders>
            <w:noWrap w:val="0"/>
            <w:vAlign w:val="center"/>
          </w:tcPr>
          <w:p w14:paraId="3A52F6D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人事档案邮寄完成率（4分）</w:t>
            </w:r>
          </w:p>
        </w:tc>
        <w:tc>
          <w:tcPr>
            <w:tcW w:w="1824" w:type="dxa"/>
            <w:tcBorders>
              <w:top w:val="single" w:color="000000" w:sz="4" w:space="0"/>
              <w:left w:val="single" w:color="000000" w:sz="4" w:space="0"/>
              <w:right w:val="single" w:color="000000" w:sz="4" w:space="0"/>
            </w:tcBorders>
            <w:noWrap w:val="0"/>
            <w:vAlign w:val="center"/>
          </w:tcPr>
          <w:p w14:paraId="4F401B4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反映人事档案邮寄工作的完成情况</w:t>
            </w:r>
          </w:p>
        </w:tc>
        <w:tc>
          <w:tcPr>
            <w:tcW w:w="3345" w:type="dxa"/>
            <w:tcBorders>
              <w:top w:val="single" w:color="000000" w:sz="4" w:space="0"/>
              <w:left w:val="single" w:color="000000" w:sz="4" w:space="0"/>
              <w:right w:val="single" w:color="000000" w:sz="4" w:space="0"/>
            </w:tcBorders>
            <w:noWrap w:val="0"/>
            <w:vAlign w:val="center"/>
          </w:tcPr>
          <w:p w14:paraId="176FA47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通过与项目主管部门座谈、现场调研及查阅资料，考察主管部门是否完成了所有档案邮寄工作。</w:t>
            </w:r>
          </w:p>
        </w:tc>
        <w:tc>
          <w:tcPr>
            <w:tcW w:w="2687" w:type="dxa"/>
            <w:tcBorders>
              <w:top w:val="single" w:color="000000" w:sz="4" w:space="0"/>
              <w:left w:val="single" w:color="000000" w:sz="4" w:space="0"/>
              <w:right w:val="single" w:color="000000" w:sz="4" w:space="0"/>
            </w:tcBorders>
            <w:noWrap w:val="0"/>
            <w:vAlign w:val="center"/>
          </w:tcPr>
          <w:p w14:paraId="0927632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人事档案邮寄工作完成率100%得满分，否则按比例扣分，扣完为止。</w:t>
            </w:r>
          </w:p>
        </w:tc>
        <w:tc>
          <w:tcPr>
            <w:tcW w:w="463" w:type="dxa"/>
            <w:tcBorders>
              <w:top w:val="single" w:color="000000" w:sz="4" w:space="0"/>
              <w:left w:val="single" w:color="000000" w:sz="4" w:space="0"/>
              <w:right w:val="single" w:color="000000" w:sz="4" w:space="0"/>
            </w:tcBorders>
            <w:noWrap w:val="0"/>
            <w:vAlign w:val="center"/>
          </w:tcPr>
          <w:p w14:paraId="50051981">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4</w:t>
            </w:r>
          </w:p>
        </w:tc>
        <w:tc>
          <w:tcPr>
            <w:tcW w:w="462" w:type="dxa"/>
            <w:tcBorders>
              <w:top w:val="single" w:color="000000" w:sz="4" w:space="0"/>
              <w:left w:val="single" w:color="000000" w:sz="4" w:space="0"/>
              <w:right w:val="single" w:color="000000" w:sz="4" w:space="0"/>
            </w:tcBorders>
            <w:noWrap w:val="0"/>
            <w:vAlign w:val="center"/>
          </w:tcPr>
          <w:p w14:paraId="5D64091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261B3F3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根据现场调研，并查看财务签批单、发票等资料，流动人员人事档案邮寄工作已全部完成。</w:t>
            </w:r>
          </w:p>
        </w:tc>
      </w:tr>
      <w:tr w14:paraId="65AEDC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61" w:hRule="atLeast"/>
          <w:jc w:val="center"/>
        </w:trPr>
        <w:tc>
          <w:tcPr>
            <w:tcW w:w="639" w:type="dxa"/>
            <w:vMerge w:val="continue"/>
            <w:tcBorders>
              <w:top w:val="single" w:color="auto" w:sz="4" w:space="0"/>
              <w:bottom w:val="single" w:color="auto" w:sz="4" w:space="0"/>
              <w:right w:val="single" w:color="auto" w:sz="4" w:space="0"/>
            </w:tcBorders>
            <w:noWrap w:val="0"/>
            <w:vAlign w:val="center"/>
          </w:tcPr>
          <w:p w14:paraId="523B8D8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restart"/>
            <w:tcBorders>
              <w:top w:val="single" w:color="000000" w:sz="4" w:space="0"/>
              <w:left w:val="single" w:color="auto" w:sz="4" w:space="0"/>
              <w:right w:val="single" w:color="000000" w:sz="4" w:space="0"/>
            </w:tcBorders>
            <w:noWrap w:val="0"/>
            <w:vAlign w:val="center"/>
          </w:tcPr>
          <w:p w14:paraId="404D05D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产出时效（6分）</w:t>
            </w:r>
          </w:p>
        </w:tc>
        <w:tc>
          <w:tcPr>
            <w:tcW w:w="1256" w:type="dxa"/>
            <w:tcBorders>
              <w:top w:val="single" w:color="000000" w:sz="4" w:space="0"/>
              <w:left w:val="single" w:color="auto" w:sz="4" w:space="0"/>
              <w:right w:val="single" w:color="000000" w:sz="4" w:space="0"/>
            </w:tcBorders>
            <w:noWrap w:val="0"/>
            <w:vAlign w:val="center"/>
          </w:tcPr>
          <w:p w14:paraId="78A837B5">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资料审核及时性（3分）</w:t>
            </w:r>
          </w:p>
        </w:tc>
        <w:tc>
          <w:tcPr>
            <w:tcW w:w="1824" w:type="dxa"/>
            <w:tcBorders>
              <w:top w:val="single" w:color="000000" w:sz="4" w:space="0"/>
              <w:left w:val="single" w:color="000000" w:sz="4" w:space="0"/>
              <w:right w:val="single" w:color="000000" w:sz="4" w:space="0"/>
            </w:tcBorders>
            <w:noWrap w:val="0"/>
            <w:vAlign w:val="center"/>
          </w:tcPr>
          <w:p w14:paraId="55B4EA7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bidi="zh-CN"/>
              </w:rPr>
            </w:pPr>
            <w:r>
              <w:rPr>
                <w:rFonts w:hint="eastAsia" w:ascii="宋体" w:hAnsi="宋体" w:eastAsia="宋体" w:cs="宋体"/>
                <w:bCs/>
                <w:color w:val="auto"/>
                <w:spacing w:val="-10"/>
                <w:sz w:val="18"/>
                <w:szCs w:val="18"/>
                <w:highlight w:val="none"/>
                <w:lang w:val="en-US" w:eastAsia="zh-CN"/>
              </w:rPr>
              <w:t>反映2022年各项补贴资料审核任务是否及时完成</w:t>
            </w:r>
          </w:p>
        </w:tc>
        <w:tc>
          <w:tcPr>
            <w:tcW w:w="3345" w:type="dxa"/>
            <w:tcBorders>
              <w:top w:val="single" w:color="000000" w:sz="4" w:space="0"/>
              <w:left w:val="single" w:color="000000" w:sz="4" w:space="0"/>
              <w:right w:val="single" w:color="000000" w:sz="4" w:space="0"/>
            </w:tcBorders>
            <w:noWrap w:val="0"/>
            <w:vAlign w:val="center"/>
          </w:tcPr>
          <w:p w14:paraId="29A6149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bidi="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通过与项目主管部门座谈、现场调研及查阅资料，考察资料审核是否及时完成。</w:t>
            </w:r>
          </w:p>
        </w:tc>
        <w:tc>
          <w:tcPr>
            <w:tcW w:w="2687" w:type="dxa"/>
            <w:tcBorders>
              <w:top w:val="single" w:color="000000" w:sz="4" w:space="0"/>
              <w:left w:val="single" w:color="000000" w:sz="4" w:space="0"/>
              <w:right w:val="single" w:color="000000" w:sz="4" w:space="0"/>
            </w:tcBorders>
            <w:noWrap w:val="0"/>
            <w:vAlign w:val="center"/>
          </w:tcPr>
          <w:p w14:paraId="15D967E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bidi="zh-CN"/>
              </w:rPr>
            </w:pPr>
            <w:r>
              <w:rPr>
                <w:rFonts w:hint="eastAsia" w:ascii="宋体" w:hAnsi="宋体" w:eastAsia="宋体" w:cs="宋体"/>
                <w:bCs/>
                <w:color w:val="auto"/>
                <w:spacing w:val="-10"/>
                <w:sz w:val="18"/>
                <w:szCs w:val="18"/>
                <w:highlight w:val="none"/>
                <w:lang w:val="en-US" w:eastAsia="zh-CN"/>
              </w:rPr>
              <w:t>所有补贴项目资料审核及时得满分，每发现1项不及时扣1分，扣完为止。</w:t>
            </w:r>
          </w:p>
        </w:tc>
        <w:tc>
          <w:tcPr>
            <w:tcW w:w="463" w:type="dxa"/>
            <w:tcBorders>
              <w:top w:val="single" w:color="000000" w:sz="4" w:space="0"/>
              <w:left w:val="single" w:color="000000" w:sz="4" w:space="0"/>
              <w:bottom w:val="single" w:color="auto" w:sz="4" w:space="0"/>
              <w:right w:val="single" w:color="000000" w:sz="4" w:space="0"/>
            </w:tcBorders>
            <w:noWrap w:val="0"/>
            <w:vAlign w:val="center"/>
          </w:tcPr>
          <w:p w14:paraId="7D12E16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auto" w:sz="4" w:space="0"/>
              <w:right w:val="single" w:color="000000" w:sz="4" w:space="0"/>
            </w:tcBorders>
            <w:noWrap w:val="0"/>
            <w:vAlign w:val="center"/>
          </w:tcPr>
          <w:p w14:paraId="45ACA7B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auto" w:sz="4" w:space="0"/>
            </w:tcBorders>
            <w:noWrap w:val="0"/>
            <w:vAlign w:val="center"/>
          </w:tcPr>
          <w:p w14:paraId="6F8EF9A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根据现场调研，工作人员抽取了各类补贴的审核资料，未发现审核不及时的情况。</w:t>
            </w:r>
          </w:p>
        </w:tc>
      </w:tr>
      <w:tr w14:paraId="4B103D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47" w:hRule="atLeast"/>
          <w:jc w:val="center"/>
        </w:trPr>
        <w:tc>
          <w:tcPr>
            <w:tcW w:w="639" w:type="dxa"/>
            <w:vMerge w:val="continue"/>
            <w:tcBorders>
              <w:top w:val="single" w:color="auto" w:sz="4" w:space="0"/>
              <w:bottom w:val="single" w:color="auto" w:sz="4" w:space="0"/>
              <w:right w:val="single" w:color="auto" w:sz="4" w:space="0"/>
            </w:tcBorders>
            <w:noWrap w:val="0"/>
            <w:vAlign w:val="center"/>
          </w:tcPr>
          <w:p w14:paraId="20A7480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right w:val="single" w:color="000000" w:sz="4" w:space="0"/>
            </w:tcBorders>
            <w:noWrap w:val="0"/>
            <w:vAlign w:val="center"/>
          </w:tcPr>
          <w:p w14:paraId="41F9563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auto" w:sz="4" w:space="0"/>
              <w:right w:val="single" w:color="000000" w:sz="4" w:space="0"/>
            </w:tcBorders>
            <w:noWrap w:val="0"/>
            <w:vAlign w:val="center"/>
          </w:tcPr>
          <w:p w14:paraId="01469E3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资金发放及时性（3分）</w:t>
            </w:r>
          </w:p>
        </w:tc>
        <w:tc>
          <w:tcPr>
            <w:tcW w:w="1824" w:type="dxa"/>
            <w:tcBorders>
              <w:top w:val="single" w:color="000000" w:sz="4" w:space="0"/>
              <w:left w:val="single" w:color="000000" w:sz="4" w:space="0"/>
              <w:right w:val="single" w:color="000000" w:sz="4" w:space="0"/>
            </w:tcBorders>
            <w:noWrap w:val="0"/>
            <w:vAlign w:val="center"/>
          </w:tcPr>
          <w:p w14:paraId="5D64553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反映2022年款项拨付的及时性</w:t>
            </w:r>
          </w:p>
        </w:tc>
        <w:tc>
          <w:tcPr>
            <w:tcW w:w="3345" w:type="dxa"/>
            <w:tcBorders>
              <w:top w:val="single" w:color="000000" w:sz="4" w:space="0"/>
              <w:left w:val="single" w:color="000000" w:sz="4" w:space="0"/>
              <w:right w:val="single" w:color="000000" w:sz="4" w:space="0"/>
            </w:tcBorders>
            <w:noWrap w:val="0"/>
            <w:vAlign w:val="center"/>
          </w:tcPr>
          <w:p w14:paraId="04F187F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通过与项目主管部门座谈、现场调研及查阅资料，考察主管部门是否及时拨付了款项。</w:t>
            </w:r>
          </w:p>
        </w:tc>
        <w:tc>
          <w:tcPr>
            <w:tcW w:w="2687" w:type="dxa"/>
            <w:tcBorders>
              <w:top w:val="single" w:color="000000" w:sz="4" w:space="0"/>
              <w:left w:val="single" w:color="000000" w:sz="4" w:space="0"/>
              <w:right w:val="single" w:color="000000" w:sz="4" w:space="0"/>
            </w:tcBorders>
            <w:noWrap w:val="0"/>
            <w:vAlign w:val="center"/>
          </w:tcPr>
          <w:p w14:paraId="0956652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款项及时拨付的得满分，每发现1项不及时扣1分，扣完为止。</w:t>
            </w:r>
          </w:p>
        </w:tc>
        <w:tc>
          <w:tcPr>
            <w:tcW w:w="463" w:type="dxa"/>
            <w:tcBorders>
              <w:top w:val="single" w:color="000000" w:sz="4" w:space="0"/>
              <w:left w:val="single" w:color="000000" w:sz="4" w:space="0"/>
              <w:bottom w:val="single" w:color="auto" w:sz="4" w:space="0"/>
              <w:right w:val="single" w:color="000000" w:sz="4" w:space="0"/>
            </w:tcBorders>
            <w:noWrap w:val="0"/>
            <w:vAlign w:val="center"/>
          </w:tcPr>
          <w:p w14:paraId="6A9F28C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000000" w:sz="4" w:space="0"/>
              <w:left w:val="single" w:color="000000" w:sz="4" w:space="0"/>
              <w:bottom w:val="single" w:color="auto" w:sz="4" w:space="0"/>
              <w:right w:val="single" w:color="000000" w:sz="4" w:space="0"/>
            </w:tcBorders>
            <w:noWrap w:val="0"/>
            <w:vAlign w:val="center"/>
          </w:tcPr>
          <w:p w14:paraId="4156D8B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auto" w:sz="4" w:space="0"/>
            </w:tcBorders>
            <w:noWrap w:val="0"/>
            <w:vAlign w:val="center"/>
          </w:tcPr>
          <w:p w14:paraId="1C4C0AE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根据现场调研，通过查看资金审批单、支付凭证等资料，各项补贴资金均已在2022年度及时发放</w:t>
            </w:r>
            <w:r>
              <w:rPr>
                <w:rFonts w:hint="eastAsia" w:ascii="宋体" w:hAnsi="宋体" w:eastAsia="宋体" w:cs="宋体"/>
                <w:bCs/>
                <w:color w:val="auto"/>
                <w:spacing w:val="-10"/>
                <w:sz w:val="18"/>
                <w:szCs w:val="18"/>
                <w:highlight w:val="none"/>
                <w:lang w:val="en-US" w:eastAsia="zh-CN"/>
              </w:rPr>
              <w:t>。</w:t>
            </w:r>
          </w:p>
        </w:tc>
      </w:tr>
      <w:tr w14:paraId="7F11A0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72" w:hRule="atLeast"/>
          <w:jc w:val="center"/>
        </w:trPr>
        <w:tc>
          <w:tcPr>
            <w:tcW w:w="639" w:type="dxa"/>
            <w:vMerge w:val="continue"/>
            <w:tcBorders>
              <w:top w:val="single" w:color="auto" w:sz="4" w:space="0"/>
              <w:bottom w:val="single" w:color="auto" w:sz="4" w:space="0"/>
              <w:right w:val="single" w:color="000000" w:sz="4" w:space="0"/>
            </w:tcBorders>
            <w:noWrap w:val="0"/>
            <w:vAlign w:val="center"/>
          </w:tcPr>
          <w:p w14:paraId="26385BE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tcBorders>
              <w:top w:val="single" w:color="000000" w:sz="4" w:space="0"/>
              <w:left w:val="single" w:color="000000" w:sz="4" w:space="0"/>
              <w:right w:val="single" w:color="000000" w:sz="4" w:space="0"/>
            </w:tcBorders>
            <w:noWrap w:val="0"/>
            <w:vAlign w:val="center"/>
          </w:tcPr>
          <w:p w14:paraId="738EB82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产出成本（4分）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A71A40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成本控制率（4分）</w:t>
            </w:r>
          </w:p>
        </w:tc>
        <w:tc>
          <w:tcPr>
            <w:tcW w:w="1824" w:type="dxa"/>
            <w:tcBorders>
              <w:top w:val="single" w:color="000000" w:sz="4" w:space="0"/>
              <w:left w:val="single" w:color="000000" w:sz="4" w:space="0"/>
              <w:bottom w:val="single" w:color="auto" w:sz="4" w:space="0"/>
              <w:right w:val="single" w:color="000000" w:sz="4" w:space="0"/>
            </w:tcBorders>
            <w:noWrap w:val="0"/>
            <w:vAlign w:val="center"/>
          </w:tcPr>
          <w:p w14:paraId="14D731C0">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反映本项目2022年的成本控制情况。</w:t>
            </w:r>
          </w:p>
        </w:tc>
        <w:tc>
          <w:tcPr>
            <w:tcW w:w="3345" w:type="dxa"/>
            <w:tcBorders>
              <w:top w:val="single" w:color="000000" w:sz="4" w:space="0"/>
              <w:left w:val="single" w:color="000000" w:sz="4" w:space="0"/>
              <w:bottom w:val="single" w:color="auto" w:sz="4" w:space="0"/>
              <w:right w:val="single" w:color="000000" w:sz="4" w:space="0"/>
            </w:tcBorders>
            <w:noWrap w:val="0"/>
            <w:vAlign w:val="center"/>
          </w:tcPr>
          <w:p w14:paraId="7677BCC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评价要点：</w:t>
            </w:r>
          </w:p>
          <w:p w14:paraId="5E92E8C7">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年度实际支出是否超出预算</w:t>
            </w:r>
          </w:p>
        </w:tc>
        <w:tc>
          <w:tcPr>
            <w:tcW w:w="2687" w:type="dxa"/>
            <w:tcBorders>
              <w:top w:val="single" w:color="000000" w:sz="4" w:space="0"/>
              <w:left w:val="single" w:color="000000" w:sz="4" w:space="0"/>
              <w:bottom w:val="single" w:color="auto" w:sz="4" w:space="0"/>
              <w:right w:val="single" w:color="auto" w:sz="4" w:space="0"/>
            </w:tcBorders>
            <w:noWrap w:val="0"/>
            <w:vAlign w:val="center"/>
          </w:tcPr>
          <w:p w14:paraId="0E690551">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成本控制在808.51万元以内得满分；若超出808.51万元，每超出1个百分点扣1分，扣完为止。</w:t>
            </w:r>
          </w:p>
        </w:tc>
        <w:tc>
          <w:tcPr>
            <w:tcW w:w="463" w:type="dxa"/>
            <w:tcBorders>
              <w:top w:val="single" w:color="auto" w:sz="4" w:space="0"/>
              <w:left w:val="single" w:color="auto" w:sz="4" w:space="0"/>
              <w:bottom w:val="single" w:color="auto" w:sz="4" w:space="0"/>
              <w:right w:val="single" w:color="auto" w:sz="4" w:space="0"/>
            </w:tcBorders>
            <w:noWrap w:val="0"/>
            <w:vAlign w:val="center"/>
          </w:tcPr>
          <w:p w14:paraId="39909012">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4</w:t>
            </w:r>
          </w:p>
        </w:tc>
        <w:tc>
          <w:tcPr>
            <w:tcW w:w="462" w:type="dxa"/>
            <w:tcBorders>
              <w:top w:val="single" w:color="auto" w:sz="4" w:space="0"/>
              <w:left w:val="single" w:color="auto" w:sz="4" w:space="0"/>
              <w:bottom w:val="single" w:color="auto" w:sz="4" w:space="0"/>
              <w:right w:val="single" w:color="auto" w:sz="4" w:space="0"/>
            </w:tcBorders>
            <w:noWrap w:val="0"/>
            <w:vAlign w:val="center"/>
          </w:tcPr>
          <w:p w14:paraId="46D57A4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14:paraId="3002CBD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成本控制率=（808.51-808.51）/800*100%=100%。</w:t>
            </w:r>
          </w:p>
        </w:tc>
      </w:tr>
      <w:tr w14:paraId="068F40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8" w:hRule="atLeast"/>
          <w:jc w:val="center"/>
        </w:trPr>
        <w:tc>
          <w:tcPr>
            <w:tcW w:w="639" w:type="dxa"/>
            <w:vMerge w:val="restart"/>
            <w:tcBorders>
              <w:top w:val="single" w:color="auto" w:sz="4" w:space="0"/>
              <w:right w:val="single" w:color="auto" w:sz="4" w:space="0"/>
            </w:tcBorders>
            <w:noWrap w:val="0"/>
            <w:vAlign w:val="center"/>
          </w:tcPr>
          <w:p w14:paraId="4154BAFE">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效益</w:t>
            </w:r>
          </w:p>
          <w:p w14:paraId="23F9EFA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（30分）</w:t>
            </w:r>
          </w:p>
        </w:tc>
        <w:tc>
          <w:tcPr>
            <w:tcW w:w="992" w:type="dxa"/>
            <w:vMerge w:val="restart"/>
            <w:tcBorders>
              <w:top w:val="single" w:color="000000" w:sz="4" w:space="0"/>
              <w:left w:val="single" w:color="auto" w:sz="4" w:space="0"/>
              <w:right w:val="single" w:color="000000" w:sz="4" w:space="0"/>
            </w:tcBorders>
            <w:noWrap w:val="0"/>
            <w:vAlign w:val="center"/>
          </w:tcPr>
          <w:p w14:paraId="3A902C92">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社会效益（10分）</w:t>
            </w:r>
          </w:p>
        </w:tc>
        <w:tc>
          <w:tcPr>
            <w:tcW w:w="1256" w:type="dxa"/>
            <w:tcBorders>
              <w:top w:val="single" w:color="000000" w:sz="4" w:space="0"/>
              <w:left w:val="single" w:color="auto" w:sz="4" w:space="0"/>
              <w:bottom w:val="single" w:color="000000" w:sz="4" w:space="0"/>
              <w:right w:val="single" w:color="000000" w:sz="4" w:space="0"/>
            </w:tcBorders>
            <w:noWrap w:val="0"/>
            <w:vAlign w:val="center"/>
          </w:tcPr>
          <w:p w14:paraId="759CC9A5">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政策享受人群规模合理性（5分）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35A885F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反映各类补贴的实际享受人数。</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B6F60A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通过与项目主管部门座谈、现场调研及查阅资料，考察实际享受各项补贴的人数。</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6BD19591">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各项人才补贴政策的受益人群规模在合理范围内得满分，受益人群规模过大或过小则根据实际情况扣分。</w:t>
            </w:r>
          </w:p>
        </w:tc>
        <w:tc>
          <w:tcPr>
            <w:tcW w:w="463" w:type="dxa"/>
            <w:tcBorders>
              <w:top w:val="single" w:color="auto" w:sz="4" w:space="0"/>
              <w:left w:val="single" w:color="000000" w:sz="4" w:space="0"/>
              <w:bottom w:val="single" w:color="000000" w:sz="4" w:space="0"/>
              <w:right w:val="single" w:color="000000" w:sz="4" w:space="0"/>
            </w:tcBorders>
            <w:noWrap w:val="0"/>
            <w:vAlign w:val="center"/>
          </w:tcPr>
          <w:p w14:paraId="02A8DF1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3</w:t>
            </w:r>
          </w:p>
        </w:tc>
        <w:tc>
          <w:tcPr>
            <w:tcW w:w="462" w:type="dxa"/>
            <w:tcBorders>
              <w:top w:val="single" w:color="auto" w:sz="4" w:space="0"/>
              <w:left w:val="single" w:color="000000" w:sz="4" w:space="0"/>
              <w:bottom w:val="single" w:color="000000" w:sz="4" w:space="0"/>
              <w:right w:val="single" w:color="000000" w:sz="4" w:space="0"/>
            </w:tcBorders>
            <w:noWrap w:val="0"/>
            <w:vAlign w:val="center"/>
          </w:tcPr>
          <w:p w14:paraId="6BF04528">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2</w:t>
            </w:r>
          </w:p>
        </w:tc>
        <w:tc>
          <w:tcPr>
            <w:tcW w:w="2575" w:type="dxa"/>
            <w:tcBorders>
              <w:top w:val="single" w:color="auto" w:sz="4" w:space="0"/>
              <w:left w:val="single" w:color="000000" w:sz="4" w:space="0"/>
              <w:bottom w:val="single" w:color="000000" w:sz="4" w:space="0"/>
            </w:tcBorders>
            <w:noWrap w:val="0"/>
            <w:vAlign w:val="center"/>
          </w:tcPr>
          <w:p w14:paraId="438272C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部门提供的资料，评价人员统计了2022年实际享受各项人才政策的人数或企业数，如表5.1所示。大学生创业补贴1人，由于大学生创业难度较大，仅有1人享受该政策补贴在合理范围内。小微企业招用高校毕业生一次性吸纳就业补贴项目仅有山东中成环境技术服务有限公司和山东弘尚环保科技有限公司共2名员工申请并最终享受该政策补贴，小微企业招用高校毕业生社保补贴只有山东飞羊数字科技股份有限公司7名员工申请并最终享受该政策补贴。提出申请的企业或员工较少，实际享受这两个政策的人数较少，本指标扣2分</w:t>
            </w:r>
            <w:r>
              <w:rPr>
                <w:rFonts w:hint="eastAsia" w:ascii="宋体" w:hAnsi="宋体" w:eastAsia="宋体" w:cs="宋体"/>
                <w:bCs/>
                <w:color w:val="auto"/>
                <w:spacing w:val="-10"/>
                <w:sz w:val="18"/>
                <w:szCs w:val="18"/>
                <w:highlight w:val="none"/>
                <w:lang w:val="en-US" w:eastAsia="zh-CN"/>
              </w:rPr>
              <w:t>。</w:t>
            </w:r>
          </w:p>
        </w:tc>
      </w:tr>
      <w:tr w14:paraId="598B43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8" w:hRule="atLeast"/>
          <w:jc w:val="center"/>
        </w:trPr>
        <w:tc>
          <w:tcPr>
            <w:tcW w:w="639" w:type="dxa"/>
            <w:vMerge w:val="continue"/>
            <w:tcBorders>
              <w:right w:val="single" w:color="auto" w:sz="4" w:space="0"/>
            </w:tcBorders>
            <w:noWrap w:val="0"/>
            <w:vAlign w:val="center"/>
          </w:tcPr>
          <w:p w14:paraId="79B6956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bottom w:val="single" w:color="auto" w:sz="4" w:space="0"/>
              <w:right w:val="single" w:color="000000" w:sz="4" w:space="0"/>
            </w:tcBorders>
            <w:noWrap w:val="0"/>
            <w:vAlign w:val="center"/>
          </w:tcPr>
          <w:p w14:paraId="476A8452">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000000" w:sz="4" w:space="0"/>
              <w:left w:val="single" w:color="auto" w:sz="4" w:space="0"/>
              <w:bottom w:val="single" w:color="auto" w:sz="4" w:space="0"/>
              <w:right w:val="single" w:color="000000" w:sz="4" w:space="0"/>
            </w:tcBorders>
            <w:noWrap w:val="0"/>
            <w:vAlign w:val="center"/>
          </w:tcPr>
          <w:p w14:paraId="4F2C3C34">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引才数量增长情况（5分）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4C44D88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反映人力资源经费项目实际引进人才的数量增长情况反映补贴审核资料保存的完整程度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0D6E506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通过与项目主管部门座谈、现场调研及查阅资料，考察人力资源经费项目实际引进人才数量的增长情况。</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58DE780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对比2022年各季度引才人数，引进人才数量持续增长得5分，引进人才人数波动增长得3分，引进人才人数下降不得分。</w:t>
            </w:r>
          </w:p>
        </w:tc>
        <w:tc>
          <w:tcPr>
            <w:tcW w:w="463" w:type="dxa"/>
            <w:tcBorders>
              <w:top w:val="single" w:color="auto" w:sz="4" w:space="0"/>
              <w:left w:val="single" w:color="000000" w:sz="4" w:space="0"/>
              <w:bottom w:val="single" w:color="000000" w:sz="4" w:space="0"/>
              <w:right w:val="single" w:color="000000" w:sz="4" w:space="0"/>
            </w:tcBorders>
            <w:noWrap w:val="0"/>
            <w:vAlign w:val="center"/>
          </w:tcPr>
          <w:p w14:paraId="7F869F5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5</w:t>
            </w:r>
          </w:p>
        </w:tc>
        <w:tc>
          <w:tcPr>
            <w:tcW w:w="462" w:type="dxa"/>
            <w:tcBorders>
              <w:top w:val="single" w:color="auto" w:sz="4" w:space="0"/>
              <w:left w:val="single" w:color="000000" w:sz="4" w:space="0"/>
              <w:bottom w:val="single" w:color="000000" w:sz="4" w:space="0"/>
              <w:right w:val="single" w:color="000000" w:sz="4" w:space="0"/>
            </w:tcBorders>
            <w:noWrap w:val="0"/>
            <w:vAlign w:val="center"/>
          </w:tcPr>
          <w:p w14:paraId="062B855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auto" w:sz="4" w:space="0"/>
              <w:left w:val="single" w:color="000000" w:sz="4" w:space="0"/>
              <w:bottom w:val="single" w:color="000000" w:sz="4" w:space="0"/>
            </w:tcBorders>
            <w:noWrap w:val="0"/>
            <w:vAlign w:val="center"/>
          </w:tcPr>
          <w:p w14:paraId="5CF021E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由于子项目众多无法全部统计引才数量，评价组选取了补贴人数最多、最具代表性的大学生就业补贴项目进行分析。如图5-1，2022年4个季度的大学生就业补贴人数分别为224人、287人、291人、311人，呈持续递增趋势。</w:t>
            </w:r>
          </w:p>
        </w:tc>
      </w:tr>
      <w:tr w14:paraId="2155F8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18" w:hRule="atLeast"/>
          <w:jc w:val="center"/>
        </w:trPr>
        <w:tc>
          <w:tcPr>
            <w:tcW w:w="639" w:type="dxa"/>
            <w:vMerge w:val="continue"/>
            <w:tcBorders>
              <w:right w:val="single" w:color="auto" w:sz="4" w:space="0"/>
            </w:tcBorders>
            <w:noWrap w:val="0"/>
            <w:vAlign w:val="center"/>
          </w:tcPr>
          <w:p w14:paraId="11E1798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top w:val="single" w:color="auto" w:sz="4" w:space="0"/>
              <w:left w:val="single" w:color="auto" w:sz="4" w:space="0"/>
              <w:bottom w:val="single" w:color="auto" w:sz="4" w:space="0"/>
              <w:right w:val="single" w:color="000000" w:sz="4" w:space="0"/>
            </w:tcBorders>
            <w:noWrap w:val="0"/>
            <w:vAlign w:val="center"/>
          </w:tcPr>
          <w:p w14:paraId="56A9300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51C5E70">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补贴企业（个体户）正常运转率（5分）</w:t>
            </w:r>
          </w:p>
        </w:tc>
        <w:tc>
          <w:tcPr>
            <w:tcW w:w="1824" w:type="dxa"/>
            <w:tcBorders>
              <w:top w:val="single" w:color="000000" w:sz="4" w:space="0"/>
              <w:left w:val="single" w:color="auto" w:sz="4" w:space="0"/>
              <w:right w:val="single" w:color="000000" w:sz="4" w:space="0"/>
            </w:tcBorders>
            <w:noWrap w:val="0"/>
            <w:vAlign w:val="center"/>
          </w:tcPr>
          <w:p w14:paraId="27AA1F97">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反映补贴企业（个体户）目前的经营状况</w:t>
            </w:r>
          </w:p>
        </w:tc>
        <w:tc>
          <w:tcPr>
            <w:tcW w:w="3345" w:type="dxa"/>
            <w:tcBorders>
              <w:top w:val="single" w:color="000000" w:sz="4" w:space="0"/>
              <w:left w:val="single" w:color="000000" w:sz="4" w:space="0"/>
              <w:right w:val="single" w:color="000000" w:sz="4" w:space="0"/>
            </w:tcBorders>
            <w:noWrap w:val="0"/>
            <w:vAlign w:val="center"/>
          </w:tcPr>
          <w:p w14:paraId="5F53CA12">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通过现场调研考察被补贴的企业的经营情况。</w:t>
            </w:r>
          </w:p>
        </w:tc>
        <w:tc>
          <w:tcPr>
            <w:tcW w:w="2687" w:type="dxa"/>
            <w:tcBorders>
              <w:top w:val="single" w:color="000000" w:sz="4" w:space="0"/>
              <w:left w:val="single" w:color="000000" w:sz="4" w:space="0"/>
              <w:right w:val="single" w:color="000000" w:sz="4" w:space="0"/>
            </w:tcBorders>
            <w:noWrap w:val="0"/>
            <w:vAlign w:val="center"/>
          </w:tcPr>
          <w:p w14:paraId="74297F0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所补贴的企业（个体户）正常运转率100%得满分，每发现1家企业（个体户）存在重大经营问题或处于非在营状态扣1分，扣完为止。</w:t>
            </w:r>
          </w:p>
        </w:tc>
        <w:tc>
          <w:tcPr>
            <w:tcW w:w="463" w:type="dxa"/>
            <w:tcBorders>
              <w:top w:val="single" w:color="auto" w:sz="4" w:space="0"/>
              <w:left w:val="single" w:color="000000" w:sz="4" w:space="0"/>
              <w:right w:val="single" w:color="000000" w:sz="4" w:space="0"/>
            </w:tcBorders>
            <w:noWrap w:val="0"/>
            <w:vAlign w:val="center"/>
          </w:tcPr>
          <w:p w14:paraId="1362189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5</w:t>
            </w:r>
          </w:p>
        </w:tc>
        <w:tc>
          <w:tcPr>
            <w:tcW w:w="462" w:type="dxa"/>
            <w:tcBorders>
              <w:top w:val="single" w:color="auto" w:sz="4" w:space="0"/>
              <w:left w:val="single" w:color="000000" w:sz="4" w:space="0"/>
              <w:right w:val="single" w:color="000000" w:sz="4" w:space="0"/>
            </w:tcBorders>
            <w:noWrap w:val="0"/>
            <w:vAlign w:val="center"/>
          </w:tcPr>
          <w:p w14:paraId="4394812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auto" w:sz="4" w:space="0"/>
              <w:left w:val="single" w:color="000000" w:sz="4" w:space="0"/>
              <w:bottom w:val="single" w:color="000000" w:sz="4" w:space="0"/>
            </w:tcBorders>
            <w:noWrap w:val="0"/>
            <w:vAlign w:val="center"/>
          </w:tcPr>
          <w:p w14:paraId="36022CB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根据现场调研，2022年所补贴的企业（个体户）均处于正常营业状态，正常运转率100%</w:t>
            </w:r>
            <w:r>
              <w:rPr>
                <w:rFonts w:hint="eastAsia" w:ascii="宋体" w:hAnsi="宋体" w:eastAsia="宋体" w:cs="宋体"/>
                <w:bCs/>
                <w:color w:val="auto"/>
                <w:spacing w:val="-10"/>
                <w:sz w:val="18"/>
                <w:szCs w:val="18"/>
                <w:highlight w:val="none"/>
                <w:lang w:val="en-US" w:eastAsia="zh-CN"/>
              </w:rPr>
              <w:t>。</w:t>
            </w:r>
          </w:p>
        </w:tc>
      </w:tr>
      <w:tr w14:paraId="471D35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7" w:hRule="atLeast"/>
          <w:jc w:val="center"/>
        </w:trPr>
        <w:tc>
          <w:tcPr>
            <w:tcW w:w="639" w:type="dxa"/>
            <w:vMerge w:val="continue"/>
            <w:tcBorders>
              <w:right w:val="single" w:color="auto" w:sz="4" w:space="0"/>
            </w:tcBorders>
            <w:noWrap w:val="0"/>
            <w:vAlign w:val="center"/>
          </w:tcPr>
          <w:p w14:paraId="44BB007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tcBorders>
              <w:top w:val="single" w:color="auto" w:sz="4" w:space="0"/>
              <w:left w:val="single" w:color="auto" w:sz="4" w:space="0"/>
              <w:bottom w:val="single" w:color="auto" w:sz="4" w:space="0"/>
              <w:right w:val="single" w:color="000000" w:sz="4" w:space="0"/>
            </w:tcBorders>
            <w:noWrap w:val="0"/>
            <w:vAlign w:val="center"/>
          </w:tcPr>
          <w:p w14:paraId="71A9F0D6">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可持续影响（5分）</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54B367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补贴审核机制健全性（5分）</w:t>
            </w:r>
          </w:p>
        </w:tc>
        <w:tc>
          <w:tcPr>
            <w:tcW w:w="1824" w:type="dxa"/>
            <w:tcBorders>
              <w:top w:val="single" w:color="000000" w:sz="4" w:space="0"/>
              <w:left w:val="single" w:color="auto" w:sz="4" w:space="0"/>
              <w:bottom w:val="single" w:color="000000" w:sz="4" w:space="0"/>
              <w:right w:val="single" w:color="000000" w:sz="4" w:space="0"/>
            </w:tcBorders>
            <w:noWrap w:val="0"/>
            <w:vAlign w:val="center"/>
          </w:tcPr>
          <w:p w14:paraId="554C7F6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反映补贴机制的健全程度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5B5DDF4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通过与项目主管部门座谈、现场调研及查阅资料，考察部门的审核机制是否健全。</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112A364A">
            <w:pPr>
              <w:snapToGrid w:val="0"/>
              <w:spacing w:line="240" w:lineRule="auto"/>
              <w:ind w:left="0" w:leftChars="0" w:firstLine="0" w:firstLineChars="0"/>
              <w:jc w:val="center"/>
              <w:rPr>
                <w:rFonts w:hint="default" w:ascii="宋体" w:hAnsi="宋体" w:eastAsia="宋体" w:cs="宋体"/>
                <w:bCs/>
                <w:color w:val="0000FF"/>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所有补贴项目审核机制健全得满分，每发现1项不健全扣1分，扣完为止。</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3C2432B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5</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56D9AE5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2D64B35C">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根据现场调研并分析相关资料，枣庄高新区社会事务综合服务中心</w:t>
            </w:r>
            <w:r>
              <w:rPr>
                <w:rFonts w:hint="eastAsia" w:ascii="宋体" w:hAnsi="宋体" w:eastAsia="宋体" w:cs="宋体"/>
                <w:bCs/>
                <w:color w:val="auto"/>
                <w:spacing w:val="-10"/>
                <w:sz w:val="18"/>
                <w:szCs w:val="18"/>
                <w:highlight w:val="none"/>
                <w:lang w:val="en-US" w:eastAsia="zh-CN"/>
              </w:rPr>
              <w:t>有</w:t>
            </w:r>
            <w:r>
              <w:rPr>
                <w:rFonts w:hint="default" w:ascii="宋体" w:hAnsi="宋体" w:eastAsia="宋体" w:cs="宋体"/>
                <w:bCs/>
                <w:color w:val="auto"/>
                <w:spacing w:val="-10"/>
                <w:sz w:val="18"/>
                <w:szCs w:val="18"/>
                <w:highlight w:val="none"/>
                <w:lang w:val="en-US" w:eastAsia="zh-CN"/>
              </w:rPr>
              <w:t>较为健全的审核机制，将所有业务的操作步骤做成了汇编，人员分工明确，经办流程等制度详细。</w:t>
            </w:r>
          </w:p>
        </w:tc>
      </w:tr>
      <w:tr w14:paraId="41E935F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23" w:hRule="atLeast"/>
          <w:jc w:val="center"/>
        </w:trPr>
        <w:tc>
          <w:tcPr>
            <w:tcW w:w="639" w:type="dxa"/>
            <w:vMerge w:val="continue"/>
            <w:tcBorders>
              <w:right w:val="single" w:color="auto" w:sz="4" w:space="0"/>
            </w:tcBorders>
            <w:noWrap w:val="0"/>
            <w:vAlign w:val="center"/>
          </w:tcPr>
          <w:p w14:paraId="232FCD2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restart"/>
            <w:tcBorders>
              <w:top w:val="single" w:color="auto" w:sz="4" w:space="0"/>
              <w:left w:val="single" w:color="auto" w:sz="4" w:space="0"/>
              <w:right w:val="single" w:color="auto" w:sz="4" w:space="0"/>
            </w:tcBorders>
            <w:noWrap w:val="0"/>
            <w:vAlign w:val="center"/>
          </w:tcPr>
          <w:p w14:paraId="57A76B5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满意度（10分）</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F64328A">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受益企业满意度（5分）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0AE3773F">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考察项目受益企业的满意程度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7BA57B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通过现场调研等方式考察受益企业的满意度。</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76171B34">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调查问卷得分根据样本得分情况通过加权平均法计算，调查问卷得分≥90分，本项指标得满分，每低3个百分点扣1分，扣完为止。</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1476503E">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5</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13BF5E06">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0AB8B2C6">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根据满意度问卷调查，受益企业的满意度为100%</w:t>
            </w:r>
            <w:r>
              <w:rPr>
                <w:rFonts w:hint="eastAsia" w:ascii="宋体" w:hAnsi="宋体" w:eastAsia="宋体" w:cs="宋体"/>
                <w:bCs/>
                <w:color w:val="auto"/>
                <w:spacing w:val="-10"/>
                <w:sz w:val="18"/>
                <w:szCs w:val="18"/>
                <w:highlight w:val="none"/>
                <w:lang w:val="en-US" w:eastAsia="zh-CN"/>
              </w:rPr>
              <w:t>。</w:t>
            </w:r>
          </w:p>
        </w:tc>
      </w:tr>
      <w:tr w14:paraId="5CCBC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23" w:hRule="atLeast"/>
          <w:jc w:val="center"/>
        </w:trPr>
        <w:tc>
          <w:tcPr>
            <w:tcW w:w="639" w:type="dxa"/>
            <w:vMerge w:val="continue"/>
            <w:tcBorders>
              <w:bottom w:val="single" w:color="auto" w:sz="4" w:space="0"/>
              <w:right w:val="single" w:color="auto" w:sz="4" w:space="0"/>
            </w:tcBorders>
            <w:noWrap w:val="0"/>
            <w:vAlign w:val="center"/>
          </w:tcPr>
          <w:p w14:paraId="14E75E98">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992" w:type="dxa"/>
            <w:vMerge w:val="continue"/>
            <w:tcBorders>
              <w:left w:val="single" w:color="auto" w:sz="4" w:space="0"/>
              <w:bottom w:val="single" w:color="auto" w:sz="4" w:space="0"/>
              <w:right w:val="single" w:color="auto" w:sz="4" w:space="0"/>
            </w:tcBorders>
            <w:noWrap w:val="0"/>
            <w:vAlign w:val="center"/>
          </w:tcPr>
          <w:p w14:paraId="4FC137A4">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7DA423B">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受益人群满意度（5分）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32FBD72D">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考察项目受益人群的满意程度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FFDCC41">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通过现场调研等方式考察受益人群的满意度。</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601E9DE9">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调查问卷得分根据样本得分情况通过加权平均法计算，调查问卷得分≥95分，本项指标得满分，每低3个百分点扣1分，扣完为止。</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3D6A8863">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5</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0D8AED9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45EB1D99">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default" w:ascii="宋体" w:hAnsi="宋体" w:eastAsia="宋体" w:cs="宋体"/>
                <w:bCs/>
                <w:color w:val="auto"/>
                <w:spacing w:val="-10"/>
                <w:sz w:val="18"/>
                <w:szCs w:val="18"/>
                <w:highlight w:val="none"/>
                <w:lang w:val="en-US" w:eastAsia="zh-CN"/>
              </w:rPr>
              <w:t>根据满意度问卷调查，受益</w:t>
            </w:r>
            <w:r>
              <w:rPr>
                <w:rFonts w:hint="eastAsia" w:ascii="宋体" w:hAnsi="宋体" w:eastAsia="宋体" w:cs="宋体"/>
                <w:bCs/>
                <w:color w:val="auto"/>
                <w:spacing w:val="-10"/>
                <w:sz w:val="18"/>
                <w:szCs w:val="18"/>
                <w:highlight w:val="none"/>
                <w:lang w:val="en-US" w:eastAsia="zh-CN"/>
              </w:rPr>
              <w:t>人群</w:t>
            </w:r>
            <w:r>
              <w:rPr>
                <w:rFonts w:hint="default" w:ascii="宋体" w:hAnsi="宋体" w:eastAsia="宋体" w:cs="宋体"/>
                <w:bCs/>
                <w:color w:val="auto"/>
                <w:spacing w:val="-10"/>
                <w:sz w:val="18"/>
                <w:szCs w:val="18"/>
                <w:highlight w:val="none"/>
                <w:lang w:val="en-US" w:eastAsia="zh-CN"/>
              </w:rPr>
              <w:t>的满意度为100%</w:t>
            </w:r>
            <w:r>
              <w:rPr>
                <w:rFonts w:hint="eastAsia" w:ascii="宋体" w:hAnsi="宋体" w:eastAsia="宋体" w:cs="宋体"/>
                <w:bCs/>
                <w:color w:val="auto"/>
                <w:spacing w:val="-10"/>
                <w:sz w:val="18"/>
                <w:szCs w:val="18"/>
                <w:highlight w:val="none"/>
                <w:lang w:val="en-US" w:eastAsia="zh-CN"/>
              </w:rPr>
              <w:t>。</w:t>
            </w:r>
          </w:p>
        </w:tc>
      </w:tr>
      <w:tr w14:paraId="4F8C89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jc w:val="center"/>
        </w:trPr>
        <w:tc>
          <w:tcPr>
            <w:tcW w:w="639" w:type="dxa"/>
            <w:tcBorders>
              <w:top w:val="single" w:color="auto" w:sz="4" w:space="0"/>
              <w:bottom w:val="single" w:color="auto" w:sz="4" w:space="0"/>
              <w:right w:val="single" w:color="auto" w:sz="4" w:space="0"/>
            </w:tcBorders>
            <w:noWrap w:val="0"/>
            <w:vAlign w:val="center"/>
          </w:tcPr>
          <w:p w14:paraId="3F19BDC7">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总计</w:t>
            </w:r>
          </w:p>
        </w:tc>
        <w:tc>
          <w:tcPr>
            <w:tcW w:w="992" w:type="dxa"/>
            <w:tcBorders>
              <w:top w:val="single" w:color="auto" w:sz="4" w:space="0"/>
              <w:left w:val="single" w:color="auto" w:sz="4" w:space="0"/>
              <w:right w:val="single" w:color="auto" w:sz="4" w:space="0"/>
            </w:tcBorders>
            <w:noWrap w:val="0"/>
            <w:vAlign w:val="center"/>
          </w:tcPr>
          <w:p w14:paraId="4881B0ED">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A1998EB">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60E1096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28D2DD3">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2E0A072C">
            <w:pPr>
              <w:snapToGrid w:val="0"/>
              <w:spacing w:line="240" w:lineRule="auto"/>
              <w:ind w:left="0" w:leftChars="0" w:firstLine="0" w:firstLineChars="0"/>
              <w:jc w:val="center"/>
              <w:rPr>
                <w:rFonts w:hint="eastAsia" w:ascii="宋体" w:hAnsi="宋体" w:eastAsia="宋体" w:cs="宋体"/>
                <w:bCs/>
                <w:color w:val="auto"/>
                <w:spacing w:val="-10"/>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6C4FC1E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r>
              <w:rPr>
                <w:rFonts w:hint="eastAsia" w:ascii="宋体" w:hAnsi="宋体" w:eastAsia="宋体" w:cs="宋体"/>
                <w:bCs/>
                <w:color w:val="auto"/>
                <w:spacing w:val="-10"/>
                <w:sz w:val="18"/>
                <w:szCs w:val="18"/>
                <w:highlight w:val="none"/>
                <w:lang w:val="en-US" w:eastAsia="zh-CN"/>
              </w:rPr>
              <w:t>92</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0E40858F">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c>
          <w:tcPr>
            <w:tcW w:w="2575" w:type="dxa"/>
            <w:tcBorders>
              <w:top w:val="single" w:color="000000" w:sz="4" w:space="0"/>
              <w:left w:val="single" w:color="000000" w:sz="4" w:space="0"/>
              <w:bottom w:val="single" w:color="000000" w:sz="4" w:space="0"/>
            </w:tcBorders>
            <w:noWrap w:val="0"/>
            <w:vAlign w:val="center"/>
          </w:tcPr>
          <w:p w14:paraId="5F85B26A">
            <w:pPr>
              <w:snapToGrid w:val="0"/>
              <w:spacing w:line="240" w:lineRule="auto"/>
              <w:ind w:left="0" w:leftChars="0" w:firstLine="0" w:firstLineChars="0"/>
              <w:jc w:val="center"/>
              <w:rPr>
                <w:rFonts w:hint="default" w:ascii="宋体" w:hAnsi="宋体" w:eastAsia="宋体" w:cs="宋体"/>
                <w:bCs/>
                <w:color w:val="auto"/>
                <w:spacing w:val="-10"/>
                <w:sz w:val="18"/>
                <w:szCs w:val="18"/>
                <w:highlight w:val="none"/>
                <w:lang w:val="en-US" w:eastAsia="zh-CN"/>
              </w:rPr>
            </w:pPr>
          </w:p>
        </w:tc>
      </w:tr>
    </w:tbl>
    <w:p w14:paraId="0A2AE27A">
      <w:pPr>
        <w:pStyle w:val="3"/>
        <w:bidi w:val="0"/>
        <w:rPr>
          <w:rFonts w:hint="eastAsia"/>
          <w:lang w:val="en-US" w:eastAsia="zh-CN"/>
        </w:rPr>
        <w:sectPr>
          <w:pgSz w:w="16840" w:h="11910" w:orient="landscape"/>
          <w:pgMar w:top="1800" w:right="1440" w:bottom="1800" w:left="1440" w:header="850" w:footer="1417" w:gutter="0"/>
          <w:pgNumType w:fmt="numberInDash"/>
          <w:cols w:space="720" w:num="1"/>
        </w:sectPr>
      </w:pPr>
      <w:bookmarkStart w:id="631" w:name="_Toc31143"/>
      <w:bookmarkStart w:id="632" w:name="_Toc24196"/>
      <w:bookmarkStart w:id="633" w:name="_Toc21105"/>
      <w:bookmarkStart w:id="634" w:name="_Toc19458"/>
      <w:bookmarkStart w:id="635" w:name="_Toc27901"/>
      <w:bookmarkStart w:id="636" w:name="_Toc21240"/>
      <w:bookmarkStart w:id="637" w:name="_Toc8339"/>
      <w:bookmarkStart w:id="638" w:name="_Toc30544"/>
      <w:bookmarkStart w:id="639" w:name="_Toc20473"/>
      <w:bookmarkStart w:id="640" w:name="_Toc29756"/>
      <w:bookmarkStart w:id="641" w:name="_Toc30515"/>
      <w:bookmarkStart w:id="642" w:name="_Toc5914"/>
      <w:bookmarkStart w:id="643" w:name="_Toc15454"/>
      <w:bookmarkStart w:id="644" w:name="_Toc31426"/>
      <w:bookmarkStart w:id="645" w:name="_Toc19777"/>
    </w:p>
    <w:p w14:paraId="60F3FE7D">
      <w:pPr>
        <w:pStyle w:val="3"/>
        <w:bidi w:val="0"/>
        <w:rPr>
          <w:rFonts w:hint="eastAsia"/>
          <w:lang w:val="en-US" w:eastAsia="zh-CN"/>
        </w:rPr>
      </w:pPr>
      <w:r>
        <w:rPr>
          <w:rFonts w:hint="eastAsia"/>
          <w:lang w:val="en-US" w:eastAsia="zh-CN"/>
        </w:rPr>
        <w:t>附件二、问题清单</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2054ACCD">
      <w:pPr>
        <w:widowControl/>
        <w:textAlignment w:val="center"/>
        <w:rPr>
          <w:rFonts w:hint="eastAsia" w:ascii="黑体" w:hAnsi="黑体" w:eastAsia="黑体" w:cs="黑体"/>
          <w:kern w:val="2"/>
          <w:sz w:val="32"/>
          <w:szCs w:val="32"/>
          <w:highlight w:val="none"/>
          <w:lang w:val="en-US" w:eastAsia="zh-CN" w:bidi="zh-CN"/>
        </w:rPr>
      </w:pPr>
      <w:r>
        <w:rPr>
          <w:rFonts w:hint="eastAsia" w:ascii="黑体" w:hAnsi="黑体" w:eastAsia="黑体" w:cs="黑体"/>
          <w:kern w:val="2"/>
          <w:sz w:val="32"/>
          <w:szCs w:val="32"/>
          <w:highlight w:val="none"/>
          <w:lang w:val="en-US" w:eastAsia="zh-CN" w:bidi="zh-CN"/>
        </w:rPr>
        <w:t>2022年枣庄市高新区人力资源经费项目问题清单</w:t>
      </w:r>
    </w:p>
    <w:p w14:paraId="68C9B969">
      <w:pPr>
        <w:pStyle w:val="21"/>
        <w:rPr>
          <w:rFonts w:hint="eastAsia"/>
          <w:lang w:val="en-US" w:eastAsia="zh-CN"/>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3051"/>
        <w:gridCol w:w="3755"/>
      </w:tblGrid>
      <w:tr w14:paraId="7197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007" w:type="pct"/>
            <w:vAlign w:val="center"/>
          </w:tcPr>
          <w:p w14:paraId="31EFA9B3">
            <w:pPr>
              <w:keepNext w:val="0"/>
              <w:keepLines w:val="0"/>
              <w:pageBreakBefore w:val="0"/>
              <w:widowControl/>
              <w:kinsoku/>
              <w:wordWrap/>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sz w:val="18"/>
                <w:szCs w:val="18"/>
                <w:highlight w:val="none"/>
                <w:lang w:val="en-US" w:eastAsia="zh-CN" w:bidi="zh-CN"/>
              </w:rPr>
            </w:pPr>
            <w:bookmarkStart w:id="646" w:name="_Toc434"/>
            <w:r>
              <w:rPr>
                <w:rFonts w:hint="eastAsia" w:ascii="宋体" w:hAnsi="宋体" w:eastAsia="宋体" w:cs="宋体"/>
                <w:sz w:val="18"/>
                <w:szCs w:val="18"/>
                <w:highlight w:val="none"/>
                <w:lang w:val="en-US" w:eastAsia="zh-CN" w:bidi="zh-CN"/>
              </w:rPr>
              <w:t>项目责任单位</w:t>
            </w:r>
          </w:p>
        </w:tc>
        <w:tc>
          <w:tcPr>
            <w:tcW w:w="1789" w:type="pct"/>
            <w:vAlign w:val="center"/>
          </w:tcPr>
          <w:p w14:paraId="362FB34F">
            <w:pPr>
              <w:keepNext w:val="0"/>
              <w:keepLines w:val="0"/>
              <w:pageBreakBefore w:val="0"/>
              <w:widowControl/>
              <w:kinsoku/>
              <w:wordWrap/>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sz w:val="18"/>
                <w:szCs w:val="18"/>
                <w:highlight w:val="none"/>
                <w:lang w:val="en-US" w:eastAsia="zh-CN" w:bidi="zh-CN"/>
              </w:rPr>
            </w:pPr>
            <w:r>
              <w:rPr>
                <w:rFonts w:hint="eastAsia" w:ascii="宋体" w:hAnsi="宋体" w:eastAsia="宋体" w:cs="宋体"/>
                <w:sz w:val="18"/>
                <w:szCs w:val="18"/>
                <w:highlight w:val="none"/>
                <w:lang w:val="en-US" w:eastAsia="zh-CN" w:bidi="zh-CN"/>
              </w:rPr>
              <w:t>问题</w:t>
            </w:r>
          </w:p>
        </w:tc>
        <w:tc>
          <w:tcPr>
            <w:tcW w:w="2202" w:type="pct"/>
            <w:vAlign w:val="center"/>
          </w:tcPr>
          <w:p w14:paraId="39777261">
            <w:pPr>
              <w:keepNext w:val="0"/>
              <w:keepLines w:val="0"/>
              <w:pageBreakBefore w:val="0"/>
              <w:widowControl/>
              <w:kinsoku/>
              <w:wordWrap/>
              <w:topLinePunct w:val="0"/>
              <w:autoSpaceDE w:val="0"/>
              <w:autoSpaceDN w:val="0"/>
              <w:bidi w:val="0"/>
              <w:adjustRightInd/>
              <w:snapToGrid/>
              <w:spacing w:line="400" w:lineRule="exact"/>
              <w:ind w:firstLine="0" w:firstLineChars="0"/>
              <w:jc w:val="center"/>
              <w:textAlignment w:val="center"/>
              <w:rPr>
                <w:rFonts w:hint="eastAsia" w:ascii="宋体" w:hAnsi="宋体" w:eastAsia="宋体" w:cs="宋体"/>
                <w:sz w:val="18"/>
                <w:szCs w:val="18"/>
                <w:highlight w:val="none"/>
                <w:lang w:val="en-US" w:eastAsia="zh-CN" w:bidi="zh-CN"/>
              </w:rPr>
            </w:pPr>
            <w:r>
              <w:rPr>
                <w:rFonts w:hint="eastAsia" w:ascii="宋体" w:hAnsi="宋体" w:eastAsia="宋体" w:cs="宋体"/>
                <w:sz w:val="18"/>
                <w:szCs w:val="18"/>
                <w:highlight w:val="none"/>
                <w:lang w:val="en-US" w:eastAsia="zh-CN" w:bidi="zh-CN"/>
              </w:rPr>
              <w:t>问题描述</w:t>
            </w:r>
          </w:p>
        </w:tc>
      </w:tr>
      <w:tr w14:paraId="7382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07" w:type="pct"/>
            <w:vAlign w:val="center"/>
          </w:tcPr>
          <w:p w14:paraId="603DBB5B">
            <w:pPr>
              <w:pStyle w:val="30"/>
              <w:keepNext w:val="0"/>
              <w:keepLines w:val="0"/>
              <w:pageBreakBefore w:val="0"/>
              <w:kinsoku/>
              <w:wordWrap/>
              <w:topLinePunct w:val="0"/>
              <w:autoSpaceDE w:val="0"/>
              <w:autoSpaceDN w:val="0"/>
              <w:bidi w:val="0"/>
              <w:adjustRightInd/>
              <w:snapToGrid/>
              <w:spacing w:line="400" w:lineRule="exact"/>
              <w:ind w:right="46" w:rightChars="0" w:firstLine="0" w:firstLineChars="0"/>
              <w:jc w:val="center"/>
              <w:rPr>
                <w:rFonts w:hint="default" w:cs="宋体"/>
                <w:color w:val="000000"/>
                <w:kern w:val="0"/>
                <w:sz w:val="18"/>
                <w:szCs w:val="18"/>
                <w:highlight w:val="none"/>
                <w:lang w:val="en-US" w:eastAsia="zh-CN" w:bidi="zh-CN"/>
              </w:rPr>
            </w:pPr>
            <w:r>
              <w:rPr>
                <w:rFonts w:hint="eastAsia" w:cs="宋体"/>
                <w:color w:val="000000"/>
                <w:kern w:val="0"/>
                <w:sz w:val="18"/>
                <w:szCs w:val="18"/>
                <w:highlight w:val="none"/>
                <w:lang w:val="en-US" w:eastAsia="zh-CN" w:bidi="zh-CN"/>
              </w:rPr>
              <w:t>枣庄高新区社会事务综合服务中心</w:t>
            </w:r>
          </w:p>
        </w:tc>
        <w:tc>
          <w:tcPr>
            <w:tcW w:w="1789" w:type="pct"/>
            <w:vAlign w:val="center"/>
          </w:tcPr>
          <w:p w14:paraId="08DB4792">
            <w:pPr>
              <w:pStyle w:val="30"/>
              <w:keepNext w:val="0"/>
              <w:keepLines w:val="0"/>
              <w:pageBreakBefore w:val="0"/>
              <w:kinsoku/>
              <w:wordWrap/>
              <w:topLinePunct w:val="0"/>
              <w:autoSpaceDE w:val="0"/>
              <w:autoSpaceDN w:val="0"/>
              <w:bidi w:val="0"/>
              <w:adjustRightInd/>
              <w:snapToGrid/>
              <w:spacing w:line="400" w:lineRule="exact"/>
              <w:ind w:left="0" w:leftChars="0" w:right="46" w:rightChars="0" w:firstLine="0" w:firstLineChars="0"/>
              <w:jc w:val="center"/>
              <w:rPr>
                <w:rFonts w:hint="eastAsia" w:ascii="宋体" w:hAnsi="宋体" w:eastAsia="宋体" w:cs="宋体"/>
                <w:color w:val="000000"/>
                <w:kern w:val="0"/>
                <w:sz w:val="18"/>
                <w:szCs w:val="18"/>
                <w:highlight w:val="none"/>
                <w:lang w:val="en-US" w:eastAsia="zh-CN" w:bidi="zh-CN"/>
              </w:rPr>
            </w:pPr>
            <w:r>
              <w:rPr>
                <w:rFonts w:hint="eastAsia" w:ascii="宋体" w:hAnsi="宋体" w:eastAsia="宋体" w:cs="宋体"/>
                <w:color w:val="000000"/>
                <w:kern w:val="0"/>
                <w:sz w:val="18"/>
                <w:szCs w:val="18"/>
                <w:highlight w:val="none"/>
                <w:lang w:val="en-US" w:eastAsia="zh-CN" w:bidi="zh-CN"/>
              </w:rPr>
              <w:t>部分政策的享受人数或企业数较少</w:t>
            </w:r>
          </w:p>
          <w:p w14:paraId="4B5B4B15">
            <w:pPr>
              <w:pStyle w:val="30"/>
              <w:keepNext w:val="0"/>
              <w:keepLines w:val="0"/>
              <w:pageBreakBefore w:val="0"/>
              <w:kinsoku/>
              <w:wordWrap/>
              <w:topLinePunct w:val="0"/>
              <w:autoSpaceDE w:val="0"/>
              <w:autoSpaceDN w:val="0"/>
              <w:bidi w:val="0"/>
              <w:adjustRightInd/>
              <w:snapToGrid/>
              <w:spacing w:line="400" w:lineRule="exact"/>
              <w:ind w:left="0" w:leftChars="0" w:right="46" w:rightChars="0" w:firstLine="0" w:firstLineChars="0"/>
              <w:jc w:val="center"/>
              <w:rPr>
                <w:rFonts w:hint="eastAsia" w:ascii="宋体" w:hAnsi="宋体" w:eastAsia="宋体" w:cs="宋体"/>
                <w:color w:val="000000"/>
                <w:kern w:val="0"/>
                <w:sz w:val="18"/>
                <w:szCs w:val="18"/>
                <w:highlight w:val="none"/>
                <w:lang w:val="en-US" w:eastAsia="zh-CN" w:bidi="zh-CN"/>
              </w:rPr>
            </w:pPr>
          </w:p>
        </w:tc>
        <w:tc>
          <w:tcPr>
            <w:tcW w:w="2202" w:type="pct"/>
            <w:vAlign w:val="center"/>
          </w:tcPr>
          <w:p w14:paraId="06C2EC54">
            <w:pPr>
              <w:pStyle w:val="30"/>
              <w:keepNext w:val="0"/>
              <w:keepLines w:val="0"/>
              <w:pageBreakBefore w:val="0"/>
              <w:kinsoku/>
              <w:wordWrap/>
              <w:topLinePunct w:val="0"/>
              <w:autoSpaceDE w:val="0"/>
              <w:autoSpaceDN w:val="0"/>
              <w:bidi w:val="0"/>
              <w:adjustRightInd/>
              <w:snapToGrid/>
              <w:spacing w:line="400" w:lineRule="exact"/>
              <w:ind w:right="46" w:rightChars="0" w:firstLine="0" w:firstLineChars="0"/>
              <w:jc w:val="center"/>
              <w:rPr>
                <w:rFonts w:hint="default" w:ascii="宋体" w:hAnsi="宋体" w:eastAsia="宋体" w:cs="宋体"/>
                <w:color w:val="000000"/>
                <w:kern w:val="0"/>
                <w:sz w:val="18"/>
                <w:szCs w:val="18"/>
                <w:highlight w:val="none"/>
                <w:lang w:val="en-US" w:eastAsia="zh-CN" w:bidi="zh-CN"/>
              </w:rPr>
            </w:pPr>
            <w:r>
              <w:rPr>
                <w:rFonts w:hint="default" w:ascii="宋体" w:hAnsi="宋体" w:eastAsia="宋体" w:cs="宋体"/>
                <w:color w:val="000000"/>
                <w:kern w:val="0"/>
                <w:sz w:val="18"/>
                <w:szCs w:val="18"/>
                <w:highlight w:val="none"/>
                <w:lang w:val="en-US" w:eastAsia="zh-CN" w:bidi="zh-CN"/>
              </w:rPr>
              <w:t>小微企业招用高校毕业生一次性吸纳就业补贴项目仅2家企业申请并最终享受该政策补贴，小微企业招用高校毕业生社保补贴只有</w:t>
            </w:r>
            <w:r>
              <w:rPr>
                <w:rFonts w:hint="eastAsia" w:cs="宋体"/>
                <w:color w:val="000000"/>
                <w:kern w:val="0"/>
                <w:sz w:val="18"/>
                <w:szCs w:val="18"/>
                <w:highlight w:val="none"/>
                <w:lang w:val="en-US" w:eastAsia="zh-CN" w:bidi="zh-CN"/>
              </w:rPr>
              <w:t>1家</w:t>
            </w:r>
            <w:r>
              <w:rPr>
                <w:rFonts w:hint="default" w:ascii="宋体" w:hAnsi="宋体" w:eastAsia="宋体" w:cs="宋体"/>
                <w:color w:val="000000"/>
                <w:kern w:val="0"/>
                <w:sz w:val="18"/>
                <w:szCs w:val="18"/>
                <w:highlight w:val="none"/>
                <w:lang w:val="en-US" w:eastAsia="zh-CN" w:bidi="zh-CN"/>
              </w:rPr>
              <w:t>公司申请并最终享受该政策补贴</w:t>
            </w:r>
            <w:r>
              <w:rPr>
                <w:rFonts w:hint="eastAsia" w:cs="宋体"/>
                <w:color w:val="000000"/>
                <w:kern w:val="0"/>
                <w:sz w:val="18"/>
                <w:szCs w:val="18"/>
                <w:highlight w:val="none"/>
                <w:lang w:val="en-US" w:eastAsia="zh-CN" w:bidi="zh-CN"/>
              </w:rPr>
              <w:t>。</w:t>
            </w:r>
          </w:p>
        </w:tc>
      </w:tr>
      <w:tr w14:paraId="1486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07" w:type="pct"/>
            <w:vAlign w:val="center"/>
          </w:tcPr>
          <w:p w14:paraId="05FEE5E9">
            <w:pPr>
              <w:pStyle w:val="30"/>
              <w:keepNext w:val="0"/>
              <w:keepLines w:val="0"/>
              <w:pageBreakBefore w:val="0"/>
              <w:kinsoku/>
              <w:wordWrap/>
              <w:topLinePunct w:val="0"/>
              <w:autoSpaceDE w:val="0"/>
              <w:autoSpaceDN w:val="0"/>
              <w:bidi w:val="0"/>
              <w:adjustRightInd/>
              <w:snapToGrid/>
              <w:spacing w:line="400" w:lineRule="exact"/>
              <w:ind w:left="0" w:leftChars="0" w:right="46" w:rightChars="0" w:firstLine="0" w:firstLineChars="0"/>
              <w:jc w:val="center"/>
              <w:rPr>
                <w:rFonts w:hint="eastAsia" w:cs="宋体"/>
                <w:color w:val="000000"/>
                <w:kern w:val="0"/>
                <w:sz w:val="18"/>
                <w:szCs w:val="18"/>
                <w:highlight w:val="none"/>
                <w:lang w:val="en-US" w:eastAsia="zh-CN" w:bidi="zh-CN"/>
              </w:rPr>
            </w:pPr>
            <w:r>
              <w:rPr>
                <w:rFonts w:hint="eastAsia" w:cs="宋体"/>
                <w:color w:val="000000"/>
                <w:kern w:val="0"/>
                <w:sz w:val="18"/>
                <w:szCs w:val="18"/>
                <w:highlight w:val="none"/>
                <w:lang w:val="en-US" w:eastAsia="zh-CN" w:bidi="zh-CN"/>
              </w:rPr>
              <w:t>枣庄高新区社会事务综合服务中心</w:t>
            </w:r>
          </w:p>
        </w:tc>
        <w:tc>
          <w:tcPr>
            <w:tcW w:w="1789" w:type="pct"/>
            <w:vAlign w:val="center"/>
          </w:tcPr>
          <w:p w14:paraId="3A04E605">
            <w:pPr>
              <w:pStyle w:val="30"/>
              <w:keepNext w:val="0"/>
              <w:keepLines w:val="0"/>
              <w:pageBreakBefore w:val="0"/>
              <w:kinsoku/>
              <w:wordWrap/>
              <w:topLinePunct w:val="0"/>
              <w:autoSpaceDE w:val="0"/>
              <w:autoSpaceDN w:val="0"/>
              <w:bidi w:val="0"/>
              <w:adjustRightInd/>
              <w:snapToGrid/>
              <w:spacing w:line="400" w:lineRule="exact"/>
              <w:ind w:left="0" w:leftChars="0" w:right="46" w:rightChars="0" w:firstLine="0" w:firstLineChars="0"/>
              <w:jc w:val="center"/>
              <w:rPr>
                <w:rFonts w:hint="eastAsia" w:ascii="宋体" w:hAnsi="宋体" w:eastAsia="宋体" w:cs="宋体"/>
                <w:color w:val="000000"/>
                <w:kern w:val="0"/>
                <w:sz w:val="18"/>
                <w:szCs w:val="18"/>
                <w:highlight w:val="none"/>
                <w:lang w:val="en-US" w:eastAsia="zh-CN" w:bidi="zh-CN"/>
              </w:rPr>
            </w:pPr>
            <w:r>
              <w:rPr>
                <w:rFonts w:hint="eastAsia" w:ascii="宋体" w:hAnsi="宋体" w:eastAsia="宋体" w:cs="宋体"/>
                <w:color w:val="000000"/>
                <w:kern w:val="0"/>
                <w:sz w:val="18"/>
                <w:szCs w:val="18"/>
                <w:highlight w:val="none"/>
                <w:lang w:val="en-US" w:eastAsia="zh-CN" w:bidi="zh-CN"/>
              </w:rPr>
              <w:t>企业急需紧缺人才补贴项目审核工作不规范，档案保存不完整</w:t>
            </w:r>
          </w:p>
        </w:tc>
        <w:tc>
          <w:tcPr>
            <w:tcW w:w="2202" w:type="pct"/>
            <w:vAlign w:val="center"/>
          </w:tcPr>
          <w:p w14:paraId="3F135559">
            <w:pPr>
              <w:pStyle w:val="30"/>
              <w:keepNext w:val="0"/>
              <w:keepLines w:val="0"/>
              <w:pageBreakBefore w:val="0"/>
              <w:kinsoku/>
              <w:wordWrap/>
              <w:topLinePunct w:val="0"/>
              <w:autoSpaceDE w:val="0"/>
              <w:autoSpaceDN w:val="0"/>
              <w:bidi w:val="0"/>
              <w:adjustRightInd/>
              <w:snapToGrid/>
              <w:spacing w:line="400" w:lineRule="exact"/>
              <w:ind w:right="46" w:rightChars="0" w:firstLine="0" w:firstLineChars="0"/>
              <w:jc w:val="center"/>
              <w:rPr>
                <w:rFonts w:hint="default" w:ascii="宋体" w:hAnsi="宋体" w:eastAsia="宋体" w:cs="宋体"/>
                <w:color w:val="000000"/>
                <w:kern w:val="0"/>
                <w:sz w:val="18"/>
                <w:szCs w:val="18"/>
                <w:highlight w:val="none"/>
                <w:lang w:val="en-US" w:eastAsia="zh-CN" w:bidi="zh-CN"/>
              </w:rPr>
            </w:pPr>
            <w:r>
              <w:rPr>
                <w:rFonts w:hint="default" w:ascii="宋体" w:hAnsi="宋体" w:eastAsia="宋体" w:cs="宋体"/>
                <w:color w:val="000000"/>
                <w:kern w:val="0"/>
                <w:sz w:val="18"/>
                <w:szCs w:val="18"/>
                <w:highlight w:val="none"/>
                <w:lang w:val="en-US" w:eastAsia="zh-CN" w:bidi="zh-CN"/>
              </w:rPr>
              <w:t>企业急需紧缺人才项目的申请材料由枣庄智创人力资源服务有限公司进行审核，枣庄高新区社会事务综合服务中心未</w:t>
            </w:r>
            <w:r>
              <w:rPr>
                <w:rFonts w:hint="eastAsia" w:cs="宋体"/>
                <w:color w:val="000000"/>
                <w:kern w:val="0"/>
                <w:sz w:val="18"/>
                <w:szCs w:val="18"/>
                <w:highlight w:val="none"/>
                <w:lang w:val="en-US" w:eastAsia="zh-CN" w:bidi="zh-CN"/>
              </w:rPr>
              <w:t>对其工作进行考核，也未</w:t>
            </w:r>
            <w:r>
              <w:rPr>
                <w:rFonts w:hint="default" w:ascii="宋体" w:hAnsi="宋体" w:eastAsia="宋体" w:cs="宋体"/>
                <w:color w:val="000000"/>
                <w:kern w:val="0"/>
                <w:sz w:val="18"/>
                <w:szCs w:val="18"/>
                <w:highlight w:val="none"/>
                <w:lang w:val="en-US" w:eastAsia="zh-CN" w:bidi="zh-CN"/>
              </w:rPr>
              <w:t>将相关资料进行存档</w:t>
            </w:r>
            <w:r>
              <w:rPr>
                <w:rFonts w:hint="eastAsia" w:cs="宋体"/>
                <w:color w:val="000000"/>
                <w:kern w:val="0"/>
                <w:sz w:val="18"/>
                <w:szCs w:val="18"/>
                <w:highlight w:val="none"/>
                <w:lang w:val="en-US" w:eastAsia="zh-CN" w:bidi="zh-CN"/>
              </w:rPr>
              <w:t>。</w:t>
            </w:r>
          </w:p>
        </w:tc>
      </w:tr>
      <w:tr w14:paraId="4368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07" w:type="pct"/>
            <w:vAlign w:val="center"/>
          </w:tcPr>
          <w:p w14:paraId="1F7C6632">
            <w:pPr>
              <w:pStyle w:val="9"/>
              <w:keepNext w:val="0"/>
              <w:keepLines w:val="0"/>
              <w:pageBreakBefore w:val="0"/>
              <w:kinsoku/>
              <w:wordWrap/>
              <w:overflowPunct w:val="0"/>
              <w:topLinePunct w:val="0"/>
              <w:autoSpaceDE w:val="0"/>
              <w:autoSpaceDN w:val="0"/>
              <w:bidi w:val="0"/>
              <w:adjustRightInd/>
              <w:snapToGrid/>
              <w:spacing w:line="400" w:lineRule="exact"/>
              <w:ind w:firstLine="0" w:firstLineChars="0"/>
              <w:jc w:val="center"/>
              <w:rPr>
                <w:rFonts w:hint="default" w:ascii="宋体" w:hAnsi="宋体" w:eastAsia="宋体" w:cs="宋体"/>
                <w:color w:val="000000"/>
                <w:kern w:val="0"/>
                <w:sz w:val="18"/>
                <w:szCs w:val="18"/>
                <w:highlight w:val="none"/>
                <w:lang w:val="en-US" w:eastAsia="zh-CN" w:bidi="zh-CN"/>
              </w:rPr>
            </w:pPr>
            <w:r>
              <w:rPr>
                <w:rFonts w:hint="default" w:ascii="宋体" w:hAnsi="宋体" w:eastAsia="宋体" w:cs="宋体"/>
                <w:color w:val="000000"/>
                <w:kern w:val="0"/>
                <w:sz w:val="18"/>
                <w:szCs w:val="18"/>
                <w:highlight w:val="none"/>
                <w:lang w:val="en-US" w:eastAsia="zh-CN" w:bidi="zh-CN"/>
              </w:rPr>
              <w:t>枣庄高新区社会事务综合服务中心</w:t>
            </w:r>
          </w:p>
        </w:tc>
        <w:tc>
          <w:tcPr>
            <w:tcW w:w="1789" w:type="pct"/>
            <w:vAlign w:val="center"/>
          </w:tcPr>
          <w:p w14:paraId="17A882A6">
            <w:pPr>
              <w:pStyle w:val="9"/>
              <w:keepNext w:val="0"/>
              <w:keepLines w:val="0"/>
              <w:pageBreakBefore w:val="0"/>
              <w:kinsoku/>
              <w:wordWrap/>
              <w:overflowPunct w:val="0"/>
              <w:topLinePunct w:val="0"/>
              <w:autoSpaceDE w:val="0"/>
              <w:autoSpaceDN w:val="0"/>
              <w:bidi w:val="0"/>
              <w:adjustRightInd/>
              <w:snapToGrid/>
              <w:spacing w:line="400" w:lineRule="exact"/>
              <w:ind w:firstLine="0" w:firstLineChars="0"/>
              <w:jc w:val="center"/>
              <w:rPr>
                <w:rFonts w:hint="eastAsia" w:ascii="宋体" w:hAnsi="宋体" w:eastAsia="宋体" w:cs="宋体"/>
                <w:color w:val="000000"/>
                <w:kern w:val="0"/>
                <w:sz w:val="18"/>
                <w:szCs w:val="18"/>
                <w:highlight w:val="none"/>
                <w:lang w:val="en-US" w:eastAsia="zh-CN" w:bidi="zh-CN"/>
              </w:rPr>
            </w:pPr>
            <w:r>
              <w:rPr>
                <w:rFonts w:hint="eastAsia" w:ascii="宋体" w:hAnsi="宋体" w:eastAsia="宋体" w:cs="宋体"/>
                <w:color w:val="000000"/>
                <w:kern w:val="0"/>
                <w:sz w:val="18"/>
                <w:szCs w:val="18"/>
                <w:highlight w:val="none"/>
                <w:lang w:val="en-US" w:eastAsia="zh-CN" w:bidi="zh-CN"/>
              </w:rPr>
              <w:t>预算编制不合理，存在多个项目打包处理现象</w:t>
            </w:r>
          </w:p>
        </w:tc>
        <w:tc>
          <w:tcPr>
            <w:tcW w:w="2202" w:type="pct"/>
            <w:vAlign w:val="center"/>
          </w:tcPr>
          <w:p w14:paraId="25F7CE70">
            <w:pPr>
              <w:pStyle w:val="9"/>
              <w:keepNext w:val="0"/>
              <w:keepLines w:val="0"/>
              <w:pageBreakBefore w:val="0"/>
              <w:kinsoku/>
              <w:wordWrap/>
              <w:overflowPunct w:val="0"/>
              <w:topLinePunct w:val="0"/>
              <w:autoSpaceDE w:val="0"/>
              <w:autoSpaceDN w:val="0"/>
              <w:bidi w:val="0"/>
              <w:adjustRightInd/>
              <w:snapToGrid/>
              <w:spacing w:line="400" w:lineRule="exact"/>
              <w:ind w:firstLine="0" w:firstLineChars="0"/>
              <w:jc w:val="center"/>
              <w:rPr>
                <w:rFonts w:hint="default" w:ascii="宋体" w:hAnsi="宋体" w:eastAsia="宋体" w:cs="宋体"/>
                <w:color w:val="000000"/>
                <w:kern w:val="0"/>
                <w:sz w:val="18"/>
                <w:szCs w:val="18"/>
                <w:highlight w:val="none"/>
                <w:lang w:val="en-US" w:eastAsia="zh-CN" w:bidi="zh-CN"/>
              </w:rPr>
            </w:pPr>
            <w:r>
              <w:rPr>
                <w:rFonts w:hint="default" w:ascii="宋体" w:hAnsi="宋体" w:eastAsia="宋体" w:cs="宋体"/>
                <w:color w:val="000000"/>
                <w:kern w:val="0"/>
                <w:sz w:val="18"/>
                <w:szCs w:val="18"/>
                <w:highlight w:val="none"/>
                <w:lang w:val="en-US" w:eastAsia="zh-CN" w:bidi="zh-CN"/>
              </w:rPr>
              <w:t>将所有的人力政策补贴项目打包编制预算</w:t>
            </w:r>
            <w:r>
              <w:rPr>
                <w:rFonts w:hint="eastAsia" w:ascii="宋体" w:hAnsi="宋体" w:eastAsia="宋体" w:cs="宋体"/>
                <w:color w:val="000000"/>
                <w:kern w:val="0"/>
                <w:sz w:val="18"/>
                <w:szCs w:val="18"/>
                <w:highlight w:val="none"/>
                <w:lang w:val="en-US" w:eastAsia="zh-CN" w:bidi="zh-CN"/>
              </w:rPr>
              <w:t>。</w:t>
            </w:r>
          </w:p>
        </w:tc>
      </w:tr>
      <w:bookmarkEnd w:id="646"/>
    </w:tbl>
    <w:p w14:paraId="76A67B27">
      <w:pPr>
        <w:pStyle w:val="3"/>
        <w:bidi w:val="0"/>
        <w:rPr>
          <w:rFonts w:hint="eastAsia"/>
          <w:color w:val="auto"/>
          <w:lang w:val="en-US" w:eastAsia="zh-CN"/>
        </w:rPr>
      </w:pPr>
      <w:bookmarkStart w:id="647" w:name="_Toc30206"/>
      <w:bookmarkStart w:id="648" w:name="_Toc24871"/>
      <w:bookmarkStart w:id="649" w:name="_Toc3997"/>
      <w:bookmarkStart w:id="650" w:name="_Toc12309"/>
      <w:bookmarkStart w:id="651" w:name="_Toc2719"/>
      <w:bookmarkStart w:id="652" w:name="_Toc3927"/>
      <w:bookmarkStart w:id="653" w:name="_Toc15987"/>
      <w:bookmarkStart w:id="654" w:name="_Toc9488"/>
      <w:bookmarkStart w:id="655" w:name="_Toc26041"/>
      <w:bookmarkStart w:id="656" w:name="_Toc3009"/>
      <w:bookmarkStart w:id="657" w:name="_Toc27659"/>
      <w:bookmarkStart w:id="658" w:name="_Toc10509"/>
      <w:bookmarkStart w:id="659" w:name="_Toc9368"/>
      <w:bookmarkStart w:id="660" w:name="_Toc26612"/>
      <w:bookmarkStart w:id="661" w:name="_Toc6627"/>
      <w:bookmarkStart w:id="662" w:name="_Toc29155"/>
      <w:bookmarkStart w:id="663" w:name="_Toc24573"/>
    </w:p>
    <w:p w14:paraId="41AC6254">
      <w:pPr>
        <w:pStyle w:val="3"/>
        <w:bidi w:val="0"/>
        <w:rPr>
          <w:rFonts w:hint="eastAsia"/>
          <w:color w:val="auto"/>
          <w:lang w:val="en-US" w:eastAsia="zh-CN"/>
        </w:rPr>
      </w:pPr>
    </w:p>
    <w:p w14:paraId="1E263943">
      <w:pPr>
        <w:pStyle w:val="3"/>
        <w:bidi w:val="0"/>
        <w:rPr>
          <w:rFonts w:hint="eastAsia"/>
          <w:color w:val="auto"/>
          <w:lang w:val="en-US" w:eastAsia="zh-CN"/>
        </w:rPr>
      </w:pPr>
    </w:p>
    <w:p w14:paraId="6819B2E5">
      <w:pPr>
        <w:pStyle w:val="3"/>
        <w:bidi w:val="0"/>
        <w:rPr>
          <w:rFonts w:hint="eastAsia"/>
          <w:color w:val="auto"/>
          <w:lang w:val="en-US" w:eastAsia="zh-CN"/>
        </w:rPr>
      </w:pPr>
    </w:p>
    <w:p w14:paraId="1E07F709">
      <w:pPr>
        <w:pStyle w:val="3"/>
        <w:bidi w:val="0"/>
        <w:rPr>
          <w:rFonts w:hint="eastAsia"/>
          <w:color w:val="auto"/>
          <w:lang w:val="en-US" w:eastAsia="zh-CN"/>
        </w:rPr>
      </w:pPr>
    </w:p>
    <w:p w14:paraId="6CF42586">
      <w:pPr>
        <w:pStyle w:val="3"/>
        <w:bidi w:val="0"/>
        <w:rPr>
          <w:rFonts w:hint="eastAsia"/>
          <w:color w:val="auto"/>
          <w:lang w:val="en-US" w:eastAsia="zh-CN"/>
        </w:rPr>
      </w:pPr>
    </w:p>
    <w:p w14:paraId="1AFEA993">
      <w:pPr>
        <w:pStyle w:val="3"/>
        <w:bidi w:val="0"/>
        <w:rPr>
          <w:rFonts w:hint="eastAsia"/>
          <w:color w:val="auto"/>
          <w:lang w:val="en-US" w:eastAsia="zh-CN"/>
        </w:rPr>
      </w:pPr>
    </w:p>
    <w:p w14:paraId="4DBE4980">
      <w:pPr>
        <w:pStyle w:val="3"/>
        <w:bidi w:val="0"/>
        <w:rPr>
          <w:rFonts w:hint="eastAsia"/>
          <w:color w:val="auto"/>
          <w:lang w:val="en-US" w:eastAsia="zh-CN"/>
        </w:rPr>
      </w:pPr>
    </w:p>
    <w:p w14:paraId="3B88EE92">
      <w:pPr>
        <w:pStyle w:val="3"/>
        <w:bidi w:val="0"/>
        <w:rPr>
          <w:rFonts w:hint="eastAsia"/>
          <w:color w:val="auto"/>
          <w:lang w:val="en-US" w:eastAsia="zh-CN"/>
        </w:rPr>
      </w:pPr>
      <w:bookmarkStart w:id="664" w:name="_Toc27633"/>
      <w:bookmarkStart w:id="665" w:name="_Toc14637"/>
      <w:bookmarkStart w:id="666" w:name="_Toc11342"/>
    </w:p>
    <w:p w14:paraId="0AA50570">
      <w:pPr>
        <w:pStyle w:val="3"/>
        <w:bidi w:val="0"/>
        <w:rPr>
          <w:rFonts w:hint="eastAsia" w:eastAsia="黑体"/>
          <w:color w:val="auto"/>
          <w:lang w:eastAsia="zh-CN"/>
        </w:rPr>
      </w:pPr>
      <w:r>
        <w:rPr>
          <w:rFonts w:hint="eastAsia"/>
          <w:color w:val="auto"/>
          <w:lang w:val="en-US" w:eastAsia="zh-CN"/>
        </w:rPr>
        <w:t>附件三、</w:t>
      </w:r>
      <w:r>
        <w:rPr>
          <w:rFonts w:hint="eastAsia"/>
          <w:color w:val="auto"/>
        </w:rPr>
        <w:t>调查问卷</w:t>
      </w:r>
      <w:bookmarkEnd w:id="647"/>
      <w:bookmarkEnd w:id="648"/>
      <w:r>
        <w:rPr>
          <w:rFonts w:hint="eastAsia"/>
          <w:color w:val="auto"/>
          <w:lang w:eastAsia="zh-CN"/>
        </w:rPr>
        <w:t>及统计表</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A1C519A">
      <w:pPr>
        <w:numPr>
          <w:ilvl w:val="0"/>
          <w:numId w:val="0"/>
        </w:numPr>
        <w:rPr>
          <w:color w:val="auto"/>
          <w:highlight w:val="none"/>
        </w:rPr>
      </w:pPr>
    </w:p>
    <w:p w14:paraId="769828CA">
      <w:pPr>
        <w:pStyle w:val="21"/>
        <w:bidi w:val="0"/>
        <w:jc w:val="center"/>
        <w:rPr>
          <w:rFonts w:hint="eastAsia" w:ascii="黑体" w:hAnsi="黑体" w:eastAsia="黑体" w:cs="黑体"/>
          <w:color w:val="auto"/>
          <w:lang w:val="en-US" w:eastAsia="zh-CN"/>
        </w:rPr>
      </w:pPr>
      <w:bookmarkStart w:id="667" w:name="_Toc21251"/>
      <w:bookmarkStart w:id="668" w:name="_Toc6173"/>
      <w:bookmarkStart w:id="669" w:name="_Toc20200"/>
      <w:bookmarkStart w:id="670" w:name="_Toc19638"/>
      <w:bookmarkStart w:id="671" w:name="_Toc27449"/>
      <w:bookmarkStart w:id="672" w:name="_Toc1001"/>
      <w:bookmarkStart w:id="673" w:name="_Toc25592"/>
      <w:r>
        <w:rPr>
          <w:rFonts w:hint="eastAsia" w:ascii="黑体" w:hAnsi="黑体" w:eastAsia="黑体" w:cs="黑体"/>
          <w:color w:val="auto"/>
          <w:lang w:val="en-US" w:eastAsia="zh-CN"/>
        </w:rPr>
        <w:t>2022年枣庄市高新区人力资源项目绩效评价</w:t>
      </w:r>
      <w:bookmarkEnd w:id="667"/>
      <w:bookmarkEnd w:id="668"/>
      <w:bookmarkEnd w:id="669"/>
      <w:bookmarkEnd w:id="670"/>
      <w:bookmarkEnd w:id="671"/>
      <w:bookmarkEnd w:id="672"/>
      <w:bookmarkEnd w:id="673"/>
    </w:p>
    <w:p w14:paraId="2FB9E886">
      <w:pPr>
        <w:pStyle w:val="21"/>
        <w:bidi w:val="0"/>
        <w:jc w:val="center"/>
        <w:rPr>
          <w:rFonts w:hint="eastAsia" w:ascii="黑体" w:hAnsi="黑体" w:eastAsia="黑体" w:cs="黑体"/>
          <w:color w:val="auto"/>
          <w:lang w:val="en-US" w:eastAsia="zh-CN"/>
        </w:rPr>
      </w:pPr>
      <w:bookmarkStart w:id="674" w:name="_Toc4963"/>
      <w:bookmarkStart w:id="675" w:name="_Toc11261"/>
      <w:bookmarkStart w:id="676" w:name="_Toc5518"/>
      <w:bookmarkStart w:id="677" w:name="_Toc26595"/>
      <w:bookmarkStart w:id="678" w:name="_Toc18645"/>
      <w:bookmarkStart w:id="679" w:name="_Toc25459"/>
      <w:bookmarkStart w:id="680" w:name="_Toc23423"/>
      <w:r>
        <w:rPr>
          <w:rFonts w:hint="eastAsia" w:ascii="黑体" w:hAnsi="黑体" w:eastAsia="黑体" w:cs="黑体"/>
          <w:color w:val="auto"/>
          <w:lang w:val="en-US" w:eastAsia="zh-CN"/>
        </w:rPr>
        <w:t>问卷调查表</w:t>
      </w:r>
      <w:bookmarkEnd w:id="674"/>
      <w:bookmarkEnd w:id="675"/>
      <w:bookmarkEnd w:id="676"/>
      <w:bookmarkEnd w:id="677"/>
      <w:bookmarkEnd w:id="678"/>
      <w:bookmarkEnd w:id="679"/>
      <w:bookmarkEnd w:id="680"/>
    </w:p>
    <w:p w14:paraId="57561B03">
      <w:pPr>
        <w:pStyle w:val="9"/>
        <w:bidi w:val="0"/>
        <w:rPr>
          <w:rFonts w:hint="eastAsia"/>
          <w:color w:val="auto"/>
          <w:lang w:val="en-US" w:eastAsia="zh-CN"/>
        </w:rPr>
      </w:pPr>
      <w:bookmarkStart w:id="681" w:name="_Toc19000"/>
      <w:bookmarkStart w:id="682" w:name="_Toc19370"/>
      <w:r>
        <w:rPr>
          <w:rFonts w:hint="eastAsia"/>
          <w:color w:val="auto"/>
          <w:lang w:val="en-US" w:eastAsia="zh-CN"/>
        </w:rPr>
        <w:t>尊敬的市民您好！为了解2022年度枣庄市高新区人力资源项目的满意度，提升人才经费使用效率，现针对人力资源各补贴项目对您进行满意度访问，请您如实填写本问卷，在相应的选项前画“√”。感谢您的支持！</w:t>
      </w:r>
      <w:bookmarkEnd w:id="681"/>
      <w:bookmarkEnd w:id="682"/>
    </w:p>
    <w:p w14:paraId="6D5E902C">
      <w:pPr>
        <w:pStyle w:val="9"/>
        <w:bidi w:val="0"/>
        <w:rPr>
          <w:rFonts w:hint="default"/>
          <w:color w:val="auto"/>
          <w:lang w:val="en-US" w:eastAsia="zh-CN"/>
        </w:rPr>
      </w:pPr>
      <w:bookmarkStart w:id="683" w:name="_Toc12311"/>
      <w:bookmarkStart w:id="684" w:name="_Toc4480"/>
      <w:r>
        <w:rPr>
          <w:rFonts w:hint="eastAsia"/>
          <w:color w:val="auto"/>
          <w:lang w:val="en-US" w:eastAsia="zh-CN"/>
        </w:rPr>
        <w:t>1.您对人才补贴政策的整体满意度是?</w:t>
      </w:r>
      <w:bookmarkEnd w:id="683"/>
      <w:bookmarkEnd w:id="684"/>
    </w:p>
    <w:p w14:paraId="1B40CE0C">
      <w:pPr>
        <w:pStyle w:val="9"/>
        <w:bidi w:val="0"/>
        <w:rPr>
          <w:rFonts w:hint="default"/>
          <w:color w:val="auto"/>
          <w:lang w:val="en-US" w:eastAsia="zh-CN"/>
        </w:rPr>
      </w:pPr>
      <w:bookmarkStart w:id="685" w:name="_Toc22241"/>
      <w:bookmarkStart w:id="686" w:name="_Toc20097"/>
      <w:r>
        <w:rPr>
          <w:rFonts w:hint="eastAsia"/>
          <w:color w:val="auto"/>
          <w:lang w:val="en-US" w:eastAsia="zh-CN"/>
        </w:rPr>
        <w:t>A.满意  B.较满意  C.一般  D.不满意</w:t>
      </w:r>
      <w:bookmarkEnd w:id="685"/>
      <w:bookmarkEnd w:id="686"/>
    </w:p>
    <w:p w14:paraId="56D7B5D9">
      <w:pPr>
        <w:pStyle w:val="9"/>
        <w:bidi w:val="0"/>
        <w:rPr>
          <w:rFonts w:hint="eastAsia"/>
          <w:color w:val="auto"/>
          <w:lang w:val="en-US" w:eastAsia="zh-CN"/>
        </w:rPr>
      </w:pPr>
      <w:bookmarkStart w:id="687" w:name="_Toc14173"/>
      <w:bookmarkStart w:id="688" w:name="_Toc19199"/>
      <w:r>
        <w:rPr>
          <w:rFonts w:hint="eastAsia"/>
          <w:color w:val="auto"/>
          <w:lang w:val="en-US" w:eastAsia="zh-CN"/>
        </w:rPr>
        <w:t>2.您对人才补贴的申请条件是否满意?</w:t>
      </w:r>
      <w:bookmarkEnd w:id="687"/>
      <w:bookmarkEnd w:id="688"/>
      <w:bookmarkStart w:id="689" w:name="_Toc18211"/>
      <w:bookmarkStart w:id="690" w:name="_Toc21471"/>
    </w:p>
    <w:p w14:paraId="6841C7EB">
      <w:pPr>
        <w:pStyle w:val="9"/>
        <w:bidi w:val="0"/>
        <w:rPr>
          <w:rFonts w:hint="default"/>
          <w:color w:val="auto"/>
          <w:lang w:val="en-US" w:eastAsia="zh-CN"/>
        </w:rPr>
      </w:pPr>
      <w:r>
        <w:rPr>
          <w:rFonts w:hint="eastAsia"/>
          <w:color w:val="auto"/>
          <w:lang w:val="en-US" w:eastAsia="zh-CN"/>
        </w:rPr>
        <w:t>A.满意  B.较满意  C.一般  D.不满意</w:t>
      </w:r>
      <w:bookmarkEnd w:id="689"/>
      <w:bookmarkEnd w:id="690"/>
    </w:p>
    <w:p w14:paraId="5A8666D8">
      <w:pPr>
        <w:pStyle w:val="9"/>
        <w:bidi w:val="0"/>
        <w:rPr>
          <w:rFonts w:hint="eastAsia"/>
          <w:color w:val="auto"/>
          <w:lang w:val="en-US" w:eastAsia="zh-CN"/>
        </w:rPr>
      </w:pPr>
      <w:bookmarkStart w:id="691" w:name="_Toc5382"/>
      <w:bookmarkStart w:id="692" w:name="_Toc21360"/>
      <w:r>
        <w:rPr>
          <w:rFonts w:hint="eastAsia"/>
          <w:color w:val="auto"/>
          <w:lang w:val="en-US" w:eastAsia="zh-CN"/>
        </w:rPr>
        <w:t>3.您对政府人员提供的服务是否满意？</w:t>
      </w:r>
      <w:bookmarkEnd w:id="691"/>
      <w:bookmarkEnd w:id="692"/>
    </w:p>
    <w:p w14:paraId="0D0CE036">
      <w:pPr>
        <w:pStyle w:val="9"/>
        <w:bidi w:val="0"/>
        <w:rPr>
          <w:rFonts w:hint="eastAsia"/>
          <w:color w:val="auto"/>
          <w:lang w:val="en-US" w:eastAsia="zh-CN"/>
        </w:rPr>
      </w:pPr>
      <w:bookmarkStart w:id="693" w:name="_Toc31163"/>
      <w:bookmarkStart w:id="694" w:name="_Toc19917"/>
      <w:r>
        <w:rPr>
          <w:rFonts w:hint="eastAsia"/>
          <w:color w:val="auto"/>
          <w:lang w:val="en-US" w:eastAsia="zh-CN"/>
        </w:rPr>
        <w:t>A.满意  B.较满意  C.一般  D.不满意</w:t>
      </w:r>
      <w:bookmarkEnd w:id="693"/>
      <w:bookmarkEnd w:id="694"/>
    </w:p>
    <w:p w14:paraId="2A0EA57A">
      <w:pPr>
        <w:pStyle w:val="9"/>
        <w:bidi w:val="0"/>
        <w:rPr>
          <w:rFonts w:hint="eastAsia"/>
          <w:color w:val="auto"/>
          <w:lang w:val="en-US" w:eastAsia="zh-CN"/>
        </w:rPr>
      </w:pPr>
      <w:bookmarkStart w:id="695" w:name="_Toc20115"/>
      <w:bookmarkStart w:id="696" w:name="_Toc23708"/>
      <w:r>
        <w:rPr>
          <w:rFonts w:hint="eastAsia"/>
          <w:color w:val="auto"/>
          <w:lang w:val="en-US" w:eastAsia="zh-CN"/>
        </w:rPr>
        <w:t>4.您对人才补贴的具体经办流程等是否满意？</w:t>
      </w:r>
      <w:bookmarkEnd w:id="695"/>
      <w:bookmarkEnd w:id="696"/>
      <w:r>
        <w:rPr>
          <w:rFonts w:hint="eastAsia"/>
          <w:color w:val="auto"/>
          <w:lang w:val="en-US" w:eastAsia="zh-CN"/>
        </w:rPr>
        <w:t xml:space="preserve">  </w:t>
      </w:r>
    </w:p>
    <w:p w14:paraId="2791EC4A">
      <w:pPr>
        <w:pStyle w:val="9"/>
        <w:bidi w:val="0"/>
        <w:rPr>
          <w:rFonts w:hint="eastAsia"/>
          <w:color w:val="auto"/>
          <w:lang w:val="en-US" w:eastAsia="zh-CN"/>
        </w:rPr>
      </w:pPr>
      <w:r>
        <w:rPr>
          <w:rFonts w:hint="eastAsia"/>
          <w:color w:val="auto"/>
          <w:lang w:val="en-US" w:eastAsia="zh-CN"/>
        </w:rPr>
        <w:t xml:space="preserve"> </w:t>
      </w:r>
      <w:bookmarkStart w:id="697" w:name="_Toc25450"/>
      <w:bookmarkStart w:id="698" w:name="_Toc5331"/>
      <w:r>
        <w:rPr>
          <w:rFonts w:hint="eastAsia"/>
          <w:color w:val="auto"/>
          <w:lang w:val="en-US" w:eastAsia="zh-CN"/>
        </w:rPr>
        <w:t>A.满意  B.较满意  C.一般  D.不满意</w:t>
      </w:r>
      <w:bookmarkEnd w:id="697"/>
      <w:bookmarkEnd w:id="698"/>
    </w:p>
    <w:p w14:paraId="04AA5114">
      <w:pPr>
        <w:pStyle w:val="9"/>
        <w:bidi w:val="0"/>
        <w:rPr>
          <w:rFonts w:hint="eastAsia"/>
          <w:color w:val="auto"/>
          <w:lang w:val="en-US" w:eastAsia="zh-CN"/>
        </w:rPr>
      </w:pPr>
      <w:bookmarkStart w:id="699" w:name="_Toc19112"/>
      <w:bookmarkStart w:id="700" w:name="_Toc28284"/>
      <w:r>
        <w:rPr>
          <w:rFonts w:hint="eastAsia"/>
          <w:color w:val="auto"/>
          <w:lang w:val="en-US" w:eastAsia="zh-CN"/>
        </w:rPr>
        <w:t>5.您对人才补贴政策还有什么建议?</w:t>
      </w:r>
      <w:bookmarkEnd w:id="699"/>
      <w:bookmarkEnd w:id="700"/>
    </w:p>
    <w:p w14:paraId="04B913B2">
      <w:pPr>
        <w:pStyle w:val="9"/>
        <w:bidi w:val="0"/>
        <w:rPr>
          <w:rFonts w:hint="eastAsia"/>
          <w:color w:val="auto"/>
          <w:lang w:val="en-US" w:eastAsia="zh-CN"/>
        </w:rPr>
      </w:pPr>
    </w:p>
    <w:p w14:paraId="2C01348B">
      <w:pPr>
        <w:pStyle w:val="9"/>
        <w:bidi w:val="0"/>
        <w:rPr>
          <w:rFonts w:hint="eastAsia"/>
          <w:color w:val="auto"/>
          <w:lang w:val="en-US" w:eastAsia="zh-CN"/>
        </w:rPr>
      </w:pPr>
    </w:p>
    <w:p w14:paraId="4395C640">
      <w:pPr>
        <w:tabs>
          <w:tab w:val="left" w:pos="1503"/>
        </w:tabs>
        <w:bidi w:val="0"/>
        <w:ind w:left="0" w:leftChars="0" w:firstLine="0" w:firstLineChars="0"/>
        <w:jc w:val="left"/>
        <w:rPr>
          <w:rFonts w:hint="eastAsia"/>
          <w:color w:val="auto"/>
          <w:lang w:val="en-US" w:eastAsia="zh-CN"/>
        </w:rPr>
      </w:pPr>
      <w:bookmarkStart w:id="701" w:name="_Toc19099"/>
      <w:bookmarkStart w:id="702" w:name="_Toc839"/>
      <w:r>
        <w:rPr>
          <w:rFonts w:hint="eastAsia"/>
          <w:color w:val="auto"/>
          <w:lang w:val="en-US" w:eastAsia="zh-CN"/>
        </w:rPr>
        <w:t>注：选A得25分，选B得15分，选C得8分，选D得0分</w:t>
      </w:r>
      <w:bookmarkEnd w:id="701"/>
      <w:bookmarkEnd w:id="702"/>
    </w:p>
    <w:p w14:paraId="2ADC21A1">
      <w:pPr>
        <w:pStyle w:val="21"/>
        <w:rPr>
          <w:rFonts w:hint="eastAsia"/>
          <w:color w:val="auto"/>
          <w:lang w:val="en-US" w:eastAsia="zh-CN"/>
        </w:rPr>
      </w:pPr>
    </w:p>
    <w:p w14:paraId="73512A11">
      <w:pPr>
        <w:pStyle w:val="20"/>
        <w:rPr>
          <w:rFonts w:hint="eastAsia"/>
          <w:color w:val="auto"/>
          <w:lang w:val="en-US" w:eastAsia="zh-CN"/>
        </w:rPr>
      </w:pPr>
    </w:p>
    <w:p w14:paraId="5435FBD1">
      <w:pPr>
        <w:pStyle w:val="21"/>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outlineLvl w:val="0"/>
        <w:rPr>
          <w:rFonts w:hint="eastAsia"/>
          <w:b/>
          <w:bCs/>
          <w:color w:val="auto"/>
          <w:lang w:val="en-US" w:eastAsia="zh-CN"/>
        </w:rPr>
      </w:pPr>
      <w:bookmarkStart w:id="703" w:name="_Toc20675"/>
      <w:bookmarkStart w:id="704" w:name="_Toc29919"/>
      <w:bookmarkStart w:id="705" w:name="_Toc19055"/>
      <w:bookmarkStart w:id="706" w:name="_Toc12715"/>
      <w:bookmarkStart w:id="707" w:name="_Toc14748"/>
      <w:bookmarkStart w:id="708" w:name="_Toc23505"/>
      <w:bookmarkStart w:id="709" w:name="_Toc9618"/>
      <w:bookmarkStart w:id="710" w:name="_Toc2812"/>
      <w:bookmarkStart w:id="711" w:name="_Toc11633"/>
      <w:bookmarkStart w:id="712" w:name="_Toc2598"/>
      <w:bookmarkStart w:id="713" w:name="_Toc13440"/>
      <w:bookmarkStart w:id="714" w:name="_Toc31652"/>
      <w:bookmarkStart w:id="715" w:name="_Toc22272"/>
      <w:bookmarkStart w:id="716" w:name="_Toc2848"/>
      <w:bookmarkStart w:id="717" w:name="_Toc108"/>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5349B7A0">
      <w:pPr>
        <w:pStyle w:val="21"/>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outlineLvl w:val="0"/>
        <w:rPr>
          <w:rFonts w:hint="eastAsia"/>
          <w:lang w:val="en-US" w:eastAsia="zh-CN"/>
        </w:rPr>
      </w:pPr>
      <w:bookmarkStart w:id="718" w:name="_Toc26593"/>
      <w:bookmarkStart w:id="719" w:name="_Toc12023"/>
      <w:bookmarkStart w:id="720" w:name="_Toc24475"/>
      <w:r>
        <w:rPr>
          <w:rFonts w:hint="eastAsia"/>
          <w:b/>
          <w:bCs/>
          <w:color w:val="auto"/>
          <w:lang w:val="en-US" w:eastAsia="zh-CN"/>
        </w:rPr>
        <w:t>受益人群问卷统计表</w:t>
      </w:r>
      <w:bookmarkEnd w:id="718"/>
      <w:bookmarkEnd w:id="719"/>
      <w:bookmarkEnd w:id="72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507"/>
        <w:gridCol w:w="409"/>
        <w:gridCol w:w="409"/>
        <w:gridCol w:w="331"/>
        <w:gridCol w:w="78"/>
        <w:gridCol w:w="507"/>
        <w:gridCol w:w="409"/>
        <w:gridCol w:w="409"/>
        <w:gridCol w:w="364"/>
        <w:gridCol w:w="45"/>
        <w:gridCol w:w="507"/>
        <w:gridCol w:w="409"/>
        <w:gridCol w:w="409"/>
        <w:gridCol w:w="409"/>
        <w:gridCol w:w="507"/>
        <w:gridCol w:w="409"/>
        <w:gridCol w:w="409"/>
        <w:gridCol w:w="411"/>
        <w:gridCol w:w="519"/>
        <w:gridCol w:w="511"/>
      </w:tblGrid>
      <w:tr w14:paraId="52C1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58" w:type="dxa"/>
            <w:vMerge w:val="restart"/>
            <w:noWrap w:val="0"/>
            <w:vAlign w:val="top"/>
          </w:tcPr>
          <w:p w14:paraId="14BB1E2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序号</w:t>
            </w:r>
          </w:p>
        </w:tc>
        <w:tc>
          <w:tcPr>
            <w:tcW w:w="1656" w:type="dxa"/>
            <w:gridSpan w:val="4"/>
            <w:noWrap w:val="0"/>
            <w:vAlign w:val="top"/>
          </w:tcPr>
          <w:p w14:paraId="2680597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您对人才补贴政策的整体满意度是?</w:t>
            </w:r>
          </w:p>
        </w:tc>
        <w:tc>
          <w:tcPr>
            <w:tcW w:w="1767" w:type="dxa"/>
            <w:gridSpan w:val="5"/>
            <w:noWrap w:val="0"/>
            <w:vAlign w:val="top"/>
          </w:tcPr>
          <w:p w14:paraId="01368CC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您对人才补贴的申请条件是否满意?</w:t>
            </w:r>
          </w:p>
        </w:tc>
        <w:tc>
          <w:tcPr>
            <w:tcW w:w="1779" w:type="dxa"/>
            <w:gridSpan w:val="5"/>
            <w:noWrap w:val="0"/>
            <w:vAlign w:val="top"/>
          </w:tcPr>
          <w:p w14:paraId="7BC1A37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您对政府人员提供的服务是否满意？</w:t>
            </w:r>
          </w:p>
        </w:tc>
        <w:tc>
          <w:tcPr>
            <w:tcW w:w="1736" w:type="dxa"/>
            <w:gridSpan w:val="4"/>
            <w:noWrap w:val="0"/>
            <w:vAlign w:val="top"/>
          </w:tcPr>
          <w:p w14:paraId="19D8042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 xml:space="preserve">您对人才补贴的具体经办流程等是否满意？  </w:t>
            </w:r>
          </w:p>
        </w:tc>
        <w:tc>
          <w:tcPr>
            <w:tcW w:w="519" w:type="dxa"/>
            <w:vMerge w:val="restart"/>
            <w:noWrap w:val="0"/>
            <w:vAlign w:val="top"/>
          </w:tcPr>
          <w:p w14:paraId="094AF88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意见或建议</w:t>
            </w:r>
          </w:p>
        </w:tc>
        <w:tc>
          <w:tcPr>
            <w:tcW w:w="511" w:type="dxa"/>
            <w:vMerge w:val="restart"/>
            <w:noWrap w:val="0"/>
            <w:vAlign w:val="top"/>
          </w:tcPr>
          <w:p w14:paraId="6B9A9F6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备注</w:t>
            </w:r>
          </w:p>
        </w:tc>
      </w:tr>
      <w:tr w14:paraId="1E75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noWrap w:val="0"/>
            <w:vAlign w:val="top"/>
          </w:tcPr>
          <w:p w14:paraId="255208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D1E0F5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7E8527E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5555A3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09" w:type="dxa"/>
            <w:gridSpan w:val="2"/>
            <w:noWrap w:val="0"/>
            <w:vAlign w:val="top"/>
          </w:tcPr>
          <w:p w14:paraId="1E215DF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07" w:type="dxa"/>
            <w:noWrap w:val="0"/>
            <w:vAlign w:val="top"/>
          </w:tcPr>
          <w:p w14:paraId="6193ADF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0BC7053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7D28F36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09" w:type="dxa"/>
            <w:gridSpan w:val="2"/>
            <w:noWrap w:val="0"/>
            <w:vAlign w:val="top"/>
          </w:tcPr>
          <w:p w14:paraId="11DEEFA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07" w:type="dxa"/>
            <w:noWrap w:val="0"/>
            <w:vAlign w:val="top"/>
          </w:tcPr>
          <w:p w14:paraId="6D75B6B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06E8EB8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6A65344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09" w:type="dxa"/>
            <w:noWrap w:val="0"/>
            <w:vAlign w:val="top"/>
          </w:tcPr>
          <w:p w14:paraId="05AB78B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07" w:type="dxa"/>
            <w:noWrap w:val="0"/>
            <w:vAlign w:val="top"/>
          </w:tcPr>
          <w:p w14:paraId="07532EB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6A1253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3D0C6E3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11" w:type="dxa"/>
            <w:noWrap w:val="0"/>
            <w:vAlign w:val="top"/>
          </w:tcPr>
          <w:p w14:paraId="2942F78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19" w:type="dxa"/>
            <w:vMerge w:val="continue"/>
            <w:noWrap w:val="0"/>
            <w:vAlign w:val="top"/>
          </w:tcPr>
          <w:p w14:paraId="20FF963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vMerge w:val="continue"/>
            <w:noWrap w:val="0"/>
            <w:vAlign w:val="top"/>
          </w:tcPr>
          <w:p w14:paraId="441B31E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0CFD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0093F9D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w:t>
            </w:r>
          </w:p>
        </w:tc>
        <w:tc>
          <w:tcPr>
            <w:tcW w:w="507" w:type="dxa"/>
            <w:noWrap w:val="0"/>
            <w:vAlign w:val="top"/>
          </w:tcPr>
          <w:p w14:paraId="3452BE6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w:t>
            </w:r>
          </w:p>
        </w:tc>
        <w:tc>
          <w:tcPr>
            <w:tcW w:w="409" w:type="dxa"/>
            <w:noWrap w:val="0"/>
            <w:vAlign w:val="top"/>
          </w:tcPr>
          <w:p w14:paraId="4179073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652FF6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3612C8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B3B4CB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DD65EF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9A998E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43B62B4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F3921E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41A609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C33ECB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067206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475998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D2EA02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A41956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70D43E6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388A165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28E4B42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4AA0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3E7AB6B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2</w:t>
            </w:r>
          </w:p>
        </w:tc>
        <w:tc>
          <w:tcPr>
            <w:tcW w:w="507" w:type="dxa"/>
            <w:noWrap w:val="0"/>
            <w:vAlign w:val="top"/>
          </w:tcPr>
          <w:p w14:paraId="4BEF3B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DDDF19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8444E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E441D7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079F1C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FDBC1A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2DF43E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06E8AF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76BA97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0DDCC4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DDF4DD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A6EBDA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DD2530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03E6CE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E15F69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0B48B89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78DF195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322A8C7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715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4090AEF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3</w:t>
            </w:r>
          </w:p>
        </w:tc>
        <w:tc>
          <w:tcPr>
            <w:tcW w:w="507" w:type="dxa"/>
            <w:noWrap w:val="0"/>
            <w:vAlign w:val="top"/>
          </w:tcPr>
          <w:p w14:paraId="0721F2F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EB19AD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8C9C85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35AA0E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626E40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B804F6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2DBD74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17A697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37237C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D2682F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037A8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6A5378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373832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1E5243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E5C17B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4319268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20C97C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6027826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24D1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61FD7B6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4</w:t>
            </w:r>
          </w:p>
        </w:tc>
        <w:tc>
          <w:tcPr>
            <w:tcW w:w="507" w:type="dxa"/>
            <w:noWrap w:val="0"/>
            <w:vAlign w:val="top"/>
          </w:tcPr>
          <w:p w14:paraId="4F6C59F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AA0FC4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4988DD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4EE2D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383E1D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610201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3ED93A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F574AA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7DC148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B8F6A0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7434B2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B0D5DB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02B3C3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1E7DF6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AA4E56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3AA43FD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2A30A5D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40E5FA7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4009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3319837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5</w:t>
            </w:r>
          </w:p>
        </w:tc>
        <w:tc>
          <w:tcPr>
            <w:tcW w:w="507" w:type="dxa"/>
            <w:noWrap w:val="0"/>
            <w:vAlign w:val="top"/>
          </w:tcPr>
          <w:p w14:paraId="2157E5E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F8072C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078092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52F254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FD8435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606DEF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9F03C5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31E9F7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7783C5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F55FDE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BAA4AF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2F965C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F5D49A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DBCC80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9936A9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4FCDE64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1AC31AF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70864B8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7925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0B50F8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6</w:t>
            </w:r>
          </w:p>
        </w:tc>
        <w:tc>
          <w:tcPr>
            <w:tcW w:w="507" w:type="dxa"/>
            <w:noWrap w:val="0"/>
            <w:vAlign w:val="top"/>
          </w:tcPr>
          <w:p w14:paraId="2424EF5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6B984C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54BEFA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D34C71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4F221D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680FE3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A8EF34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544F28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943B34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01F7A3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4A7BC1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82357B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3D9A9A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39EA36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1ECC4F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11934CF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79AAD5A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4A95443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2347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02B48A7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7</w:t>
            </w:r>
          </w:p>
        </w:tc>
        <w:tc>
          <w:tcPr>
            <w:tcW w:w="507" w:type="dxa"/>
            <w:noWrap w:val="0"/>
            <w:vAlign w:val="top"/>
          </w:tcPr>
          <w:p w14:paraId="1E50023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1D1EE7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EF953A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A13FC8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55FEF5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8998FA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B02ECD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135197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754B00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836CF6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2C39D7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B20DED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9A2874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CF9423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70A7AB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11AAA2D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440D41F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70E6391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F06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644203C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8</w:t>
            </w:r>
          </w:p>
        </w:tc>
        <w:tc>
          <w:tcPr>
            <w:tcW w:w="507" w:type="dxa"/>
            <w:noWrap w:val="0"/>
            <w:vAlign w:val="top"/>
          </w:tcPr>
          <w:p w14:paraId="069FC61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E694DB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52DED8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39480B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CF68AC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FAE498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16DC3B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A8D3B9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F55AD9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4EB0E8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E2EADE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16E262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43F858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527F2F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F8079D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14D042B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17F0B7A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6B5487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982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D06829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9</w:t>
            </w:r>
          </w:p>
        </w:tc>
        <w:tc>
          <w:tcPr>
            <w:tcW w:w="507" w:type="dxa"/>
            <w:noWrap w:val="0"/>
            <w:vAlign w:val="top"/>
          </w:tcPr>
          <w:p w14:paraId="05CC35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4FEF46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64E6FD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4B77E35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1204C5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D4A32E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3811A8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CFAE28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27BDBA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D09432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FDD278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DC2621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E12B85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9B87F9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185E9F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079082E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35306BC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003CC2C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10F5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A7AF02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507" w:type="dxa"/>
            <w:noWrap w:val="0"/>
            <w:vAlign w:val="top"/>
          </w:tcPr>
          <w:p w14:paraId="23CC328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D05E85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B211DC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33DD3E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3712AF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0B4C21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8537B5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0AB682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736E13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1B1687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561C7F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EE8639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D110E9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013C50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DF5FF2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6C0C1D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A40C19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35E849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758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74555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11</w:t>
            </w:r>
          </w:p>
        </w:tc>
        <w:tc>
          <w:tcPr>
            <w:tcW w:w="507" w:type="dxa"/>
            <w:noWrap w:val="0"/>
            <w:vAlign w:val="top"/>
          </w:tcPr>
          <w:p w14:paraId="40E9201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w:t>
            </w:r>
          </w:p>
        </w:tc>
        <w:tc>
          <w:tcPr>
            <w:tcW w:w="409" w:type="dxa"/>
            <w:noWrap w:val="0"/>
            <w:vAlign w:val="top"/>
          </w:tcPr>
          <w:p w14:paraId="014C79A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42CC76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BE915A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8D84C0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040D61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31CEB7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85B8A9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1BA480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3E0D0F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323488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1ED7AD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DAD89E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C30B84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975F54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2E85196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2B61422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201EBCB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4C86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3EE098A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12</w:t>
            </w:r>
          </w:p>
        </w:tc>
        <w:tc>
          <w:tcPr>
            <w:tcW w:w="507" w:type="dxa"/>
            <w:noWrap w:val="0"/>
            <w:vAlign w:val="top"/>
          </w:tcPr>
          <w:p w14:paraId="1D427B6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5BEC10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CA2681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91E734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90F8D4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F9F825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F57E5C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6152CA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39CB01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758B9F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EE1ADA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8A9295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A8B136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C3F02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90548C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5DF453D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79AEB5E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45897BB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2929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1C4441C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13</w:t>
            </w:r>
          </w:p>
        </w:tc>
        <w:tc>
          <w:tcPr>
            <w:tcW w:w="507" w:type="dxa"/>
            <w:noWrap w:val="0"/>
            <w:vAlign w:val="top"/>
          </w:tcPr>
          <w:p w14:paraId="7357876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313A38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FCDFDD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C23F68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2AAF21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D72FF0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2967A1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15D0AE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BFCF18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724292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D41760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EE8A31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562C10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C3036A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2E0FCB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7E12A1B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81362B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604B527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631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15AA642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14</w:t>
            </w:r>
          </w:p>
        </w:tc>
        <w:tc>
          <w:tcPr>
            <w:tcW w:w="507" w:type="dxa"/>
            <w:noWrap w:val="0"/>
            <w:vAlign w:val="top"/>
          </w:tcPr>
          <w:p w14:paraId="4E78BB7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EC18A4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59DBE2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4380F27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7F2470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9437F1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A23D85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ABDAA8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7988EC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9D3739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AB0B43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A1A435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19A5AA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01CE3D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8EDFD2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4BF3970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6C0C658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0BF2C6B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0633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03F716D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15</w:t>
            </w:r>
          </w:p>
        </w:tc>
        <w:tc>
          <w:tcPr>
            <w:tcW w:w="507" w:type="dxa"/>
            <w:noWrap w:val="0"/>
            <w:vAlign w:val="top"/>
          </w:tcPr>
          <w:p w14:paraId="1DDB072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A0534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6C665B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AB3610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31A68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6FEF6F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5E7F44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E4B151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524581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48EC6D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D3FC6A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18A5F6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7B7DD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C8DA7D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4E2DA4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1391E81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37AC3F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1D1F46E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2B65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605EAE1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16</w:t>
            </w:r>
          </w:p>
        </w:tc>
        <w:tc>
          <w:tcPr>
            <w:tcW w:w="507" w:type="dxa"/>
            <w:noWrap w:val="0"/>
            <w:vAlign w:val="top"/>
          </w:tcPr>
          <w:p w14:paraId="484833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EA9CD5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0FBD2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5A2FF1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4CA5C8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D4E45E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542429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6A8ECD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037C1D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8DCDCF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D34E20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34C88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E831DD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B314D1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965320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349641E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4E18ABF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3B35F3C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5E65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6D935EC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17</w:t>
            </w:r>
          </w:p>
        </w:tc>
        <w:tc>
          <w:tcPr>
            <w:tcW w:w="507" w:type="dxa"/>
            <w:noWrap w:val="0"/>
            <w:vAlign w:val="top"/>
          </w:tcPr>
          <w:p w14:paraId="735B9EE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14A2E1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2AB991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3568C0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316DE6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587CFC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74B434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6824EA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3A7A7F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6F0424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FDABF1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045D10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324A5C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339D13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F9267D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23ABE6D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34871B2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02EB768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047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317C637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18</w:t>
            </w:r>
          </w:p>
        </w:tc>
        <w:tc>
          <w:tcPr>
            <w:tcW w:w="507" w:type="dxa"/>
            <w:noWrap w:val="0"/>
            <w:vAlign w:val="top"/>
          </w:tcPr>
          <w:p w14:paraId="1212DDF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C6613F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7AD40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48285D0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30A029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D9B0AD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8D2279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123161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DCDA49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C49DB8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DC2F09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18C174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C7117D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10501C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B34891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6BAC48B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143B534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4DB289C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23B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5622ADE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19</w:t>
            </w:r>
          </w:p>
        </w:tc>
        <w:tc>
          <w:tcPr>
            <w:tcW w:w="507" w:type="dxa"/>
            <w:noWrap w:val="0"/>
            <w:vAlign w:val="top"/>
          </w:tcPr>
          <w:p w14:paraId="18F455B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B6907B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2B9A2D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50434E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DE7CB9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25C591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1881C3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8DBAE5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5184E1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36AE88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9F06F1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1875DA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AA712D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C6E4BC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81C844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45714DE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73FCA44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1CA514B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071A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58112BD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20</w:t>
            </w:r>
          </w:p>
        </w:tc>
        <w:tc>
          <w:tcPr>
            <w:tcW w:w="507" w:type="dxa"/>
            <w:noWrap w:val="0"/>
            <w:vAlign w:val="top"/>
          </w:tcPr>
          <w:p w14:paraId="0B2D48E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21E1F7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0EF25B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40CAE38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34DDC9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AAF200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4E323C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81B873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24C5E0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05356E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CF838E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7AD838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917925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B88B01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6280A8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312A653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FAE15F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11D08B0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1BF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AFFB47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合计</w:t>
            </w:r>
          </w:p>
        </w:tc>
        <w:tc>
          <w:tcPr>
            <w:tcW w:w="507" w:type="dxa"/>
            <w:noWrap w:val="0"/>
            <w:vAlign w:val="top"/>
          </w:tcPr>
          <w:p w14:paraId="10FA21A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37FF5A2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p>
        </w:tc>
        <w:tc>
          <w:tcPr>
            <w:tcW w:w="409" w:type="dxa"/>
            <w:noWrap w:val="0"/>
            <w:vAlign w:val="top"/>
          </w:tcPr>
          <w:p w14:paraId="4AADEC4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1FBAB1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483585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7B64F5F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p>
        </w:tc>
        <w:tc>
          <w:tcPr>
            <w:tcW w:w="409" w:type="dxa"/>
            <w:noWrap w:val="0"/>
            <w:vAlign w:val="top"/>
          </w:tcPr>
          <w:p w14:paraId="5FCABD9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1FBDE3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8317BE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2E6ED89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p>
        </w:tc>
        <w:tc>
          <w:tcPr>
            <w:tcW w:w="409" w:type="dxa"/>
            <w:noWrap w:val="0"/>
            <w:vAlign w:val="top"/>
          </w:tcPr>
          <w:p w14:paraId="792ADD5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3104FC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6BEF02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6E74E7E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p>
        </w:tc>
        <w:tc>
          <w:tcPr>
            <w:tcW w:w="409" w:type="dxa"/>
            <w:noWrap w:val="0"/>
            <w:vAlign w:val="top"/>
          </w:tcPr>
          <w:p w14:paraId="0ED257E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1027116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28E7F9F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024C698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1597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58" w:type="dxa"/>
            <w:noWrap w:val="0"/>
            <w:vAlign w:val="top"/>
          </w:tcPr>
          <w:p w14:paraId="4D22E9A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color w:val="auto"/>
                <w:sz w:val="24"/>
                <w:szCs w:val="24"/>
                <w:vertAlign w:val="baseline"/>
                <w:lang w:eastAsia="zh-CN"/>
              </w:rPr>
            </w:pPr>
            <w:r>
              <w:rPr>
                <w:rFonts w:hint="eastAsia"/>
                <w:color w:val="auto"/>
                <w:sz w:val="24"/>
                <w:szCs w:val="24"/>
                <w:vertAlign w:val="baseline"/>
                <w:lang w:eastAsia="zh-CN"/>
              </w:rPr>
              <w:t>得分率</w:t>
            </w:r>
          </w:p>
        </w:tc>
        <w:tc>
          <w:tcPr>
            <w:tcW w:w="7968" w:type="dxa"/>
            <w:gridSpan w:val="20"/>
            <w:noWrap w:val="0"/>
            <w:vAlign w:val="top"/>
          </w:tcPr>
          <w:p w14:paraId="72AF526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100%</w:t>
            </w:r>
          </w:p>
        </w:tc>
      </w:tr>
      <w:tr w14:paraId="5432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dxa"/>
            <w:noWrap w:val="0"/>
            <w:vAlign w:val="top"/>
          </w:tcPr>
          <w:p w14:paraId="725CF63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color w:val="auto"/>
                <w:sz w:val="24"/>
                <w:szCs w:val="24"/>
                <w:vertAlign w:val="baseline"/>
                <w:lang w:eastAsia="zh-CN"/>
              </w:rPr>
            </w:pPr>
            <w:r>
              <w:rPr>
                <w:rFonts w:hint="eastAsia"/>
                <w:color w:val="auto"/>
                <w:sz w:val="24"/>
                <w:szCs w:val="24"/>
                <w:vertAlign w:val="baseline"/>
                <w:lang w:eastAsia="zh-CN"/>
              </w:rPr>
              <w:t>得分</w:t>
            </w:r>
          </w:p>
        </w:tc>
        <w:tc>
          <w:tcPr>
            <w:tcW w:w="7968" w:type="dxa"/>
            <w:gridSpan w:val="20"/>
            <w:noWrap w:val="0"/>
            <w:vAlign w:val="top"/>
          </w:tcPr>
          <w:p w14:paraId="44C52E0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100</w:t>
            </w:r>
          </w:p>
        </w:tc>
      </w:tr>
    </w:tbl>
    <w:p w14:paraId="1D3A2CCF">
      <w:pPr>
        <w:pStyle w:val="21"/>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outlineLvl w:val="0"/>
        <w:rPr>
          <w:rFonts w:hint="eastAsia"/>
          <w:lang w:val="en-US" w:eastAsia="zh-CN"/>
        </w:rPr>
      </w:pPr>
      <w:bookmarkStart w:id="721" w:name="_Toc4830"/>
      <w:bookmarkStart w:id="722" w:name="_Toc1926"/>
      <w:bookmarkStart w:id="723" w:name="_Toc25569"/>
      <w:r>
        <w:rPr>
          <w:rFonts w:hint="eastAsia"/>
          <w:b/>
          <w:bCs/>
          <w:color w:val="auto"/>
          <w:lang w:val="en-US" w:eastAsia="zh-CN"/>
        </w:rPr>
        <w:t>受益企业问卷统计表</w:t>
      </w:r>
      <w:bookmarkEnd w:id="721"/>
      <w:bookmarkEnd w:id="722"/>
      <w:bookmarkEnd w:id="72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507"/>
        <w:gridCol w:w="409"/>
        <w:gridCol w:w="409"/>
        <w:gridCol w:w="331"/>
        <w:gridCol w:w="78"/>
        <w:gridCol w:w="507"/>
        <w:gridCol w:w="409"/>
        <w:gridCol w:w="409"/>
        <w:gridCol w:w="364"/>
        <w:gridCol w:w="45"/>
        <w:gridCol w:w="507"/>
        <w:gridCol w:w="409"/>
        <w:gridCol w:w="409"/>
        <w:gridCol w:w="409"/>
        <w:gridCol w:w="507"/>
        <w:gridCol w:w="409"/>
        <w:gridCol w:w="409"/>
        <w:gridCol w:w="411"/>
        <w:gridCol w:w="519"/>
        <w:gridCol w:w="511"/>
      </w:tblGrid>
      <w:tr w14:paraId="3B29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58" w:type="dxa"/>
            <w:vMerge w:val="restart"/>
            <w:noWrap w:val="0"/>
            <w:vAlign w:val="top"/>
          </w:tcPr>
          <w:p w14:paraId="4F84912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序号</w:t>
            </w:r>
          </w:p>
        </w:tc>
        <w:tc>
          <w:tcPr>
            <w:tcW w:w="1656" w:type="dxa"/>
            <w:gridSpan w:val="4"/>
            <w:noWrap w:val="0"/>
            <w:vAlign w:val="top"/>
          </w:tcPr>
          <w:p w14:paraId="03EA07C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您对人才补贴政策的整体满意度是?</w:t>
            </w:r>
          </w:p>
        </w:tc>
        <w:tc>
          <w:tcPr>
            <w:tcW w:w="1767" w:type="dxa"/>
            <w:gridSpan w:val="5"/>
            <w:noWrap w:val="0"/>
            <w:vAlign w:val="top"/>
          </w:tcPr>
          <w:p w14:paraId="4D1C980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您对人才补贴的申请条件是否满意?</w:t>
            </w:r>
          </w:p>
        </w:tc>
        <w:tc>
          <w:tcPr>
            <w:tcW w:w="1779" w:type="dxa"/>
            <w:gridSpan w:val="5"/>
            <w:noWrap w:val="0"/>
            <w:vAlign w:val="top"/>
          </w:tcPr>
          <w:p w14:paraId="25BBD6F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您对政府人员提供的服务是否满意？</w:t>
            </w:r>
          </w:p>
        </w:tc>
        <w:tc>
          <w:tcPr>
            <w:tcW w:w="1736" w:type="dxa"/>
            <w:gridSpan w:val="4"/>
            <w:noWrap w:val="0"/>
            <w:vAlign w:val="top"/>
          </w:tcPr>
          <w:p w14:paraId="6516810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color w:val="auto"/>
                <w:sz w:val="24"/>
                <w:szCs w:val="24"/>
                <w:vertAlign w:val="baseline"/>
              </w:rPr>
            </w:pPr>
            <w:r>
              <w:rPr>
                <w:rFonts w:hint="eastAsia"/>
                <w:color w:val="auto"/>
                <w:sz w:val="24"/>
                <w:szCs w:val="24"/>
                <w:vertAlign w:val="baseline"/>
              </w:rPr>
              <w:t xml:space="preserve">您对人才补贴的具体经办流程等是否满意？  </w:t>
            </w:r>
          </w:p>
        </w:tc>
        <w:tc>
          <w:tcPr>
            <w:tcW w:w="519" w:type="dxa"/>
            <w:vMerge w:val="restart"/>
            <w:noWrap w:val="0"/>
            <w:vAlign w:val="top"/>
          </w:tcPr>
          <w:p w14:paraId="1AC19F9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意见或建议</w:t>
            </w:r>
          </w:p>
        </w:tc>
        <w:tc>
          <w:tcPr>
            <w:tcW w:w="511" w:type="dxa"/>
            <w:vMerge w:val="restart"/>
            <w:noWrap w:val="0"/>
            <w:vAlign w:val="top"/>
          </w:tcPr>
          <w:p w14:paraId="206EF52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备注</w:t>
            </w:r>
          </w:p>
        </w:tc>
      </w:tr>
      <w:tr w14:paraId="7271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noWrap w:val="0"/>
            <w:vAlign w:val="top"/>
          </w:tcPr>
          <w:p w14:paraId="69B5DF0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ECD523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1B0A64E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031CC2F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09" w:type="dxa"/>
            <w:gridSpan w:val="2"/>
            <w:noWrap w:val="0"/>
            <w:vAlign w:val="top"/>
          </w:tcPr>
          <w:p w14:paraId="31EFC36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07" w:type="dxa"/>
            <w:noWrap w:val="0"/>
            <w:vAlign w:val="top"/>
          </w:tcPr>
          <w:p w14:paraId="424A71E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3DC9CCD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724C840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09" w:type="dxa"/>
            <w:gridSpan w:val="2"/>
            <w:noWrap w:val="0"/>
            <w:vAlign w:val="top"/>
          </w:tcPr>
          <w:p w14:paraId="154568F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07" w:type="dxa"/>
            <w:noWrap w:val="0"/>
            <w:vAlign w:val="top"/>
          </w:tcPr>
          <w:p w14:paraId="3F62FCF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7CB59AD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0379B61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09" w:type="dxa"/>
            <w:noWrap w:val="0"/>
            <w:vAlign w:val="top"/>
          </w:tcPr>
          <w:p w14:paraId="138A3BA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07" w:type="dxa"/>
            <w:noWrap w:val="0"/>
            <w:vAlign w:val="top"/>
          </w:tcPr>
          <w:p w14:paraId="57EF123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A</w:t>
            </w:r>
          </w:p>
        </w:tc>
        <w:tc>
          <w:tcPr>
            <w:tcW w:w="409" w:type="dxa"/>
            <w:noWrap w:val="0"/>
            <w:vAlign w:val="top"/>
          </w:tcPr>
          <w:p w14:paraId="0E88ED2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B</w:t>
            </w:r>
          </w:p>
        </w:tc>
        <w:tc>
          <w:tcPr>
            <w:tcW w:w="409" w:type="dxa"/>
            <w:noWrap w:val="0"/>
            <w:vAlign w:val="top"/>
          </w:tcPr>
          <w:p w14:paraId="674B70F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C</w:t>
            </w:r>
          </w:p>
        </w:tc>
        <w:tc>
          <w:tcPr>
            <w:tcW w:w="411" w:type="dxa"/>
            <w:noWrap w:val="0"/>
            <w:vAlign w:val="top"/>
          </w:tcPr>
          <w:p w14:paraId="6368B32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D</w:t>
            </w:r>
          </w:p>
        </w:tc>
        <w:tc>
          <w:tcPr>
            <w:tcW w:w="519" w:type="dxa"/>
            <w:vMerge w:val="continue"/>
            <w:noWrap w:val="0"/>
            <w:vAlign w:val="top"/>
          </w:tcPr>
          <w:p w14:paraId="6E5EC6E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vMerge w:val="continue"/>
            <w:noWrap w:val="0"/>
            <w:vAlign w:val="top"/>
          </w:tcPr>
          <w:p w14:paraId="44B9CF1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265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4EAB816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w:t>
            </w:r>
          </w:p>
        </w:tc>
        <w:tc>
          <w:tcPr>
            <w:tcW w:w="507" w:type="dxa"/>
            <w:noWrap w:val="0"/>
            <w:vAlign w:val="top"/>
          </w:tcPr>
          <w:p w14:paraId="20568B3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w:t>
            </w:r>
          </w:p>
        </w:tc>
        <w:tc>
          <w:tcPr>
            <w:tcW w:w="409" w:type="dxa"/>
            <w:noWrap w:val="0"/>
            <w:vAlign w:val="top"/>
          </w:tcPr>
          <w:p w14:paraId="3614C4E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6D397B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D729D4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72A84E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D92E77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AAC31C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BA0415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09A947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69E013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CEAFB2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21062C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A7C77A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7706D5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3A540E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1086BD8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37EC06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64EDE84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7F91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10A24C5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2</w:t>
            </w:r>
          </w:p>
        </w:tc>
        <w:tc>
          <w:tcPr>
            <w:tcW w:w="507" w:type="dxa"/>
            <w:noWrap w:val="0"/>
            <w:vAlign w:val="top"/>
          </w:tcPr>
          <w:p w14:paraId="09CFCCC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1669F7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4AD89D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CB89AD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962514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F595E6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DBD7B4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58F288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AE90DA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34342F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851DA1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A5A36E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349AA8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57745F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E0C68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30A603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3FE55DC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6A94802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5081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1A97FA8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3</w:t>
            </w:r>
          </w:p>
        </w:tc>
        <w:tc>
          <w:tcPr>
            <w:tcW w:w="507" w:type="dxa"/>
            <w:noWrap w:val="0"/>
            <w:vAlign w:val="top"/>
          </w:tcPr>
          <w:p w14:paraId="557D6A2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1BE86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635FDF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6E60B2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375634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EA8EBF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B1D4B4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02A2C2F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5FCCBD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9AD1BE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77DCC7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DF61FD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4D79EA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A03334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AB7F87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617E841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671384F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171876A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2B31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39FEC03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4</w:t>
            </w:r>
          </w:p>
        </w:tc>
        <w:tc>
          <w:tcPr>
            <w:tcW w:w="507" w:type="dxa"/>
            <w:noWrap w:val="0"/>
            <w:vAlign w:val="top"/>
          </w:tcPr>
          <w:p w14:paraId="6B3E173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CF4F5D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1AF843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321AF4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CBFC22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2C4344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0E3C15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98BEB3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D8575B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EC0721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0910EF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5D832B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509633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AB9A6D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77F1A1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57632DB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0ED5010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55BAF84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66D2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DE0ED1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5</w:t>
            </w:r>
          </w:p>
        </w:tc>
        <w:tc>
          <w:tcPr>
            <w:tcW w:w="507" w:type="dxa"/>
            <w:noWrap w:val="0"/>
            <w:vAlign w:val="top"/>
          </w:tcPr>
          <w:p w14:paraId="62D10E0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846E8E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8DE029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752350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6CD56E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A97B65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FD2297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2C021A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762819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0AA087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ECB336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6FD7E6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686BD0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4916DB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72E4C5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68539CA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589A3F2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3EE6FEB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2C0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5B54DFB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6</w:t>
            </w:r>
          </w:p>
        </w:tc>
        <w:tc>
          <w:tcPr>
            <w:tcW w:w="507" w:type="dxa"/>
            <w:noWrap w:val="0"/>
            <w:vAlign w:val="top"/>
          </w:tcPr>
          <w:p w14:paraId="4D79781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7A619E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9893A9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E3959E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532D05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A0371D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AC2E99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4DD4FA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30728A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5615F5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0EB763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8B29CF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6FF84B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55AA71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81992D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34AEF98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6646E46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111521A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6F69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3742141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7</w:t>
            </w:r>
          </w:p>
        </w:tc>
        <w:tc>
          <w:tcPr>
            <w:tcW w:w="507" w:type="dxa"/>
            <w:noWrap w:val="0"/>
            <w:vAlign w:val="top"/>
          </w:tcPr>
          <w:p w14:paraId="2AA3AE4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46E0CE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346832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4A9F1B0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CF9873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0BECA1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5347A22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515B12F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DA7C75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3C3101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386D3F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5A1B57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4B742C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1AE469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C0AF70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5D66950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4F1D8E0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5CF9916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1608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2CDC75F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8</w:t>
            </w:r>
          </w:p>
        </w:tc>
        <w:tc>
          <w:tcPr>
            <w:tcW w:w="507" w:type="dxa"/>
            <w:noWrap w:val="0"/>
            <w:vAlign w:val="top"/>
          </w:tcPr>
          <w:p w14:paraId="25E4CA8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273D6F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5FC407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2081EF7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611449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0B1D384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BDF257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E10D30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6A35D8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174B442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177664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574F2E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6212114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A8B59F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5EF81E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36030D7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1DD167F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6427D0CA">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041E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178EBB8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r>
              <w:rPr>
                <w:rFonts w:hint="eastAsia"/>
                <w:color w:val="auto"/>
                <w:sz w:val="24"/>
                <w:szCs w:val="24"/>
                <w:vertAlign w:val="baseline"/>
                <w:lang w:val="en-US" w:eastAsia="zh-CN"/>
              </w:rPr>
              <w:t>9</w:t>
            </w:r>
          </w:p>
        </w:tc>
        <w:tc>
          <w:tcPr>
            <w:tcW w:w="507" w:type="dxa"/>
            <w:noWrap w:val="0"/>
            <w:vAlign w:val="top"/>
          </w:tcPr>
          <w:p w14:paraId="3EF319C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5DA2FAF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F29033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3FE2C35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E19534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4CA57D7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156AF9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1B29063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4A6BBE8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2D18572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62A5325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7540D38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3326DBD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4F19DA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43F912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7D3EA9D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1470466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21D9F94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35A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28DA7D1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507" w:type="dxa"/>
            <w:noWrap w:val="0"/>
            <w:vAlign w:val="top"/>
          </w:tcPr>
          <w:p w14:paraId="162F2E9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3AF3FFE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36222A2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A6193B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2874CDF5">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678DF0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E4271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C0F70D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15181AA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79B5EB4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BFECB8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0A8AB85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58E8F9B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r>
              <w:rPr>
                <w:rFonts w:hint="eastAsia"/>
                <w:color w:val="auto"/>
                <w:sz w:val="24"/>
                <w:szCs w:val="24"/>
                <w:vertAlign w:val="baseline"/>
                <w:lang w:eastAsia="zh-CN"/>
              </w:rPr>
              <w:t>√</w:t>
            </w:r>
          </w:p>
        </w:tc>
        <w:tc>
          <w:tcPr>
            <w:tcW w:w="409" w:type="dxa"/>
            <w:noWrap w:val="0"/>
            <w:vAlign w:val="top"/>
          </w:tcPr>
          <w:p w14:paraId="6B2742E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42F2768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7115352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1B7FEE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0D5C5AA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38D8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0C4EC49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eastAsia="zh-CN"/>
              </w:rPr>
            </w:pPr>
            <w:r>
              <w:rPr>
                <w:rFonts w:hint="eastAsia"/>
                <w:color w:val="auto"/>
                <w:sz w:val="24"/>
                <w:szCs w:val="24"/>
                <w:vertAlign w:val="baseline"/>
                <w:lang w:eastAsia="zh-CN"/>
              </w:rPr>
              <w:t>合计</w:t>
            </w:r>
          </w:p>
        </w:tc>
        <w:tc>
          <w:tcPr>
            <w:tcW w:w="507" w:type="dxa"/>
            <w:noWrap w:val="0"/>
            <w:vAlign w:val="top"/>
          </w:tcPr>
          <w:p w14:paraId="2FB34F3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3F5DA2A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p>
        </w:tc>
        <w:tc>
          <w:tcPr>
            <w:tcW w:w="409" w:type="dxa"/>
            <w:noWrap w:val="0"/>
            <w:vAlign w:val="top"/>
          </w:tcPr>
          <w:p w14:paraId="585C7231">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7F04CB7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973A61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1364B97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p>
        </w:tc>
        <w:tc>
          <w:tcPr>
            <w:tcW w:w="409" w:type="dxa"/>
            <w:noWrap w:val="0"/>
            <w:vAlign w:val="top"/>
          </w:tcPr>
          <w:p w14:paraId="04090CD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gridSpan w:val="2"/>
            <w:noWrap w:val="0"/>
            <w:vAlign w:val="top"/>
          </w:tcPr>
          <w:p w14:paraId="6075726C">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0DBF51F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08C6372F">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eastAsia="仿宋_GB2312"/>
                <w:color w:val="auto"/>
                <w:sz w:val="24"/>
                <w:szCs w:val="24"/>
                <w:vertAlign w:val="baseline"/>
                <w:lang w:val="en-US" w:eastAsia="zh-CN"/>
              </w:rPr>
            </w:pPr>
          </w:p>
        </w:tc>
        <w:tc>
          <w:tcPr>
            <w:tcW w:w="409" w:type="dxa"/>
            <w:noWrap w:val="0"/>
            <w:vAlign w:val="top"/>
          </w:tcPr>
          <w:p w14:paraId="7BAF860D">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09" w:type="dxa"/>
            <w:noWrap w:val="0"/>
            <w:vAlign w:val="top"/>
          </w:tcPr>
          <w:p w14:paraId="209AB837">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07" w:type="dxa"/>
            <w:noWrap w:val="0"/>
            <w:vAlign w:val="top"/>
          </w:tcPr>
          <w:p w14:paraId="7EB3C150">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w:t>
            </w:r>
          </w:p>
        </w:tc>
        <w:tc>
          <w:tcPr>
            <w:tcW w:w="409" w:type="dxa"/>
            <w:noWrap w:val="0"/>
            <w:vAlign w:val="top"/>
          </w:tcPr>
          <w:p w14:paraId="06FDF082">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p>
        </w:tc>
        <w:tc>
          <w:tcPr>
            <w:tcW w:w="409" w:type="dxa"/>
            <w:noWrap w:val="0"/>
            <w:vAlign w:val="top"/>
          </w:tcPr>
          <w:p w14:paraId="538553AE">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411" w:type="dxa"/>
            <w:noWrap w:val="0"/>
            <w:vAlign w:val="top"/>
          </w:tcPr>
          <w:p w14:paraId="735CB7F6">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9" w:type="dxa"/>
            <w:noWrap w:val="0"/>
            <w:vAlign w:val="top"/>
          </w:tcPr>
          <w:p w14:paraId="53637C3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c>
          <w:tcPr>
            <w:tcW w:w="511" w:type="dxa"/>
            <w:noWrap w:val="0"/>
            <w:vAlign w:val="top"/>
          </w:tcPr>
          <w:p w14:paraId="27C32508">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color w:val="auto"/>
                <w:sz w:val="24"/>
                <w:szCs w:val="24"/>
                <w:vertAlign w:val="baseline"/>
              </w:rPr>
            </w:pPr>
          </w:p>
        </w:tc>
      </w:tr>
      <w:tr w14:paraId="74D8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4F52CA7B">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color w:val="auto"/>
                <w:sz w:val="24"/>
                <w:szCs w:val="24"/>
                <w:vertAlign w:val="baseline"/>
                <w:lang w:eastAsia="zh-CN"/>
              </w:rPr>
            </w:pPr>
            <w:r>
              <w:rPr>
                <w:rFonts w:hint="eastAsia"/>
                <w:color w:val="auto"/>
                <w:sz w:val="24"/>
                <w:szCs w:val="24"/>
                <w:vertAlign w:val="baseline"/>
                <w:lang w:eastAsia="zh-CN"/>
              </w:rPr>
              <w:t>得分率</w:t>
            </w:r>
          </w:p>
        </w:tc>
        <w:tc>
          <w:tcPr>
            <w:tcW w:w="7968" w:type="dxa"/>
            <w:gridSpan w:val="20"/>
            <w:noWrap w:val="0"/>
            <w:vAlign w:val="top"/>
          </w:tcPr>
          <w:p w14:paraId="1B800283">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eastAsia="仿宋_GB2312"/>
                <w:color w:val="auto"/>
                <w:sz w:val="24"/>
                <w:szCs w:val="24"/>
                <w:vertAlign w:val="baseline"/>
                <w:lang w:val="en-US" w:eastAsia="zh-CN"/>
              </w:rPr>
            </w:pPr>
            <w:r>
              <w:rPr>
                <w:rFonts w:hint="eastAsia"/>
                <w:color w:val="auto"/>
                <w:sz w:val="24"/>
                <w:szCs w:val="24"/>
                <w:vertAlign w:val="baseline"/>
                <w:lang w:val="en-US" w:eastAsia="zh-CN"/>
              </w:rPr>
              <w:t>100%</w:t>
            </w:r>
          </w:p>
        </w:tc>
      </w:tr>
      <w:tr w14:paraId="5EFA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noWrap w:val="0"/>
            <w:vAlign w:val="top"/>
          </w:tcPr>
          <w:p w14:paraId="7AB65E89">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color w:val="auto"/>
                <w:sz w:val="24"/>
                <w:szCs w:val="24"/>
                <w:vertAlign w:val="baseline"/>
                <w:lang w:eastAsia="zh-CN"/>
              </w:rPr>
            </w:pPr>
            <w:r>
              <w:rPr>
                <w:rFonts w:hint="eastAsia"/>
                <w:color w:val="auto"/>
                <w:sz w:val="24"/>
                <w:szCs w:val="24"/>
                <w:vertAlign w:val="baseline"/>
                <w:lang w:eastAsia="zh-CN"/>
              </w:rPr>
              <w:t>得分</w:t>
            </w:r>
          </w:p>
        </w:tc>
        <w:tc>
          <w:tcPr>
            <w:tcW w:w="7968" w:type="dxa"/>
            <w:gridSpan w:val="20"/>
            <w:noWrap w:val="0"/>
            <w:vAlign w:val="top"/>
          </w:tcPr>
          <w:p w14:paraId="5F565134">
            <w:pPr>
              <w:pStyle w:val="2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100</w:t>
            </w:r>
          </w:p>
        </w:tc>
      </w:tr>
    </w:tbl>
    <w:p w14:paraId="37D5ABF3">
      <w:pPr>
        <w:tabs>
          <w:tab w:val="left" w:pos="1503"/>
        </w:tabs>
        <w:bidi w:val="0"/>
        <w:ind w:left="0" w:leftChars="0" w:firstLine="0" w:firstLineChars="0"/>
        <w:jc w:val="left"/>
        <w:rPr>
          <w:rFonts w:hint="eastAsia"/>
          <w:lang w:val="en-US" w:eastAsia="zh-CN"/>
        </w:rPr>
      </w:pPr>
    </w:p>
    <w:sectPr>
      <w:pgSz w:w="11910" w:h="16840"/>
      <w:pgMar w:top="1440" w:right="1800" w:bottom="1440" w:left="1800" w:header="850" w:footer="141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2ADEE829-78DA-4F53-90F4-EC762724E2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603405-E1F7-42E5-BA73-991D3D07970F}"/>
  </w:font>
  <w:font w:name="仿宋_GB2312">
    <w:panose1 w:val="02010609030101010101"/>
    <w:charset w:val="86"/>
    <w:family w:val="modern"/>
    <w:pitch w:val="default"/>
    <w:sig w:usb0="00000001" w:usb1="080E0000" w:usb2="00000000" w:usb3="00000000" w:csb0="00040000" w:csb1="00000000"/>
    <w:embedRegular r:id="rId3" w:fontKey="{FE27787B-8CD2-4027-AD7F-6F42A8B440BE}"/>
  </w:font>
  <w:font w:name="楷体_GB2312">
    <w:panose1 w:val="02010609030101010101"/>
    <w:charset w:val="86"/>
    <w:family w:val="auto"/>
    <w:pitch w:val="default"/>
    <w:sig w:usb0="00000001" w:usb1="080E0000" w:usb2="00000000" w:usb3="00000000" w:csb0="00040000" w:csb1="00000000"/>
    <w:embedRegular r:id="rId4" w:fontKey="{B508BCAC-54E8-4F95-B57B-015D9EF68CCB}"/>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5" w:fontKey="{E10153D2-1039-4828-98FE-3FFD7D09625D}"/>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53B7">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20DB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A288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B4FA">
    <w:pPr>
      <w:pStyle w:val="9"/>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145373">
                          <w:pPr>
                            <w:pStyle w:val="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xtCs4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fJ1&#10;0qcPWFHZQ6DCONz5IdVOcaRgoj20YNOXCDHKk7rnq7pqiEymS+vVel1SSlJudgineLweAONb5S1L&#10;Rs2Bni+rKk7vMY6lc0nq5vy9NobiojLurwBhjhGVd2C6nZiMEycrDvthorH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vcbQrOAQAAqAMAAA4AAAAAAAAAAQAgAAAAHgEAAGRycy9l&#10;Mm9Eb2MueG1sUEsFBgAAAAAGAAYAWQEAAF4FAAAAAA==&#10;">
              <v:fill on="f" focussize="0,0"/>
              <v:stroke on="f"/>
              <v:imagedata o:title=""/>
              <o:lock v:ext="edit" aspectratio="f"/>
              <v:textbox inset="0mm,0mm,0mm,0mm" style="mso-fit-shape-to-text:t;">
                <w:txbxContent>
                  <w:p w14:paraId="78145373">
                    <w:pPr>
                      <w:pStyle w:val="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A29B">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199CA6">
                          <w:pPr>
                            <w:pStyle w:val="1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- 25 -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DYYM4BAACp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EOb8IozJyy9+OX7t8uPX5efX9nq&#10;ZRKo91hR3Z2nyji8hYGK5zhSMPEe2mDTlxgxypO856u8aohMpkvr1XpdUkpSbnYIv3i47gPGdwos&#10;S0bNA71fllWcPmAcS+eS1M3BrTYmv6FxfwUIc4yovATT7cRknDhZcdgPE709NGdi19Mi1NzR3nNm&#10;3jvSOe3MbITZ2M/G0Qd96GjQZZ4S/ZtjpJHypKnDCEsMk0MvmLlO25ZW5E8/Vz38Y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Mg2GDOAQAAqQMAAA4AAAAAAAAAAQAgAAAAHgEAAGRycy9l&#10;Mm9Eb2MueG1sUEsFBgAAAAAGAAYAWQEAAF4FAAAAAA==&#10;">
              <v:fill on="f" focussize="0,0"/>
              <v:stroke on="f"/>
              <v:imagedata o:title=""/>
              <o:lock v:ext="edit" aspectratio="f"/>
              <v:textbox inset="0mm,0mm,0mm,0mm" style="mso-fit-shape-to-text:t;">
                <w:txbxContent>
                  <w:p w14:paraId="14199CA6">
                    <w:pPr>
                      <w:pStyle w:val="1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4F6E">
    <w:pPr>
      <w:pStyle w:val="15"/>
      <w:pBdr>
        <w:bottom w:val="single" w:color="auto" w:sz="4" w:space="1"/>
      </w:pBdr>
      <w:ind w:firstLine="440"/>
      <w:jc w:val="right"/>
      <w:rPr>
        <w:rFonts w:hint="eastAsia" w:ascii="宋体" w:hAnsi="宋体" w:eastAsia="宋体" w:cs="宋体"/>
        <w:sz w:val="18"/>
        <w:szCs w:val="24"/>
      </w:rPr>
    </w:pPr>
    <w:r>
      <w:rPr>
        <w:rFonts w:hint="eastAsia" w:ascii="宋体" w:hAnsi="宋体" w:eastAsia="宋体" w:cs="宋体"/>
        <w:sz w:val="18"/>
        <w:szCs w:val="24"/>
      </w:rPr>
      <w:t>202</w:t>
    </w:r>
    <w:r>
      <w:rPr>
        <w:rFonts w:hint="eastAsia" w:ascii="宋体" w:hAnsi="宋体" w:eastAsia="宋体" w:cs="宋体"/>
        <w:sz w:val="18"/>
        <w:szCs w:val="24"/>
        <w:lang w:val="en-US" w:eastAsia="zh-CN"/>
      </w:rPr>
      <w:t>2</w:t>
    </w:r>
    <w:r>
      <w:rPr>
        <w:rFonts w:hint="eastAsia" w:ascii="宋体" w:hAnsi="宋体" w:eastAsia="宋体" w:cs="宋体"/>
        <w:sz w:val="18"/>
        <w:szCs w:val="24"/>
      </w:rPr>
      <w:t>年度</w:t>
    </w:r>
    <w:r>
      <w:rPr>
        <w:rFonts w:hint="eastAsia" w:ascii="宋体" w:hAnsi="宋体" w:eastAsia="宋体" w:cs="宋体"/>
        <w:sz w:val="18"/>
        <w:szCs w:val="24"/>
        <w:lang w:val="en-US" w:eastAsia="zh-CN"/>
      </w:rPr>
      <w:t>枣庄市高新区人力资源经费项目</w:t>
    </w:r>
    <w:r>
      <w:rPr>
        <w:rFonts w:hint="eastAsia" w:ascii="宋体" w:hAnsi="宋体" w:eastAsia="宋体" w:cs="宋体"/>
        <w:sz w:val="18"/>
        <w:szCs w:val="24"/>
        <w:lang w:val="en-US"/>
      </w:rPr>
      <w:t>绩效评</w:t>
    </w:r>
    <w:r>
      <w:rPr>
        <w:rFonts w:hint="eastAsia" w:ascii="宋体" w:hAnsi="宋体" w:eastAsia="宋体" w:cs="宋体"/>
        <w:sz w:val="18"/>
        <w:szCs w:val="24"/>
      </w:rPr>
      <w:t>价报告</w:t>
    </w:r>
  </w:p>
  <w:p w14:paraId="3ABD45E2">
    <w:pPr>
      <w:pStyle w:val="15"/>
      <w:rPr>
        <w:rFonts w:hint="eastAsia" w:eastAsia="仿宋"/>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6743">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97EF">
    <w:pPr>
      <w:pStyle w:val="15"/>
      <w:jc w:val="right"/>
      <w:rPr>
        <w:rFonts w:hint="eastAsia" w:ascii="宋体" w:hAnsi="宋体" w:eastAsia="宋体" w:cs="宋体"/>
        <w:lang w:val="en-US" w:eastAsia="zh-CN"/>
      </w:rPr>
    </w:pPr>
    <w:r>
      <w:rPr>
        <w:rFonts w:hint="eastAsia" w:ascii="宋体" w:hAnsi="宋体" w:eastAsia="宋体" w:cs="宋体"/>
        <w:lang w:val="en-US" w:eastAsia="zh-CN"/>
      </w:rPr>
      <w:t>2022年度枣庄市高新区人力资源经费项目绩效评价报告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A511C"/>
    <w:multiLevelType w:val="singleLevel"/>
    <w:tmpl w:val="EA3A511C"/>
    <w:lvl w:ilvl="0" w:tentative="0">
      <w:start w:val="3"/>
      <w:numFmt w:val="decimal"/>
      <w:suff w:val="nothing"/>
      <w:lvlText w:val="（%1）"/>
      <w:lvlJc w:val="left"/>
    </w:lvl>
  </w:abstractNum>
  <w:abstractNum w:abstractNumId="1">
    <w:nsid w:val="6D0D080C"/>
    <w:multiLevelType w:val="singleLevel"/>
    <w:tmpl w:val="6D0D080C"/>
    <w:lvl w:ilvl="0" w:tentative="0">
      <w:start w:val="4"/>
      <w:numFmt w:val="decimal"/>
      <w:lvlText w:val="%1."/>
      <w:lvlJc w:val="left"/>
      <w:pPr>
        <w:tabs>
          <w:tab w:val="left" w:pos="312"/>
        </w:tabs>
      </w:pPr>
    </w:lvl>
  </w:abstractNum>
  <w:abstractNum w:abstractNumId="2">
    <w:nsid w:val="7EF87849"/>
    <w:multiLevelType w:val="singleLevel"/>
    <w:tmpl w:val="7EF87849"/>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4NGNkNmRjNjEyMmQ3MWRmYTYyNmUwN2FkZTAifQ=="/>
  </w:docVars>
  <w:rsids>
    <w:rsidRoot w:val="00172A27"/>
    <w:rsid w:val="000654F2"/>
    <w:rsid w:val="000D2F89"/>
    <w:rsid w:val="000F2235"/>
    <w:rsid w:val="001153F2"/>
    <w:rsid w:val="0015240E"/>
    <w:rsid w:val="001714B0"/>
    <w:rsid w:val="00172A27"/>
    <w:rsid w:val="001925DD"/>
    <w:rsid w:val="001B0A25"/>
    <w:rsid w:val="001D0257"/>
    <w:rsid w:val="0023159C"/>
    <w:rsid w:val="00265EC1"/>
    <w:rsid w:val="002B0001"/>
    <w:rsid w:val="0037484D"/>
    <w:rsid w:val="00381A58"/>
    <w:rsid w:val="003873FE"/>
    <w:rsid w:val="003A1734"/>
    <w:rsid w:val="003F2768"/>
    <w:rsid w:val="003F7889"/>
    <w:rsid w:val="004126CA"/>
    <w:rsid w:val="00484F87"/>
    <w:rsid w:val="00502F47"/>
    <w:rsid w:val="0050662D"/>
    <w:rsid w:val="0051097B"/>
    <w:rsid w:val="00552FC9"/>
    <w:rsid w:val="00553A53"/>
    <w:rsid w:val="00586DE7"/>
    <w:rsid w:val="005C5C99"/>
    <w:rsid w:val="00604CE0"/>
    <w:rsid w:val="00604D67"/>
    <w:rsid w:val="00654C3F"/>
    <w:rsid w:val="007661BE"/>
    <w:rsid w:val="00790652"/>
    <w:rsid w:val="007F0961"/>
    <w:rsid w:val="00805C6D"/>
    <w:rsid w:val="008824E8"/>
    <w:rsid w:val="008F32CB"/>
    <w:rsid w:val="00903444"/>
    <w:rsid w:val="009034A3"/>
    <w:rsid w:val="00952FFD"/>
    <w:rsid w:val="009A7030"/>
    <w:rsid w:val="00A30AD8"/>
    <w:rsid w:val="00A82275"/>
    <w:rsid w:val="00A86FF6"/>
    <w:rsid w:val="00AA4D5B"/>
    <w:rsid w:val="00AA6642"/>
    <w:rsid w:val="00AB15F6"/>
    <w:rsid w:val="00B22864"/>
    <w:rsid w:val="00B802F0"/>
    <w:rsid w:val="00C07B64"/>
    <w:rsid w:val="00C4710C"/>
    <w:rsid w:val="00C515EC"/>
    <w:rsid w:val="00C57B0C"/>
    <w:rsid w:val="00C753EB"/>
    <w:rsid w:val="00CB0E14"/>
    <w:rsid w:val="00D3078A"/>
    <w:rsid w:val="00D526E7"/>
    <w:rsid w:val="00DA1236"/>
    <w:rsid w:val="00DD79E6"/>
    <w:rsid w:val="00E56FDD"/>
    <w:rsid w:val="00EA32D0"/>
    <w:rsid w:val="00EF5A42"/>
    <w:rsid w:val="00EF75A5"/>
    <w:rsid w:val="00F25FEB"/>
    <w:rsid w:val="00F838C3"/>
    <w:rsid w:val="01135436"/>
    <w:rsid w:val="014C0B16"/>
    <w:rsid w:val="016A1CF1"/>
    <w:rsid w:val="017C07EC"/>
    <w:rsid w:val="01AC6F50"/>
    <w:rsid w:val="021753D3"/>
    <w:rsid w:val="02266C20"/>
    <w:rsid w:val="0289629F"/>
    <w:rsid w:val="02D4476E"/>
    <w:rsid w:val="02FF3C4A"/>
    <w:rsid w:val="03011BBD"/>
    <w:rsid w:val="03194E90"/>
    <w:rsid w:val="034D796D"/>
    <w:rsid w:val="03701C45"/>
    <w:rsid w:val="03715658"/>
    <w:rsid w:val="038D3245"/>
    <w:rsid w:val="03C55720"/>
    <w:rsid w:val="03DF51A5"/>
    <w:rsid w:val="03E67279"/>
    <w:rsid w:val="04777C3B"/>
    <w:rsid w:val="04E529F9"/>
    <w:rsid w:val="05A0728A"/>
    <w:rsid w:val="05A22403"/>
    <w:rsid w:val="05A924C0"/>
    <w:rsid w:val="05B577EE"/>
    <w:rsid w:val="05C96CA2"/>
    <w:rsid w:val="05D24C9C"/>
    <w:rsid w:val="05D64307"/>
    <w:rsid w:val="05D85CCC"/>
    <w:rsid w:val="05DE00B2"/>
    <w:rsid w:val="05E952DB"/>
    <w:rsid w:val="05EA3BDA"/>
    <w:rsid w:val="06073F29"/>
    <w:rsid w:val="067C18D9"/>
    <w:rsid w:val="06850F0D"/>
    <w:rsid w:val="06937409"/>
    <w:rsid w:val="06FD3C28"/>
    <w:rsid w:val="06FE3BA5"/>
    <w:rsid w:val="0704052A"/>
    <w:rsid w:val="070830B3"/>
    <w:rsid w:val="072A6D47"/>
    <w:rsid w:val="07785314"/>
    <w:rsid w:val="078A4FDB"/>
    <w:rsid w:val="08562045"/>
    <w:rsid w:val="08682F22"/>
    <w:rsid w:val="09003C64"/>
    <w:rsid w:val="092162EF"/>
    <w:rsid w:val="092307A2"/>
    <w:rsid w:val="09591D70"/>
    <w:rsid w:val="09FD3213"/>
    <w:rsid w:val="0B415214"/>
    <w:rsid w:val="0B73388F"/>
    <w:rsid w:val="0B904706"/>
    <w:rsid w:val="0BA54DDA"/>
    <w:rsid w:val="0BE43362"/>
    <w:rsid w:val="0C095A89"/>
    <w:rsid w:val="0C7901C1"/>
    <w:rsid w:val="0C9852CE"/>
    <w:rsid w:val="0C9F0E30"/>
    <w:rsid w:val="0CC121AA"/>
    <w:rsid w:val="0D0A01AE"/>
    <w:rsid w:val="0D7824D8"/>
    <w:rsid w:val="0D7C263C"/>
    <w:rsid w:val="0D7F540D"/>
    <w:rsid w:val="0DB5209D"/>
    <w:rsid w:val="0DB53CCE"/>
    <w:rsid w:val="0DBE6B1E"/>
    <w:rsid w:val="0DD25FA8"/>
    <w:rsid w:val="0DE27226"/>
    <w:rsid w:val="0DF31554"/>
    <w:rsid w:val="0DF36C47"/>
    <w:rsid w:val="0E5B0C85"/>
    <w:rsid w:val="0E6543DE"/>
    <w:rsid w:val="0EB44013"/>
    <w:rsid w:val="0EBF1C5F"/>
    <w:rsid w:val="0EF46807"/>
    <w:rsid w:val="0F2532A5"/>
    <w:rsid w:val="0F743422"/>
    <w:rsid w:val="0F8C4987"/>
    <w:rsid w:val="0FD508CF"/>
    <w:rsid w:val="0FDD2EDC"/>
    <w:rsid w:val="0FE5189C"/>
    <w:rsid w:val="10476680"/>
    <w:rsid w:val="10737916"/>
    <w:rsid w:val="10B75C87"/>
    <w:rsid w:val="11174C36"/>
    <w:rsid w:val="113874CE"/>
    <w:rsid w:val="11640158"/>
    <w:rsid w:val="11697277"/>
    <w:rsid w:val="11AA10C6"/>
    <w:rsid w:val="11AD4E89"/>
    <w:rsid w:val="11C371C3"/>
    <w:rsid w:val="12045DD9"/>
    <w:rsid w:val="12324E32"/>
    <w:rsid w:val="127A4268"/>
    <w:rsid w:val="12AD1419"/>
    <w:rsid w:val="12C0546C"/>
    <w:rsid w:val="12D30353"/>
    <w:rsid w:val="12F661AD"/>
    <w:rsid w:val="131E3F3D"/>
    <w:rsid w:val="134C1EDA"/>
    <w:rsid w:val="13913A8A"/>
    <w:rsid w:val="139717B6"/>
    <w:rsid w:val="139F71D4"/>
    <w:rsid w:val="13F43CEC"/>
    <w:rsid w:val="13F75B56"/>
    <w:rsid w:val="140310C7"/>
    <w:rsid w:val="140415C7"/>
    <w:rsid w:val="142939D1"/>
    <w:rsid w:val="143A2954"/>
    <w:rsid w:val="148669C7"/>
    <w:rsid w:val="149965F8"/>
    <w:rsid w:val="14DD4088"/>
    <w:rsid w:val="14E245C6"/>
    <w:rsid w:val="14E97C4C"/>
    <w:rsid w:val="14F67130"/>
    <w:rsid w:val="152028F2"/>
    <w:rsid w:val="153A679D"/>
    <w:rsid w:val="15813F0F"/>
    <w:rsid w:val="15896FE2"/>
    <w:rsid w:val="15BF4AEE"/>
    <w:rsid w:val="15D33824"/>
    <w:rsid w:val="16106200"/>
    <w:rsid w:val="168F6711"/>
    <w:rsid w:val="16A96046"/>
    <w:rsid w:val="16AD062D"/>
    <w:rsid w:val="16F57C8A"/>
    <w:rsid w:val="17221AE9"/>
    <w:rsid w:val="172C4184"/>
    <w:rsid w:val="172C6DD7"/>
    <w:rsid w:val="174B6FB0"/>
    <w:rsid w:val="17813A05"/>
    <w:rsid w:val="17965E0C"/>
    <w:rsid w:val="17A673EB"/>
    <w:rsid w:val="17F953FD"/>
    <w:rsid w:val="1805550B"/>
    <w:rsid w:val="1834207B"/>
    <w:rsid w:val="185D5C14"/>
    <w:rsid w:val="186A6762"/>
    <w:rsid w:val="189D4023"/>
    <w:rsid w:val="18AE7CF2"/>
    <w:rsid w:val="18DE342C"/>
    <w:rsid w:val="1908028C"/>
    <w:rsid w:val="1946341B"/>
    <w:rsid w:val="195761CE"/>
    <w:rsid w:val="198F0FBE"/>
    <w:rsid w:val="199917B6"/>
    <w:rsid w:val="19C8351E"/>
    <w:rsid w:val="19CF0A24"/>
    <w:rsid w:val="19F94B38"/>
    <w:rsid w:val="1A2A6205"/>
    <w:rsid w:val="1A2B2211"/>
    <w:rsid w:val="1A817126"/>
    <w:rsid w:val="1AEE5BE7"/>
    <w:rsid w:val="1B474583"/>
    <w:rsid w:val="1C4A7211"/>
    <w:rsid w:val="1C550B58"/>
    <w:rsid w:val="1C8E4E2E"/>
    <w:rsid w:val="1CDE26E0"/>
    <w:rsid w:val="1CED286B"/>
    <w:rsid w:val="1D12430F"/>
    <w:rsid w:val="1D191EEF"/>
    <w:rsid w:val="1D756FD8"/>
    <w:rsid w:val="1D86772F"/>
    <w:rsid w:val="1DD93DA5"/>
    <w:rsid w:val="1E221745"/>
    <w:rsid w:val="1E605AFB"/>
    <w:rsid w:val="1EE63115"/>
    <w:rsid w:val="1F6565C4"/>
    <w:rsid w:val="1F7607B5"/>
    <w:rsid w:val="1F795897"/>
    <w:rsid w:val="1F931CF0"/>
    <w:rsid w:val="1FB90D8F"/>
    <w:rsid w:val="1FF140D1"/>
    <w:rsid w:val="200277C2"/>
    <w:rsid w:val="200662E1"/>
    <w:rsid w:val="205C4907"/>
    <w:rsid w:val="205E312F"/>
    <w:rsid w:val="20635A78"/>
    <w:rsid w:val="20673BC5"/>
    <w:rsid w:val="209F020E"/>
    <w:rsid w:val="20B80FD9"/>
    <w:rsid w:val="20CC0118"/>
    <w:rsid w:val="20EE15D8"/>
    <w:rsid w:val="21576935"/>
    <w:rsid w:val="22122FA8"/>
    <w:rsid w:val="22272189"/>
    <w:rsid w:val="22603543"/>
    <w:rsid w:val="22885489"/>
    <w:rsid w:val="22AF062F"/>
    <w:rsid w:val="22CC7944"/>
    <w:rsid w:val="230C4462"/>
    <w:rsid w:val="23183437"/>
    <w:rsid w:val="233F333B"/>
    <w:rsid w:val="238D6709"/>
    <w:rsid w:val="23B757BD"/>
    <w:rsid w:val="23CB466B"/>
    <w:rsid w:val="244B6C7D"/>
    <w:rsid w:val="245305FB"/>
    <w:rsid w:val="24836395"/>
    <w:rsid w:val="24B16F65"/>
    <w:rsid w:val="25297B38"/>
    <w:rsid w:val="25497D26"/>
    <w:rsid w:val="254D5F88"/>
    <w:rsid w:val="25616D3B"/>
    <w:rsid w:val="25964E63"/>
    <w:rsid w:val="25A678DC"/>
    <w:rsid w:val="25F43A99"/>
    <w:rsid w:val="25F93CD1"/>
    <w:rsid w:val="260C1DEB"/>
    <w:rsid w:val="263B64F1"/>
    <w:rsid w:val="264B7631"/>
    <w:rsid w:val="26A17903"/>
    <w:rsid w:val="26B167E7"/>
    <w:rsid w:val="26D42F2C"/>
    <w:rsid w:val="276322D3"/>
    <w:rsid w:val="27B326F1"/>
    <w:rsid w:val="27FA56E8"/>
    <w:rsid w:val="282073BC"/>
    <w:rsid w:val="28975EF5"/>
    <w:rsid w:val="28A150A9"/>
    <w:rsid w:val="28B266B1"/>
    <w:rsid w:val="28D20053"/>
    <w:rsid w:val="290B5507"/>
    <w:rsid w:val="290E41B7"/>
    <w:rsid w:val="29194077"/>
    <w:rsid w:val="29A74947"/>
    <w:rsid w:val="29A96E0B"/>
    <w:rsid w:val="29BD337A"/>
    <w:rsid w:val="29D513D1"/>
    <w:rsid w:val="2A6732F2"/>
    <w:rsid w:val="2AC00305"/>
    <w:rsid w:val="2ACD34D9"/>
    <w:rsid w:val="2B2F6A9D"/>
    <w:rsid w:val="2B30498D"/>
    <w:rsid w:val="2B343FD5"/>
    <w:rsid w:val="2B3601EC"/>
    <w:rsid w:val="2B444C26"/>
    <w:rsid w:val="2B5A56F9"/>
    <w:rsid w:val="2C00117B"/>
    <w:rsid w:val="2C0568EB"/>
    <w:rsid w:val="2C433A97"/>
    <w:rsid w:val="2C7B7697"/>
    <w:rsid w:val="2CA05729"/>
    <w:rsid w:val="2CDF1037"/>
    <w:rsid w:val="2CF96723"/>
    <w:rsid w:val="2D4E0F45"/>
    <w:rsid w:val="2D511A3A"/>
    <w:rsid w:val="2D89063E"/>
    <w:rsid w:val="2D8F0108"/>
    <w:rsid w:val="2D9A04D1"/>
    <w:rsid w:val="2D9D791F"/>
    <w:rsid w:val="2DCF110D"/>
    <w:rsid w:val="2DED42C7"/>
    <w:rsid w:val="2E0557C0"/>
    <w:rsid w:val="2E457BFF"/>
    <w:rsid w:val="2E5A30B5"/>
    <w:rsid w:val="2E673927"/>
    <w:rsid w:val="2E881DA3"/>
    <w:rsid w:val="2E945199"/>
    <w:rsid w:val="2EF32BFC"/>
    <w:rsid w:val="2EF63937"/>
    <w:rsid w:val="2F01028D"/>
    <w:rsid w:val="2F0B0C75"/>
    <w:rsid w:val="2F784C59"/>
    <w:rsid w:val="2FAA6280"/>
    <w:rsid w:val="2FC25F2E"/>
    <w:rsid w:val="300B38B6"/>
    <w:rsid w:val="30111048"/>
    <w:rsid w:val="30256352"/>
    <w:rsid w:val="3032396F"/>
    <w:rsid w:val="306B6AA7"/>
    <w:rsid w:val="307A71D3"/>
    <w:rsid w:val="30B128B3"/>
    <w:rsid w:val="310D3A74"/>
    <w:rsid w:val="314A0705"/>
    <w:rsid w:val="315959A2"/>
    <w:rsid w:val="31901DBB"/>
    <w:rsid w:val="320A1ED1"/>
    <w:rsid w:val="32A2759D"/>
    <w:rsid w:val="32C26287"/>
    <w:rsid w:val="32E65A73"/>
    <w:rsid w:val="32EB53B2"/>
    <w:rsid w:val="32EC12B7"/>
    <w:rsid w:val="33055502"/>
    <w:rsid w:val="336B6E3C"/>
    <w:rsid w:val="338E763B"/>
    <w:rsid w:val="3398021F"/>
    <w:rsid w:val="339F5D9E"/>
    <w:rsid w:val="33ED79C5"/>
    <w:rsid w:val="340F179F"/>
    <w:rsid w:val="34686BC3"/>
    <w:rsid w:val="34B578B6"/>
    <w:rsid w:val="34C5219B"/>
    <w:rsid w:val="34C86414"/>
    <w:rsid w:val="34CF67BA"/>
    <w:rsid w:val="34D26A4B"/>
    <w:rsid w:val="34D54477"/>
    <w:rsid w:val="350A3023"/>
    <w:rsid w:val="353B4422"/>
    <w:rsid w:val="35591B00"/>
    <w:rsid w:val="35740BA3"/>
    <w:rsid w:val="35831C08"/>
    <w:rsid w:val="35C36AF6"/>
    <w:rsid w:val="35CE4A25"/>
    <w:rsid w:val="35D40C21"/>
    <w:rsid w:val="36483084"/>
    <w:rsid w:val="3672163D"/>
    <w:rsid w:val="368D3FAE"/>
    <w:rsid w:val="36BA76ED"/>
    <w:rsid w:val="36ED7342"/>
    <w:rsid w:val="36FA4C01"/>
    <w:rsid w:val="370B7437"/>
    <w:rsid w:val="371C0D42"/>
    <w:rsid w:val="377E6DFC"/>
    <w:rsid w:val="378B76CC"/>
    <w:rsid w:val="379B39FC"/>
    <w:rsid w:val="38360350"/>
    <w:rsid w:val="38547615"/>
    <w:rsid w:val="39492513"/>
    <w:rsid w:val="39BF0D80"/>
    <w:rsid w:val="39C20E1C"/>
    <w:rsid w:val="3A6B01B6"/>
    <w:rsid w:val="3A7D1855"/>
    <w:rsid w:val="3A846755"/>
    <w:rsid w:val="3ABA5712"/>
    <w:rsid w:val="3ADE68C7"/>
    <w:rsid w:val="3AEF279D"/>
    <w:rsid w:val="3AEF4777"/>
    <w:rsid w:val="3B2644CD"/>
    <w:rsid w:val="3B430461"/>
    <w:rsid w:val="3BE5458D"/>
    <w:rsid w:val="3C104145"/>
    <w:rsid w:val="3C756EE9"/>
    <w:rsid w:val="3CDD7828"/>
    <w:rsid w:val="3D127B4C"/>
    <w:rsid w:val="3D6C5915"/>
    <w:rsid w:val="3D9C32CC"/>
    <w:rsid w:val="3E234DC4"/>
    <w:rsid w:val="3E9F313E"/>
    <w:rsid w:val="3EFC7B1C"/>
    <w:rsid w:val="3F583E03"/>
    <w:rsid w:val="3F5C6A0D"/>
    <w:rsid w:val="3FB0214A"/>
    <w:rsid w:val="4004626D"/>
    <w:rsid w:val="402F1B2F"/>
    <w:rsid w:val="40BD122B"/>
    <w:rsid w:val="40D53332"/>
    <w:rsid w:val="410A1001"/>
    <w:rsid w:val="411D3C1C"/>
    <w:rsid w:val="4129496C"/>
    <w:rsid w:val="413B1FBD"/>
    <w:rsid w:val="416375D9"/>
    <w:rsid w:val="41715AFC"/>
    <w:rsid w:val="41980E1D"/>
    <w:rsid w:val="41B37F9C"/>
    <w:rsid w:val="420C0238"/>
    <w:rsid w:val="421E09F4"/>
    <w:rsid w:val="42731FDC"/>
    <w:rsid w:val="42765191"/>
    <w:rsid w:val="4289581C"/>
    <w:rsid w:val="42A60A7F"/>
    <w:rsid w:val="43015973"/>
    <w:rsid w:val="434E1FBA"/>
    <w:rsid w:val="43AD2AF8"/>
    <w:rsid w:val="43EB1CD5"/>
    <w:rsid w:val="44055D98"/>
    <w:rsid w:val="44340D5A"/>
    <w:rsid w:val="44582F8A"/>
    <w:rsid w:val="44996B61"/>
    <w:rsid w:val="449B18B6"/>
    <w:rsid w:val="449B33F4"/>
    <w:rsid w:val="44E14C3B"/>
    <w:rsid w:val="455D03E0"/>
    <w:rsid w:val="45AE2049"/>
    <w:rsid w:val="45E2543C"/>
    <w:rsid w:val="462C6C83"/>
    <w:rsid w:val="466F021C"/>
    <w:rsid w:val="46997D40"/>
    <w:rsid w:val="46BF02C7"/>
    <w:rsid w:val="47284123"/>
    <w:rsid w:val="4733559C"/>
    <w:rsid w:val="4746716B"/>
    <w:rsid w:val="479D74E1"/>
    <w:rsid w:val="47B515A5"/>
    <w:rsid w:val="47CF4142"/>
    <w:rsid w:val="47EC4ADA"/>
    <w:rsid w:val="47F66A3F"/>
    <w:rsid w:val="480B3C61"/>
    <w:rsid w:val="4846415E"/>
    <w:rsid w:val="48546281"/>
    <w:rsid w:val="487B729B"/>
    <w:rsid w:val="48BA071A"/>
    <w:rsid w:val="48C928D2"/>
    <w:rsid w:val="48FF2BDE"/>
    <w:rsid w:val="49284D7B"/>
    <w:rsid w:val="49931412"/>
    <w:rsid w:val="4A083B20"/>
    <w:rsid w:val="4A120026"/>
    <w:rsid w:val="4A5C750F"/>
    <w:rsid w:val="4A8A0C30"/>
    <w:rsid w:val="4AA701D0"/>
    <w:rsid w:val="4AEC69EA"/>
    <w:rsid w:val="4AFB3C46"/>
    <w:rsid w:val="4B0764DA"/>
    <w:rsid w:val="4B414362"/>
    <w:rsid w:val="4B694FD1"/>
    <w:rsid w:val="4BBE093C"/>
    <w:rsid w:val="4BC314CF"/>
    <w:rsid w:val="4BD202D7"/>
    <w:rsid w:val="4C1137E8"/>
    <w:rsid w:val="4C134DAC"/>
    <w:rsid w:val="4C1C7B70"/>
    <w:rsid w:val="4C314045"/>
    <w:rsid w:val="4C843EA0"/>
    <w:rsid w:val="4C98469F"/>
    <w:rsid w:val="4CD323CB"/>
    <w:rsid w:val="4D170766"/>
    <w:rsid w:val="4D1A2039"/>
    <w:rsid w:val="4D380754"/>
    <w:rsid w:val="4D7C600C"/>
    <w:rsid w:val="4D962ADC"/>
    <w:rsid w:val="4DC56E5C"/>
    <w:rsid w:val="4DE0204C"/>
    <w:rsid w:val="4E082660"/>
    <w:rsid w:val="4E406DF4"/>
    <w:rsid w:val="4E526341"/>
    <w:rsid w:val="4E82699D"/>
    <w:rsid w:val="4E851EAF"/>
    <w:rsid w:val="4EAF0CA3"/>
    <w:rsid w:val="4F33762B"/>
    <w:rsid w:val="4F821614"/>
    <w:rsid w:val="4F8A1374"/>
    <w:rsid w:val="4F952417"/>
    <w:rsid w:val="50027558"/>
    <w:rsid w:val="502B0093"/>
    <w:rsid w:val="503D19DB"/>
    <w:rsid w:val="506004C6"/>
    <w:rsid w:val="506C7A82"/>
    <w:rsid w:val="50FC25E8"/>
    <w:rsid w:val="5128115D"/>
    <w:rsid w:val="51353149"/>
    <w:rsid w:val="51962028"/>
    <w:rsid w:val="51C567CE"/>
    <w:rsid w:val="51CD7442"/>
    <w:rsid w:val="51ED1878"/>
    <w:rsid w:val="520F313C"/>
    <w:rsid w:val="525F7333"/>
    <w:rsid w:val="52E17529"/>
    <w:rsid w:val="52E94940"/>
    <w:rsid w:val="53194C0A"/>
    <w:rsid w:val="536B7B6A"/>
    <w:rsid w:val="53885555"/>
    <w:rsid w:val="53C622E2"/>
    <w:rsid w:val="53F842FF"/>
    <w:rsid w:val="54183CA2"/>
    <w:rsid w:val="543D0C99"/>
    <w:rsid w:val="54593D58"/>
    <w:rsid w:val="54625B70"/>
    <w:rsid w:val="547336DF"/>
    <w:rsid w:val="54E301FF"/>
    <w:rsid w:val="551000A0"/>
    <w:rsid w:val="55BD431F"/>
    <w:rsid w:val="55DA2F1B"/>
    <w:rsid w:val="562F52E5"/>
    <w:rsid w:val="563273DB"/>
    <w:rsid w:val="56512D9A"/>
    <w:rsid w:val="56592E35"/>
    <w:rsid w:val="56D75640"/>
    <w:rsid w:val="57830A7D"/>
    <w:rsid w:val="589F31AE"/>
    <w:rsid w:val="58AE19EE"/>
    <w:rsid w:val="595D7EA6"/>
    <w:rsid w:val="598271F0"/>
    <w:rsid w:val="598A223D"/>
    <w:rsid w:val="5A0308DC"/>
    <w:rsid w:val="5A227D37"/>
    <w:rsid w:val="5A2A7E5D"/>
    <w:rsid w:val="5A416797"/>
    <w:rsid w:val="5A752A79"/>
    <w:rsid w:val="5AAC2224"/>
    <w:rsid w:val="5AD656BB"/>
    <w:rsid w:val="5B0A745B"/>
    <w:rsid w:val="5B262AF8"/>
    <w:rsid w:val="5B8A3DE0"/>
    <w:rsid w:val="5BCE58DE"/>
    <w:rsid w:val="5BF40C8D"/>
    <w:rsid w:val="5BFF3339"/>
    <w:rsid w:val="5C443156"/>
    <w:rsid w:val="5C475C15"/>
    <w:rsid w:val="5CBD1B8F"/>
    <w:rsid w:val="5CE43E85"/>
    <w:rsid w:val="5D183DA6"/>
    <w:rsid w:val="5D4915F8"/>
    <w:rsid w:val="5D76331E"/>
    <w:rsid w:val="5D912D98"/>
    <w:rsid w:val="5DC7396C"/>
    <w:rsid w:val="5E5E3634"/>
    <w:rsid w:val="5ED04544"/>
    <w:rsid w:val="5F0C0D4F"/>
    <w:rsid w:val="5F6912CA"/>
    <w:rsid w:val="5FB044E4"/>
    <w:rsid w:val="5FC04876"/>
    <w:rsid w:val="5FE00B81"/>
    <w:rsid w:val="5FEB37E2"/>
    <w:rsid w:val="5FEE0C99"/>
    <w:rsid w:val="6011041D"/>
    <w:rsid w:val="602F27C6"/>
    <w:rsid w:val="6030306F"/>
    <w:rsid w:val="60811002"/>
    <w:rsid w:val="60D75441"/>
    <w:rsid w:val="60F024A6"/>
    <w:rsid w:val="612E4DB4"/>
    <w:rsid w:val="61874675"/>
    <w:rsid w:val="61977105"/>
    <w:rsid w:val="623611FE"/>
    <w:rsid w:val="62551303"/>
    <w:rsid w:val="62A32D6A"/>
    <w:rsid w:val="62A57D4F"/>
    <w:rsid w:val="6363636C"/>
    <w:rsid w:val="63944BB3"/>
    <w:rsid w:val="63C1694B"/>
    <w:rsid w:val="63EB65CE"/>
    <w:rsid w:val="643C7525"/>
    <w:rsid w:val="646E31FA"/>
    <w:rsid w:val="64AD4E57"/>
    <w:rsid w:val="65D92D7B"/>
    <w:rsid w:val="660B4C30"/>
    <w:rsid w:val="661A42F1"/>
    <w:rsid w:val="664B5385"/>
    <w:rsid w:val="667377FE"/>
    <w:rsid w:val="66811214"/>
    <w:rsid w:val="66C725A7"/>
    <w:rsid w:val="66DD7336"/>
    <w:rsid w:val="670818F0"/>
    <w:rsid w:val="675F68E3"/>
    <w:rsid w:val="676C60FB"/>
    <w:rsid w:val="67A770F4"/>
    <w:rsid w:val="686A4065"/>
    <w:rsid w:val="688A4AF7"/>
    <w:rsid w:val="689226D6"/>
    <w:rsid w:val="68C538EA"/>
    <w:rsid w:val="68C801CB"/>
    <w:rsid w:val="68DB770D"/>
    <w:rsid w:val="69207DE4"/>
    <w:rsid w:val="692D77F1"/>
    <w:rsid w:val="696B527D"/>
    <w:rsid w:val="69EF5AB2"/>
    <w:rsid w:val="69FD33CD"/>
    <w:rsid w:val="6A2F44F6"/>
    <w:rsid w:val="6A6E5FEE"/>
    <w:rsid w:val="6A9B5643"/>
    <w:rsid w:val="6AD11D4E"/>
    <w:rsid w:val="6AFC273E"/>
    <w:rsid w:val="6B8E3593"/>
    <w:rsid w:val="6BAE3563"/>
    <w:rsid w:val="6BE73213"/>
    <w:rsid w:val="6C4F33A7"/>
    <w:rsid w:val="6C536BEF"/>
    <w:rsid w:val="6D5E0D4B"/>
    <w:rsid w:val="6D7042E9"/>
    <w:rsid w:val="6D8C5028"/>
    <w:rsid w:val="6DB56DE2"/>
    <w:rsid w:val="6DEA28B4"/>
    <w:rsid w:val="6DED1B92"/>
    <w:rsid w:val="6E03751F"/>
    <w:rsid w:val="6E4D2E65"/>
    <w:rsid w:val="6E9B2FC9"/>
    <w:rsid w:val="6EC61164"/>
    <w:rsid w:val="6EC619EF"/>
    <w:rsid w:val="6EC82B93"/>
    <w:rsid w:val="6EE219B1"/>
    <w:rsid w:val="6F0B0545"/>
    <w:rsid w:val="6F2B1134"/>
    <w:rsid w:val="6FB912E5"/>
    <w:rsid w:val="6FED0AF0"/>
    <w:rsid w:val="6FFD0E3C"/>
    <w:rsid w:val="700B21A7"/>
    <w:rsid w:val="70572732"/>
    <w:rsid w:val="70797CF9"/>
    <w:rsid w:val="707A6251"/>
    <w:rsid w:val="70916064"/>
    <w:rsid w:val="70B737E0"/>
    <w:rsid w:val="70EE76CE"/>
    <w:rsid w:val="711004E8"/>
    <w:rsid w:val="711F39B1"/>
    <w:rsid w:val="715D01B7"/>
    <w:rsid w:val="718078E0"/>
    <w:rsid w:val="71824674"/>
    <w:rsid w:val="719006BD"/>
    <w:rsid w:val="727F1C92"/>
    <w:rsid w:val="729E112C"/>
    <w:rsid w:val="72A82D13"/>
    <w:rsid w:val="734D14E2"/>
    <w:rsid w:val="735E5433"/>
    <w:rsid w:val="73827E5F"/>
    <w:rsid w:val="73F71315"/>
    <w:rsid w:val="74444369"/>
    <w:rsid w:val="74485A21"/>
    <w:rsid w:val="745A1B39"/>
    <w:rsid w:val="74602013"/>
    <w:rsid w:val="748C7698"/>
    <w:rsid w:val="74DE6375"/>
    <w:rsid w:val="74E773D0"/>
    <w:rsid w:val="75EC6D7E"/>
    <w:rsid w:val="763B2D0D"/>
    <w:rsid w:val="766C6ABF"/>
    <w:rsid w:val="767039DF"/>
    <w:rsid w:val="76936ED6"/>
    <w:rsid w:val="76AC6436"/>
    <w:rsid w:val="76B4694B"/>
    <w:rsid w:val="76B4778D"/>
    <w:rsid w:val="76E75B4F"/>
    <w:rsid w:val="7717796A"/>
    <w:rsid w:val="773C6649"/>
    <w:rsid w:val="77811804"/>
    <w:rsid w:val="77C21915"/>
    <w:rsid w:val="77CB4D6F"/>
    <w:rsid w:val="77CC707D"/>
    <w:rsid w:val="77F01BF2"/>
    <w:rsid w:val="77FA6E39"/>
    <w:rsid w:val="78032D08"/>
    <w:rsid w:val="78512FEE"/>
    <w:rsid w:val="78747D68"/>
    <w:rsid w:val="78757970"/>
    <w:rsid w:val="78871BB4"/>
    <w:rsid w:val="78972965"/>
    <w:rsid w:val="78A7540C"/>
    <w:rsid w:val="78EE42BD"/>
    <w:rsid w:val="79250C0A"/>
    <w:rsid w:val="79255F99"/>
    <w:rsid w:val="7934680C"/>
    <w:rsid w:val="797A4532"/>
    <w:rsid w:val="79B54D0C"/>
    <w:rsid w:val="7AA9294C"/>
    <w:rsid w:val="7B4372BF"/>
    <w:rsid w:val="7B4C4CAB"/>
    <w:rsid w:val="7B6B604A"/>
    <w:rsid w:val="7B9750EE"/>
    <w:rsid w:val="7BD007D6"/>
    <w:rsid w:val="7C444055"/>
    <w:rsid w:val="7CA259C5"/>
    <w:rsid w:val="7CBA0BE6"/>
    <w:rsid w:val="7D5F5745"/>
    <w:rsid w:val="7D747510"/>
    <w:rsid w:val="7D9E595A"/>
    <w:rsid w:val="7DAB026E"/>
    <w:rsid w:val="7DBD23A0"/>
    <w:rsid w:val="7DDB1FBE"/>
    <w:rsid w:val="7DDB2C00"/>
    <w:rsid w:val="7E981AB7"/>
    <w:rsid w:val="7E995D31"/>
    <w:rsid w:val="7E9B25F0"/>
    <w:rsid w:val="7EA311E6"/>
    <w:rsid w:val="7F8E7E40"/>
    <w:rsid w:val="7FB8652D"/>
    <w:rsid w:val="7FDA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580" w:lineRule="exact"/>
      <w:ind w:firstLine="880" w:firstLineChars="200"/>
      <w:jc w:val="both"/>
    </w:pPr>
    <w:rPr>
      <w:rFonts w:ascii="仿宋_GB2312" w:hAnsi="仿宋_GB2312" w:eastAsia="仿宋_GB2312" w:cs="仿宋_GB2312"/>
      <w:sz w:val="32"/>
      <w:szCs w:val="22"/>
      <w:lang w:val="zh-CN" w:eastAsia="zh-CN" w:bidi="zh-CN"/>
    </w:rPr>
  </w:style>
  <w:style w:type="paragraph" w:styleId="3">
    <w:name w:val="heading 1"/>
    <w:basedOn w:val="1"/>
    <w:next w:val="1"/>
    <w:qFormat/>
    <w:uiPriority w:val="1"/>
    <w:pPr>
      <w:spacing w:line="700" w:lineRule="exact"/>
      <w:jc w:val="left"/>
      <w:outlineLvl w:val="0"/>
    </w:pPr>
    <w:rPr>
      <w:rFonts w:ascii="黑体" w:hAnsi="黑体" w:eastAsia="黑体" w:cs="黑体"/>
      <w:szCs w:val="32"/>
    </w:rPr>
  </w:style>
  <w:style w:type="paragraph" w:styleId="4">
    <w:name w:val="heading 2"/>
    <w:basedOn w:val="1"/>
    <w:next w:val="1"/>
    <w:qFormat/>
    <w:uiPriority w:val="1"/>
    <w:pPr>
      <w:ind w:left="0"/>
      <w:outlineLvl w:val="1"/>
    </w:pPr>
    <w:rPr>
      <w:rFonts w:ascii="楷体_GB2312" w:hAnsi="楷体_GB2312" w:eastAsia="楷体_GB2312" w:cs="楷体_GB2312"/>
      <w:szCs w:val="32"/>
    </w:rPr>
  </w:style>
  <w:style w:type="paragraph" w:styleId="5">
    <w:name w:val="heading 3"/>
    <w:basedOn w:val="1"/>
    <w:next w:val="1"/>
    <w:link w:val="43"/>
    <w:unhideWhenUsed/>
    <w:qFormat/>
    <w:uiPriority w:val="0"/>
    <w:pPr>
      <w:keepNext/>
      <w:keepLines/>
      <w:spacing w:line="580" w:lineRule="exact"/>
      <w:outlineLvl w:val="2"/>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left"/>
      <w:outlineLvl w:val="0"/>
    </w:pPr>
    <w:rPr>
      <w:rFonts w:ascii="等线 Light" w:hAnsi="等线 Light" w:eastAsia="仿宋"/>
      <w:b/>
      <w:bCs/>
      <w:szCs w:val="32"/>
    </w:rPr>
  </w:style>
  <w:style w:type="paragraph" w:styleId="6">
    <w:name w:val="Normal Indent"/>
    <w:basedOn w:val="1"/>
    <w:qFormat/>
    <w:uiPriority w:val="0"/>
    <w:pPr>
      <w:ind w:firstLine="420"/>
    </w:pPr>
    <w:rPr>
      <w:sz w:val="14"/>
    </w:rPr>
  </w:style>
  <w:style w:type="paragraph" w:styleId="7">
    <w:name w:val="Document Map"/>
    <w:basedOn w:val="1"/>
    <w:link w:val="41"/>
    <w:qFormat/>
    <w:uiPriority w:val="0"/>
    <w:rPr>
      <w:rFonts w:ascii="宋体" w:eastAsia="宋体"/>
      <w:sz w:val="18"/>
      <w:szCs w:val="18"/>
    </w:rPr>
  </w:style>
  <w:style w:type="paragraph" w:styleId="8">
    <w:name w:val="annotation text"/>
    <w:basedOn w:val="1"/>
    <w:link w:val="34"/>
    <w:qFormat/>
    <w:uiPriority w:val="0"/>
  </w:style>
  <w:style w:type="paragraph" w:styleId="9">
    <w:name w:val="Body Text"/>
    <w:basedOn w:val="1"/>
    <w:next w:val="6"/>
    <w:qFormat/>
    <w:uiPriority w:val="1"/>
    <w:rPr>
      <w:szCs w:val="32"/>
    </w:rPr>
  </w:style>
  <w:style w:type="paragraph" w:styleId="10">
    <w:name w:val="Body Text Indent"/>
    <w:basedOn w:val="1"/>
    <w:next w:val="1"/>
    <w:qFormat/>
    <w:uiPriority w:val="0"/>
    <w:pPr>
      <w:ind w:firstLine="645"/>
    </w:pPr>
    <w:rPr>
      <w:sz w:val="32"/>
    </w:rPr>
  </w:style>
  <w:style w:type="paragraph" w:styleId="11">
    <w:name w:val="toc 3"/>
    <w:basedOn w:val="1"/>
    <w:next w:val="1"/>
    <w:qFormat/>
    <w:uiPriority w:val="0"/>
    <w:pPr>
      <w:ind w:left="840" w:leftChars="400"/>
    </w:pPr>
  </w:style>
  <w:style w:type="paragraph" w:styleId="12">
    <w:name w:val="Date"/>
    <w:basedOn w:val="1"/>
    <w:next w:val="1"/>
    <w:qFormat/>
    <w:uiPriority w:val="0"/>
    <w:pPr>
      <w:ind w:left="100" w:leftChars="2500"/>
    </w:pPr>
  </w:style>
  <w:style w:type="paragraph" w:styleId="13">
    <w:name w:val="Balloon Text"/>
    <w:basedOn w:val="1"/>
    <w:link w:val="31"/>
    <w:qFormat/>
    <w:uiPriority w:val="0"/>
    <w:rPr>
      <w:sz w:val="18"/>
      <w:szCs w:val="18"/>
    </w:rPr>
  </w:style>
  <w:style w:type="paragraph" w:styleId="14">
    <w:name w:val="footer"/>
    <w:basedOn w:val="1"/>
    <w:link w:val="33"/>
    <w:qFormat/>
    <w:uiPriority w:val="0"/>
    <w:pPr>
      <w:tabs>
        <w:tab w:val="center" w:pos="4153"/>
        <w:tab w:val="right" w:pos="8306"/>
      </w:tabs>
      <w:snapToGrid w:val="0"/>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pPr>
    <w:rPr>
      <w:rFonts w:ascii="宋体" w:hAnsi="宋体" w:eastAsia="宋体" w:cs="宋体"/>
      <w:sz w:val="24"/>
      <w:szCs w:val="24"/>
    </w:rPr>
  </w:style>
  <w:style w:type="paragraph" w:styleId="19">
    <w:name w:val="annotation subject"/>
    <w:basedOn w:val="8"/>
    <w:next w:val="8"/>
    <w:link w:val="35"/>
    <w:qFormat/>
    <w:uiPriority w:val="0"/>
    <w:rPr>
      <w:b/>
      <w:bCs/>
    </w:rPr>
  </w:style>
  <w:style w:type="paragraph" w:styleId="20">
    <w:name w:val="Body Text First Indent"/>
    <w:basedOn w:val="9"/>
    <w:next w:val="21"/>
    <w:qFormat/>
    <w:uiPriority w:val="0"/>
    <w:pPr>
      <w:ind w:firstLine="420" w:firstLineChars="100"/>
    </w:pPr>
    <w:rPr>
      <w:sz w:val="24"/>
      <w:szCs w:val="24"/>
    </w:rPr>
  </w:style>
  <w:style w:type="paragraph" w:styleId="21">
    <w:name w:val="Body Text First Indent 2"/>
    <w:basedOn w:val="10"/>
    <w:next w:val="20"/>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annotation reference"/>
    <w:basedOn w:val="24"/>
    <w:qFormat/>
    <w:uiPriority w:val="0"/>
    <w:rPr>
      <w:sz w:val="21"/>
      <w:szCs w:val="21"/>
    </w:rPr>
  </w:style>
  <w:style w:type="paragraph" w:customStyle="1" w:styleId="27">
    <w:name w:val="列出段落1"/>
    <w:basedOn w:val="1"/>
    <w:qFormat/>
    <w:uiPriority w:val="99"/>
    <w:pPr>
      <w:ind w:firstLine="420" w:firstLineChars="200"/>
    </w:pPr>
    <w:rPr>
      <w:rFonts w:ascii="Calibri" w:hAnsi="Calibri" w:cs="黑体"/>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spacing w:before="3"/>
      <w:ind w:left="209" w:hanging="322"/>
    </w:pPr>
    <w:rPr>
      <w:rFonts w:ascii="宋体" w:hAnsi="宋体" w:eastAsia="宋体" w:cs="宋体"/>
    </w:rPr>
  </w:style>
  <w:style w:type="paragraph" w:customStyle="1" w:styleId="30">
    <w:name w:val="Table Paragraph"/>
    <w:basedOn w:val="1"/>
    <w:qFormat/>
    <w:uiPriority w:val="1"/>
    <w:rPr>
      <w:rFonts w:ascii="宋体" w:hAnsi="宋体" w:eastAsia="宋体" w:cs="宋体"/>
    </w:rPr>
  </w:style>
  <w:style w:type="character" w:customStyle="1" w:styleId="31">
    <w:name w:val="批注框文本 Char"/>
    <w:basedOn w:val="24"/>
    <w:link w:val="13"/>
    <w:qFormat/>
    <w:uiPriority w:val="0"/>
    <w:rPr>
      <w:rFonts w:ascii="仿宋_GB2312" w:hAnsi="仿宋_GB2312" w:eastAsia="仿宋_GB2312" w:cs="仿宋_GB2312"/>
      <w:sz w:val="18"/>
      <w:szCs w:val="18"/>
      <w:lang w:val="zh-CN" w:bidi="zh-CN"/>
    </w:rPr>
  </w:style>
  <w:style w:type="character" w:customStyle="1" w:styleId="32">
    <w:name w:val="页眉 Char"/>
    <w:basedOn w:val="24"/>
    <w:link w:val="15"/>
    <w:qFormat/>
    <w:uiPriority w:val="99"/>
    <w:rPr>
      <w:rFonts w:ascii="仿宋_GB2312" w:hAnsi="仿宋_GB2312" w:eastAsia="仿宋_GB2312" w:cs="仿宋_GB2312"/>
      <w:sz w:val="18"/>
      <w:szCs w:val="18"/>
      <w:lang w:val="zh-CN" w:bidi="zh-CN"/>
    </w:rPr>
  </w:style>
  <w:style w:type="character" w:customStyle="1" w:styleId="33">
    <w:name w:val="页脚 Char"/>
    <w:basedOn w:val="24"/>
    <w:link w:val="14"/>
    <w:qFormat/>
    <w:uiPriority w:val="0"/>
    <w:rPr>
      <w:rFonts w:ascii="仿宋_GB2312" w:hAnsi="仿宋_GB2312" w:eastAsia="仿宋_GB2312" w:cs="仿宋_GB2312"/>
      <w:sz w:val="18"/>
      <w:szCs w:val="18"/>
      <w:lang w:val="zh-CN" w:bidi="zh-CN"/>
    </w:rPr>
  </w:style>
  <w:style w:type="character" w:customStyle="1" w:styleId="34">
    <w:name w:val="批注文字 Char"/>
    <w:basedOn w:val="24"/>
    <w:link w:val="8"/>
    <w:qFormat/>
    <w:uiPriority w:val="0"/>
    <w:rPr>
      <w:rFonts w:ascii="仿宋_GB2312" w:hAnsi="仿宋_GB2312" w:eastAsia="仿宋_GB2312" w:cs="仿宋_GB2312"/>
      <w:sz w:val="22"/>
      <w:szCs w:val="22"/>
      <w:lang w:val="zh-CN" w:bidi="zh-CN"/>
    </w:rPr>
  </w:style>
  <w:style w:type="character" w:customStyle="1" w:styleId="35">
    <w:name w:val="批注主题 Char"/>
    <w:basedOn w:val="34"/>
    <w:link w:val="19"/>
    <w:qFormat/>
    <w:uiPriority w:val="0"/>
    <w:rPr>
      <w:rFonts w:ascii="仿宋_GB2312" w:hAnsi="仿宋_GB2312" w:eastAsia="仿宋_GB2312" w:cs="仿宋_GB2312"/>
      <w:b/>
      <w:bCs/>
      <w:sz w:val="22"/>
      <w:szCs w:val="22"/>
      <w:lang w:val="zh-CN" w:bidi="zh-CN"/>
    </w:rPr>
  </w:style>
  <w:style w:type="character" w:customStyle="1" w:styleId="36">
    <w:name w:val="font161"/>
    <w:basedOn w:val="24"/>
    <w:qFormat/>
    <w:uiPriority w:val="0"/>
    <w:rPr>
      <w:rFonts w:hint="eastAsia" w:ascii="宋体" w:hAnsi="宋体" w:eastAsia="宋体" w:cs="宋体"/>
      <w:b/>
      <w:bCs/>
      <w:color w:val="000000"/>
      <w:sz w:val="18"/>
      <w:szCs w:val="18"/>
      <w:u w:val="none"/>
    </w:rPr>
  </w:style>
  <w:style w:type="character" w:customStyle="1" w:styleId="37">
    <w:name w:val="font41"/>
    <w:basedOn w:val="24"/>
    <w:qFormat/>
    <w:uiPriority w:val="0"/>
    <w:rPr>
      <w:rFonts w:hint="eastAsia" w:ascii="宋体" w:hAnsi="宋体" w:eastAsia="宋体" w:cs="宋体"/>
      <w:b/>
      <w:bCs/>
      <w:color w:val="000000"/>
      <w:sz w:val="18"/>
      <w:szCs w:val="18"/>
      <w:u w:val="none"/>
    </w:rPr>
  </w:style>
  <w:style w:type="character" w:customStyle="1" w:styleId="38">
    <w:name w:val="font171"/>
    <w:basedOn w:val="24"/>
    <w:qFormat/>
    <w:uiPriority w:val="0"/>
    <w:rPr>
      <w:rFonts w:hint="eastAsia" w:ascii="宋体" w:hAnsi="宋体" w:eastAsia="宋体" w:cs="宋体"/>
      <w:color w:val="000000"/>
      <w:sz w:val="20"/>
      <w:szCs w:val="20"/>
      <w:u w: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文档结构图 Char"/>
    <w:basedOn w:val="24"/>
    <w:link w:val="7"/>
    <w:qFormat/>
    <w:uiPriority w:val="0"/>
    <w:rPr>
      <w:rFonts w:ascii="宋体" w:hAnsi="仿宋_GB2312" w:cs="仿宋_GB2312"/>
      <w:sz w:val="18"/>
      <w:szCs w:val="18"/>
      <w:lang w:val="zh-CN" w:bidi="zh-CN"/>
    </w:rPr>
  </w:style>
  <w:style w:type="character" w:customStyle="1" w:styleId="42">
    <w:name w:val="font11"/>
    <w:basedOn w:val="24"/>
    <w:qFormat/>
    <w:uiPriority w:val="0"/>
    <w:rPr>
      <w:rFonts w:hint="eastAsia" w:ascii="宋体" w:hAnsi="宋体" w:eastAsia="宋体" w:cs="宋体"/>
      <w:color w:val="000000"/>
      <w:sz w:val="21"/>
      <w:szCs w:val="21"/>
      <w:u w:val="none"/>
    </w:rPr>
  </w:style>
  <w:style w:type="character" w:customStyle="1" w:styleId="43">
    <w:name w:val="标题 3 Char"/>
    <w:link w:val="5"/>
    <w:qFormat/>
    <w:uiPriority w:val="0"/>
  </w:style>
  <w:style w:type="paragraph" w:customStyle="1" w:styleId="44">
    <w:name w:val="闻政封面完成时间"/>
    <w:basedOn w:val="1"/>
    <w:qFormat/>
    <w:uiPriority w:val="0"/>
    <w:pPr>
      <w:spacing w:before="120"/>
      <w:jc w:val="center"/>
    </w:pPr>
    <w:rPr>
      <w:rFonts w:ascii="Times New Roman" w:hAnsi="Times New Roman" w:eastAsia="黑体" w:cs="Times New Roman"/>
      <w:b/>
      <w:color w:val="auto"/>
      <w:sz w:val="28"/>
      <w:szCs w:val="28"/>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1111111111111"/>
          <c:y val="0.0277777777777778"/>
          <c:w val="0.894638888888889"/>
          <c:h val="0.83759259259259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[工作簿1]Sheet1!$C$3:$L$3</c:f>
              <c:strCache>
                <c:ptCount val="10"/>
                <c:pt idx="0">
                  <c:v>一季度</c:v>
                </c:pt>
                <c:pt idx="3">
                  <c:v>二季度</c:v>
                </c:pt>
                <c:pt idx="6">
                  <c:v>三季度</c:v>
                </c:pt>
                <c:pt idx="9">
                  <c:v>四季度</c:v>
                </c:pt>
              </c:strCache>
            </c:strRef>
          </c:cat>
          <c:val>
            <c:numRef>
              <c:f>[工作簿1]Sheet1!$C$4:$L$4</c:f>
              <c:numCache>
                <c:formatCode>General</c:formatCode>
                <c:ptCount val="10"/>
                <c:pt idx="0">
                  <c:v>224</c:v>
                </c:pt>
                <c:pt idx="3">
                  <c:v>287</c:v>
                </c:pt>
                <c:pt idx="6">
                  <c:v>291</c:v>
                </c:pt>
                <c:pt idx="9">
                  <c:v>311</c:v>
                </c:pt>
              </c:numCache>
            </c:numRef>
          </c:val>
        </c:ser>
        <c:dLbls>
          <c:showLegendKey val="0"/>
          <c:showVal val="1"/>
          <c:showCatName val="0"/>
          <c:showSerName val="0"/>
          <c:showPercent val="0"/>
          <c:showBubbleSize val="0"/>
        </c:dLbls>
        <c:gapWidth val="219"/>
        <c:overlap val="-27"/>
        <c:axId val="667826752"/>
        <c:axId val="115249648"/>
      </c:barChart>
      <c:catAx>
        <c:axId val="6678267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249648"/>
        <c:crosses val="autoZero"/>
        <c:auto val="1"/>
        <c:lblAlgn val="ctr"/>
        <c:lblOffset val="100"/>
        <c:noMultiLvlLbl val="0"/>
      </c:catAx>
      <c:valAx>
        <c:axId val="11524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82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extobjs>
    <extobj name="ECB019B1-382A-4266-B25C-5B523AA43C14-1">
      <extobjdata type="ECB019B1-382A-4266-B25C-5B523AA43C14" data="ewoJIkZpbGVJZCIgOiAiMjM0NTI0NDA1MjQzIiwKCSJHcm91cElkIiA6ICI1MjA4OTU2MzciLAoJIkltYWdlIiA6ICJpVkJPUncwS0dnb0FBQUFOU1VoRVVnQUFBZEVBQUFGR0NBWUFBQUExb0tWZ0FBQUFDWEJJV1hNQUFBc1RBQUFMRXdFQW1wd1lBQUFnQUVsRVFWUjRuTzNkZVh4TTUrSUc4R2NtaXhDQ3RHb3R0YlFvNnByWWhkaVgydVZhWW0xZFd5MVJzVVFRb2dTSm9GeEJCVVdpVVZGTjBVYUxDR29YcWJaQmVxWFdSQ1FpKzJTZjkvZEhPdWMzWXliYldDYkw4LzE4K3VuTVdkOUo0anh6M3ZNdU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22115</Words>
  <Characters>23182</Characters>
  <Lines>38</Lines>
  <Paragraphs>39</Paragraphs>
  <TotalTime>8</TotalTime>
  <ScaleCrop>false</ScaleCrop>
  <LinksUpToDate>false</LinksUpToDate>
  <CharactersWithSpaces>23395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2020-05-18T00:49:00Z</dcterms:created>
  <dc:creator>DXY</dc:creator>
  <cp:lastModifiedBy>Administrator</cp:lastModifiedBy>
  <cp:lastPrinted>2022-06-14T11:07:00Z</cp:lastPrinted>
  <dcterms:modified xsi:type="dcterms:W3CDTF">2024-07-29T00:55:30Z</dcterms:modified>
  <dc:title>Microsoft Word - blkF553</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PScript5.dll Version 5.2.2</vt:lpwstr>
  </property>
  <property fmtid="{D5CDD505-2E9C-101B-9397-08002B2CF9AE}" pid="4" name="LastSaved">
    <vt:filetime>2020-05-18T00:00:00Z</vt:filetime>
  </property>
  <property fmtid="{D5CDD505-2E9C-101B-9397-08002B2CF9AE}" pid="5" name="KSOProductBuildVer">
    <vt:lpwstr>2052-12.1.0.17147</vt:lpwstr>
  </property>
  <property fmtid="{D5CDD505-2E9C-101B-9397-08002B2CF9AE}" pid="6" name="ICV">
    <vt:lpwstr>36B87200AB1D4B5B946C8FDF2D9EF204_13</vt:lpwstr>
  </property>
</Properties>
</file>