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0" w:firstLineChars="0"/>
        <w:jc w:val="both"/>
        <w:rPr>
          <w:rFonts w:ascii="方正小标宋简体" w:eastAsia="方正小标宋简体"/>
          <w:b w:val="0"/>
          <w:sz w:val="44"/>
          <w:szCs w:val="44"/>
        </w:rPr>
      </w:pP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ascii="方正小标宋简体" w:eastAsia="方正小标宋简体"/>
          <w:b w:val="0"/>
          <w:sz w:val="44"/>
          <w:szCs w:val="44"/>
        </w:rPr>
      </w:pPr>
      <w:bookmarkStart w:id="0" w:name="_Toc137554176"/>
      <w:r>
        <w:rPr>
          <w:rFonts w:hint="eastAsia" w:ascii="方正小标宋简体" w:eastAsia="方正小标宋简体"/>
          <w:b w:val="0"/>
          <w:sz w:val="44"/>
          <w:szCs w:val="44"/>
        </w:rPr>
        <w:t>餐厨废弃物收运处理补贴、应急拆除违建及铁路沿线整治项目</w:t>
      </w:r>
      <w:bookmarkEnd w:id="0"/>
      <w:bookmarkStart w:id="1" w:name="_Toc137554177"/>
      <w:r>
        <w:rPr>
          <w:rFonts w:hint="eastAsia" w:ascii="方正小标宋简体" w:eastAsia="方正小标宋简体"/>
          <w:b w:val="0"/>
          <w:sz w:val="44"/>
          <w:szCs w:val="44"/>
        </w:rPr>
        <w:t>成本绩效分析报告</w:t>
      </w:r>
      <w:bookmarkEnd w:id="1"/>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left="2240" w:leftChars="200" w:hanging="1600" w:hangingChars="500"/>
        <w:rPr>
          <w:rFonts w:ascii="黑体" w:hAnsi="黑体" w:eastAsia="黑体"/>
        </w:rPr>
      </w:pPr>
      <w:r>
        <w:rPr>
          <w:rFonts w:hint="eastAsia" w:ascii="黑体" w:hAnsi="黑体" w:eastAsia="黑体"/>
          <w:szCs w:val="32"/>
        </w:rPr>
        <w:t>项目名称：餐厨废弃物收运处理补贴、应急拆除违建及铁路沿线整治费用项目</w:t>
      </w:r>
    </w:p>
    <w:p>
      <w:pPr>
        <w:ind w:firstLine="640"/>
        <w:rPr>
          <w:rFonts w:ascii="黑体" w:hAnsi="黑体" w:eastAsia="黑体"/>
        </w:rPr>
      </w:pPr>
      <w:r>
        <w:rPr>
          <w:rFonts w:hint="eastAsia" w:ascii="黑体" w:hAnsi="黑体" w:eastAsia="黑体"/>
          <w:szCs w:val="32"/>
        </w:rPr>
        <w:t>委托单位：枣庄市高新技术开发区财政金融局</w:t>
      </w:r>
    </w:p>
    <w:p>
      <w:pPr>
        <w:ind w:left="2240" w:leftChars="200" w:hanging="1600" w:hangingChars="500"/>
        <w:rPr>
          <w:rFonts w:ascii="黑体" w:hAnsi="黑体" w:eastAsia="黑体"/>
        </w:rPr>
      </w:pPr>
      <w:r>
        <w:rPr>
          <w:rFonts w:hint="eastAsia" w:ascii="黑体" w:hAnsi="黑体" w:eastAsia="黑体"/>
          <w:szCs w:val="32"/>
        </w:rPr>
        <w:t>实施单位：枣庄中科安佑环保有限公司等</w:t>
      </w:r>
    </w:p>
    <w:p>
      <w:pPr>
        <w:ind w:firstLine="640"/>
        <w:rPr>
          <w:lang w:eastAsia="zh-Hans"/>
        </w:rPr>
      </w:pPr>
      <w:r>
        <w:rPr>
          <w:rFonts w:hint="eastAsia" w:ascii="黑体" w:hAnsi="黑体" w:eastAsia="黑体"/>
          <w:szCs w:val="32"/>
          <w:lang w:eastAsia="zh-Hans"/>
        </w:rPr>
        <w:t>评价</w:t>
      </w:r>
      <w:r>
        <w:rPr>
          <w:rFonts w:hint="eastAsia" w:ascii="黑体" w:hAnsi="黑体" w:eastAsia="黑体"/>
          <w:szCs w:val="32"/>
        </w:rPr>
        <w:t>机构：山东鲁财云管理咨询有限公司</w:t>
      </w:r>
    </w:p>
    <w:p>
      <w:pPr>
        <w:ind w:firstLine="640"/>
        <w:rPr>
          <w:lang w:eastAsia="zh-Hans"/>
        </w:rPr>
      </w:pPr>
    </w:p>
    <w:p>
      <w:pPr>
        <w:ind w:firstLine="640"/>
        <w:rPr>
          <w:lang w:eastAsia="zh-Hans"/>
        </w:rPr>
      </w:pPr>
    </w:p>
    <w:p>
      <w:pPr>
        <w:ind w:firstLine="0" w:firstLineChars="0"/>
        <w:jc w:val="center"/>
        <w:rPr>
          <w:rFonts w:ascii="黑体" w:hAnsi="黑体" w:eastAsia="黑体"/>
          <w:szCs w:val="32"/>
        </w:rPr>
      </w:pPr>
      <w:r>
        <w:rPr>
          <w:rFonts w:hint="eastAsia" w:ascii="黑体" w:hAnsi="黑体" w:eastAsia="黑体"/>
          <w:szCs w:val="32"/>
        </w:rPr>
        <w:t>二〇二三年六月</w:t>
      </w:r>
      <w:r>
        <w:rPr>
          <w:rFonts w:ascii="黑体" w:hAnsi="黑体" w:eastAsia="黑体"/>
          <w:szCs w:val="32"/>
        </w:rPr>
        <w:br w:type="page"/>
      </w:r>
    </w:p>
    <w:p>
      <w:pPr>
        <w:pStyle w:val="10"/>
        <w:tabs>
          <w:tab w:val="right" w:leader="dot" w:pos="8291"/>
        </w:tabs>
        <w:ind w:firstLine="640"/>
        <w:jc w:val="center"/>
        <w:rPr>
          <w:rFonts w:ascii="方正小标宋简体" w:eastAsia="方正小标宋简体" w:hAnsiTheme="minorHAnsi" w:cstheme="minorBidi"/>
          <w:color w:val="000000" w:themeColor="text1"/>
          <w:sz w:val="44"/>
          <w:szCs w:val="44"/>
          <w14:textFill>
            <w14:solidFill>
              <w14:schemeClr w14:val="tx1"/>
            </w14:solidFill>
          </w14:textFill>
        </w:rPr>
      </w:pPr>
      <w:r>
        <w:fldChar w:fldCharType="begin"/>
      </w:r>
      <w:r>
        <w:instrText xml:space="preserve"> TOC \o "1-2" \h \z \u </w:instrText>
      </w:r>
      <w:r>
        <w:fldChar w:fldCharType="separate"/>
      </w:r>
      <w:r>
        <w:rPr>
          <w:rStyle w:val="18"/>
          <w:rFonts w:hint="eastAsia" w:ascii="方正小标宋简体" w:eastAsia="方正小标宋简体"/>
          <w:color w:val="000000" w:themeColor="text1"/>
          <w:sz w:val="44"/>
          <w:szCs w:val="44"/>
          <w:u w:val="none"/>
          <w14:textFill>
            <w14:solidFill>
              <w14:schemeClr w14:val="tx1"/>
            </w14:solidFill>
          </w14:textFill>
        </w:rPr>
        <w:t xml:space="preserve">目 </w:t>
      </w:r>
      <w:r>
        <w:rPr>
          <w:rStyle w:val="18"/>
          <w:rFonts w:ascii="方正小标宋简体" w:eastAsia="方正小标宋简体"/>
          <w:color w:val="000000" w:themeColor="text1"/>
          <w:sz w:val="44"/>
          <w:szCs w:val="44"/>
          <w:u w:val="none"/>
          <w14:textFill>
            <w14:solidFill>
              <w14:schemeClr w14:val="tx1"/>
            </w14:solidFill>
          </w14:textFill>
        </w:rPr>
        <w:t xml:space="preserve">  </w:t>
      </w:r>
      <w:r>
        <w:rPr>
          <w:rStyle w:val="18"/>
          <w:rFonts w:hint="eastAsia" w:ascii="方正小标宋简体" w:eastAsia="方正小标宋简体"/>
          <w:color w:val="000000" w:themeColor="text1"/>
          <w:sz w:val="44"/>
          <w:szCs w:val="44"/>
          <w:u w:val="none"/>
          <w14:textFill>
            <w14:solidFill>
              <w14:schemeClr w14:val="tx1"/>
            </w14:solidFill>
          </w14:textFill>
        </w:rPr>
        <w:t>录</w:t>
      </w:r>
    </w:p>
    <w:p>
      <w:pPr>
        <w:pStyle w:val="10"/>
        <w:tabs>
          <w:tab w:val="right" w:leader="dot" w:pos="8291"/>
        </w:tabs>
        <w:spacing w:line="520" w:lineRule="exact"/>
        <w:ind w:firstLine="560"/>
        <w:rPr>
          <w:rFonts w:hAnsiTheme="minorHAnsi" w:cstheme="minorBidi"/>
          <w:sz w:val="28"/>
          <w:szCs w:val="28"/>
        </w:rPr>
      </w:pPr>
      <w:r>
        <w:fldChar w:fldCharType="begin"/>
      </w:r>
      <w:r>
        <w:instrText xml:space="preserve"> HYPERLINK \l "_Toc137554178" </w:instrText>
      </w:r>
      <w:r>
        <w:fldChar w:fldCharType="separate"/>
      </w:r>
      <w:r>
        <w:rPr>
          <w:rStyle w:val="18"/>
          <w:rFonts w:hint="eastAsia"/>
          <w:sz w:val="28"/>
          <w:szCs w:val="28"/>
        </w:rPr>
        <w:t>摘   要</w:t>
      </w:r>
      <w:r>
        <w:rPr>
          <w:rFonts w:hint="eastAsia"/>
          <w:sz w:val="28"/>
          <w:szCs w:val="28"/>
        </w:rPr>
        <w:tab/>
      </w:r>
      <w:r>
        <w:rPr>
          <w:rFonts w:hint="eastAsia"/>
          <w:sz w:val="28"/>
          <w:szCs w:val="28"/>
        </w:rPr>
        <w:fldChar w:fldCharType="begin"/>
      </w:r>
      <w:r>
        <w:rPr>
          <w:rFonts w:hint="eastAsia"/>
          <w:sz w:val="28"/>
          <w:szCs w:val="28"/>
        </w:rPr>
        <w:instrText xml:space="preserve"> PAGEREF _Toc137554178 \h </w:instrText>
      </w:r>
      <w:r>
        <w:rPr>
          <w:rFonts w:hint="eastAsia"/>
          <w:sz w:val="28"/>
          <w:szCs w:val="28"/>
        </w:rPr>
        <w:fldChar w:fldCharType="separate"/>
      </w:r>
      <w:r>
        <w:rPr>
          <w:rFonts w:hint="eastAsia"/>
          <w:sz w:val="28"/>
          <w:szCs w:val="28"/>
        </w:rPr>
        <w:t>- 1 -</w:t>
      </w:r>
      <w:r>
        <w:rPr>
          <w:rFonts w:hint="eastAsia"/>
          <w:sz w:val="28"/>
          <w:szCs w:val="28"/>
        </w:rPr>
        <w:fldChar w:fldCharType="end"/>
      </w:r>
      <w:r>
        <w:rPr>
          <w:rFonts w:hint="eastAsia"/>
          <w:sz w:val="28"/>
          <w:szCs w:val="28"/>
        </w:rPr>
        <w:fldChar w:fldCharType="end"/>
      </w:r>
    </w:p>
    <w:p>
      <w:pPr>
        <w:pStyle w:val="10"/>
        <w:tabs>
          <w:tab w:val="right" w:leader="dot" w:pos="8291"/>
        </w:tabs>
        <w:spacing w:line="520" w:lineRule="exact"/>
        <w:ind w:firstLine="560"/>
        <w:rPr>
          <w:rFonts w:hAnsiTheme="minorHAnsi" w:cstheme="minorBidi"/>
          <w:sz w:val="28"/>
          <w:szCs w:val="28"/>
        </w:rPr>
      </w:pPr>
      <w:r>
        <w:fldChar w:fldCharType="begin"/>
      </w:r>
      <w:r>
        <w:instrText xml:space="preserve"> HYPERLINK \l "_Toc137554186" </w:instrText>
      </w:r>
      <w:r>
        <w:fldChar w:fldCharType="separate"/>
      </w:r>
      <w:r>
        <w:rPr>
          <w:rStyle w:val="18"/>
          <w:rFonts w:hint="eastAsia"/>
          <w:sz w:val="28"/>
          <w:szCs w:val="28"/>
        </w:rPr>
        <w:t>正   文</w:t>
      </w:r>
      <w:r>
        <w:rPr>
          <w:rFonts w:hint="eastAsia"/>
          <w:sz w:val="28"/>
          <w:szCs w:val="28"/>
        </w:rPr>
        <w:tab/>
      </w:r>
      <w:r>
        <w:rPr>
          <w:rFonts w:hint="eastAsia"/>
          <w:sz w:val="28"/>
          <w:szCs w:val="28"/>
        </w:rPr>
        <w:fldChar w:fldCharType="begin"/>
      </w:r>
      <w:r>
        <w:rPr>
          <w:rFonts w:hint="eastAsia"/>
          <w:sz w:val="28"/>
          <w:szCs w:val="28"/>
        </w:rPr>
        <w:instrText xml:space="preserve"> PAGEREF _Toc137554186 \h </w:instrText>
      </w:r>
      <w:r>
        <w:rPr>
          <w:rFonts w:hint="eastAsia"/>
          <w:sz w:val="28"/>
          <w:szCs w:val="28"/>
        </w:rPr>
        <w:fldChar w:fldCharType="separate"/>
      </w:r>
      <w:r>
        <w:rPr>
          <w:rFonts w:hint="eastAsia"/>
          <w:sz w:val="28"/>
          <w:szCs w:val="28"/>
        </w:rPr>
        <w:t>- 10 -</w:t>
      </w:r>
      <w:r>
        <w:rPr>
          <w:rFonts w:hint="eastAsia"/>
          <w:sz w:val="28"/>
          <w:szCs w:val="28"/>
        </w:rPr>
        <w:fldChar w:fldCharType="end"/>
      </w:r>
      <w:r>
        <w:rPr>
          <w:rFonts w:hint="eastAsia"/>
          <w:sz w:val="28"/>
          <w:szCs w:val="28"/>
        </w:rPr>
        <w:fldChar w:fldCharType="end"/>
      </w:r>
    </w:p>
    <w:p>
      <w:pPr>
        <w:pStyle w:val="10"/>
        <w:tabs>
          <w:tab w:val="right" w:leader="dot" w:pos="8291"/>
        </w:tabs>
        <w:spacing w:line="520" w:lineRule="exact"/>
        <w:ind w:firstLine="560"/>
        <w:rPr>
          <w:rFonts w:hAnsiTheme="minorHAnsi" w:cstheme="minorBidi"/>
          <w:sz w:val="28"/>
          <w:szCs w:val="28"/>
        </w:rPr>
      </w:pPr>
      <w:r>
        <w:fldChar w:fldCharType="begin"/>
      </w:r>
      <w:r>
        <w:instrText xml:space="preserve"> HYPERLINK \l "_Toc137554187" </w:instrText>
      </w:r>
      <w:r>
        <w:fldChar w:fldCharType="separate"/>
      </w:r>
      <w:r>
        <w:rPr>
          <w:rStyle w:val="18"/>
          <w:rFonts w:hint="eastAsia"/>
          <w:sz w:val="28"/>
          <w:szCs w:val="28"/>
        </w:rPr>
        <w:t>一、项目概况</w:t>
      </w:r>
      <w:r>
        <w:rPr>
          <w:rFonts w:hint="eastAsia"/>
          <w:sz w:val="28"/>
          <w:szCs w:val="28"/>
        </w:rPr>
        <w:tab/>
      </w:r>
      <w:r>
        <w:rPr>
          <w:rFonts w:hint="eastAsia"/>
          <w:sz w:val="28"/>
          <w:szCs w:val="28"/>
        </w:rPr>
        <w:fldChar w:fldCharType="begin"/>
      </w:r>
      <w:r>
        <w:rPr>
          <w:rFonts w:hint="eastAsia"/>
          <w:sz w:val="28"/>
          <w:szCs w:val="28"/>
        </w:rPr>
        <w:instrText xml:space="preserve"> PAGEREF _Toc137554187 \h </w:instrText>
      </w:r>
      <w:r>
        <w:rPr>
          <w:rFonts w:hint="eastAsia"/>
          <w:sz w:val="28"/>
          <w:szCs w:val="28"/>
        </w:rPr>
        <w:fldChar w:fldCharType="separate"/>
      </w:r>
      <w:r>
        <w:rPr>
          <w:rFonts w:hint="eastAsia"/>
          <w:sz w:val="28"/>
          <w:szCs w:val="28"/>
        </w:rPr>
        <w:t>- 10 -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"_Toc137554188" </w:instrText>
      </w:r>
      <w:r>
        <w:fldChar w:fldCharType="separate"/>
      </w:r>
      <w:r>
        <w:rPr>
          <w:rStyle w:val="18"/>
          <w:rFonts w:hint="eastAsia"/>
          <w:sz w:val="28"/>
          <w:szCs w:val="28"/>
        </w:rPr>
        <w:t>（一）项目立项背景</w:t>
      </w:r>
      <w:r>
        <w:rPr>
          <w:rFonts w:hint="eastAsia"/>
          <w:sz w:val="28"/>
          <w:szCs w:val="28"/>
        </w:rPr>
        <w:tab/>
      </w:r>
      <w:r>
        <w:rPr>
          <w:rFonts w:hint="eastAsia"/>
          <w:sz w:val="28"/>
          <w:szCs w:val="28"/>
        </w:rPr>
        <w:fldChar w:fldCharType="begin"/>
      </w:r>
      <w:r>
        <w:rPr>
          <w:rFonts w:hint="eastAsia"/>
          <w:sz w:val="28"/>
          <w:szCs w:val="28"/>
        </w:rPr>
        <w:instrText xml:space="preserve"> PAGEREF _Toc137554188 \h </w:instrText>
      </w:r>
      <w:r>
        <w:rPr>
          <w:rFonts w:hint="eastAsia"/>
          <w:sz w:val="28"/>
          <w:szCs w:val="28"/>
        </w:rPr>
        <w:fldChar w:fldCharType="separate"/>
      </w:r>
      <w:r>
        <w:rPr>
          <w:rFonts w:hint="eastAsia"/>
          <w:sz w:val="28"/>
          <w:szCs w:val="28"/>
        </w:rPr>
        <w:t>- 10 -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"_Toc137554189" </w:instrText>
      </w:r>
      <w:r>
        <w:fldChar w:fldCharType="separate"/>
      </w:r>
      <w:r>
        <w:rPr>
          <w:rStyle w:val="18"/>
          <w:rFonts w:hint="eastAsia"/>
          <w:sz w:val="28"/>
          <w:szCs w:val="28"/>
        </w:rPr>
        <w:t>（二）项目现状</w:t>
      </w:r>
      <w:r>
        <w:rPr>
          <w:rFonts w:hint="eastAsia"/>
          <w:sz w:val="28"/>
          <w:szCs w:val="28"/>
        </w:rPr>
        <w:tab/>
      </w:r>
      <w:r>
        <w:rPr>
          <w:rFonts w:hint="eastAsia"/>
          <w:sz w:val="28"/>
          <w:szCs w:val="28"/>
        </w:rPr>
        <w:fldChar w:fldCharType="begin"/>
      </w:r>
      <w:r>
        <w:rPr>
          <w:rFonts w:hint="eastAsia"/>
          <w:sz w:val="28"/>
          <w:szCs w:val="28"/>
        </w:rPr>
        <w:instrText xml:space="preserve"> PAGEREF _Toc137554189 \h </w:instrText>
      </w:r>
      <w:r>
        <w:rPr>
          <w:rFonts w:hint="eastAsia"/>
          <w:sz w:val="28"/>
          <w:szCs w:val="28"/>
        </w:rPr>
        <w:fldChar w:fldCharType="separate"/>
      </w:r>
      <w:r>
        <w:rPr>
          <w:rFonts w:hint="eastAsia"/>
          <w:sz w:val="28"/>
          <w:szCs w:val="28"/>
        </w:rPr>
        <w:t>- 11 -</w:t>
      </w:r>
      <w:r>
        <w:rPr>
          <w:rFonts w:hint="eastAsia"/>
          <w:sz w:val="28"/>
          <w:szCs w:val="28"/>
        </w:rPr>
        <w:fldChar w:fldCharType="end"/>
      </w:r>
      <w:r>
        <w:rPr>
          <w:rFonts w:hint="eastAsia"/>
          <w:sz w:val="28"/>
          <w:szCs w:val="28"/>
        </w:rPr>
        <w:fldChar w:fldCharType="end"/>
      </w:r>
    </w:p>
    <w:p>
      <w:pPr>
        <w:pStyle w:val="10"/>
        <w:tabs>
          <w:tab w:val="right" w:leader="dot" w:pos="8291"/>
        </w:tabs>
        <w:spacing w:line="520" w:lineRule="exact"/>
        <w:ind w:firstLine="560"/>
        <w:rPr>
          <w:rFonts w:hAnsiTheme="minorHAnsi" w:cstheme="minorBidi"/>
          <w:sz w:val="28"/>
          <w:szCs w:val="28"/>
        </w:rPr>
      </w:pPr>
      <w:r>
        <w:fldChar w:fldCharType="begin"/>
      </w:r>
      <w:r>
        <w:instrText xml:space="preserve"> HYPERLINK \l "_Toc137554190" </w:instrText>
      </w:r>
      <w:r>
        <w:fldChar w:fldCharType="separate"/>
      </w:r>
      <w:r>
        <w:rPr>
          <w:rStyle w:val="18"/>
          <w:rFonts w:hint="eastAsia"/>
          <w:sz w:val="28"/>
          <w:szCs w:val="28"/>
        </w:rPr>
        <w:t>二、分析对象</w:t>
      </w:r>
      <w:r>
        <w:rPr>
          <w:rFonts w:hint="eastAsia"/>
          <w:sz w:val="28"/>
          <w:szCs w:val="28"/>
        </w:rPr>
        <w:tab/>
      </w:r>
      <w:r>
        <w:rPr>
          <w:rFonts w:hint="eastAsia"/>
          <w:sz w:val="28"/>
          <w:szCs w:val="28"/>
        </w:rPr>
        <w:fldChar w:fldCharType="begin"/>
      </w:r>
      <w:r>
        <w:rPr>
          <w:rFonts w:hint="eastAsia"/>
          <w:sz w:val="28"/>
          <w:szCs w:val="28"/>
        </w:rPr>
        <w:instrText xml:space="preserve"> PAGEREF _Toc137554190 \h </w:instrText>
      </w:r>
      <w:r>
        <w:rPr>
          <w:rFonts w:hint="eastAsia"/>
          <w:sz w:val="28"/>
          <w:szCs w:val="28"/>
        </w:rPr>
        <w:fldChar w:fldCharType="separate"/>
      </w:r>
      <w:r>
        <w:rPr>
          <w:rFonts w:hint="eastAsia"/>
          <w:sz w:val="28"/>
          <w:szCs w:val="28"/>
        </w:rPr>
        <w:t>- 12 -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"_Toc137554191" </w:instrText>
      </w:r>
      <w:r>
        <w:fldChar w:fldCharType="separate"/>
      </w:r>
      <w:r>
        <w:rPr>
          <w:rStyle w:val="18"/>
          <w:rFonts w:hint="eastAsia"/>
          <w:sz w:val="28"/>
          <w:szCs w:val="28"/>
        </w:rPr>
        <w:t>（一）项目名称</w:t>
      </w:r>
      <w:r>
        <w:rPr>
          <w:rFonts w:hint="eastAsia"/>
          <w:sz w:val="28"/>
          <w:szCs w:val="28"/>
        </w:rPr>
        <w:tab/>
      </w:r>
      <w:r>
        <w:rPr>
          <w:rFonts w:hint="eastAsia"/>
          <w:sz w:val="28"/>
          <w:szCs w:val="28"/>
        </w:rPr>
        <w:fldChar w:fldCharType="begin"/>
      </w:r>
      <w:r>
        <w:rPr>
          <w:rFonts w:hint="eastAsia"/>
          <w:sz w:val="28"/>
          <w:szCs w:val="28"/>
        </w:rPr>
        <w:instrText xml:space="preserve"> PAGEREF _Toc137554191 \h </w:instrText>
      </w:r>
      <w:r>
        <w:rPr>
          <w:rFonts w:hint="eastAsia"/>
          <w:sz w:val="28"/>
          <w:szCs w:val="28"/>
        </w:rPr>
        <w:fldChar w:fldCharType="separate"/>
      </w:r>
      <w:r>
        <w:rPr>
          <w:rFonts w:hint="eastAsia"/>
          <w:sz w:val="28"/>
          <w:szCs w:val="28"/>
        </w:rPr>
        <w:t>- 12 -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"_Toc137554192" </w:instrText>
      </w:r>
      <w:r>
        <w:fldChar w:fldCharType="separate"/>
      </w:r>
      <w:r>
        <w:rPr>
          <w:rStyle w:val="18"/>
          <w:rFonts w:hint="eastAsia"/>
          <w:sz w:val="28"/>
          <w:szCs w:val="28"/>
        </w:rPr>
        <w:t>（二）主管部门和相关单位</w:t>
      </w:r>
      <w:r>
        <w:rPr>
          <w:rFonts w:hint="eastAsia"/>
          <w:sz w:val="28"/>
          <w:szCs w:val="28"/>
        </w:rPr>
        <w:tab/>
      </w:r>
      <w:r>
        <w:rPr>
          <w:rFonts w:hint="eastAsia"/>
          <w:sz w:val="28"/>
          <w:szCs w:val="28"/>
        </w:rPr>
        <w:fldChar w:fldCharType="begin"/>
      </w:r>
      <w:r>
        <w:rPr>
          <w:rFonts w:hint="eastAsia"/>
          <w:sz w:val="28"/>
          <w:szCs w:val="28"/>
        </w:rPr>
        <w:instrText xml:space="preserve"> PAGEREF _Toc137554192 \h </w:instrText>
      </w:r>
      <w:r>
        <w:rPr>
          <w:rFonts w:hint="eastAsia"/>
          <w:sz w:val="28"/>
          <w:szCs w:val="28"/>
        </w:rPr>
        <w:fldChar w:fldCharType="separate"/>
      </w:r>
      <w:r>
        <w:rPr>
          <w:rFonts w:hint="eastAsia"/>
          <w:sz w:val="28"/>
          <w:szCs w:val="28"/>
        </w:rPr>
        <w:t>- 12 -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"_Toc137554193" </w:instrText>
      </w:r>
      <w:r>
        <w:fldChar w:fldCharType="separate"/>
      </w:r>
      <w:r>
        <w:rPr>
          <w:rStyle w:val="18"/>
          <w:rFonts w:hint="eastAsia"/>
          <w:sz w:val="28"/>
          <w:szCs w:val="28"/>
        </w:rPr>
        <w:t>（三）项目资金</w:t>
      </w:r>
      <w:r>
        <w:rPr>
          <w:rFonts w:hint="eastAsia"/>
          <w:sz w:val="28"/>
          <w:szCs w:val="28"/>
        </w:rPr>
        <w:tab/>
      </w:r>
      <w:r>
        <w:rPr>
          <w:rFonts w:hint="eastAsia"/>
          <w:sz w:val="28"/>
          <w:szCs w:val="28"/>
        </w:rPr>
        <w:fldChar w:fldCharType="begin"/>
      </w:r>
      <w:r>
        <w:rPr>
          <w:rFonts w:hint="eastAsia"/>
          <w:sz w:val="28"/>
          <w:szCs w:val="28"/>
        </w:rPr>
        <w:instrText xml:space="preserve"> PAGEREF _Toc137554193 \h </w:instrText>
      </w:r>
      <w:r>
        <w:rPr>
          <w:rFonts w:hint="eastAsia"/>
          <w:sz w:val="28"/>
          <w:szCs w:val="28"/>
        </w:rPr>
        <w:fldChar w:fldCharType="separate"/>
      </w:r>
      <w:r>
        <w:rPr>
          <w:rFonts w:hint="eastAsia"/>
          <w:sz w:val="28"/>
          <w:szCs w:val="28"/>
        </w:rPr>
        <w:t>- 12 -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"_Toc137554194" </w:instrText>
      </w:r>
      <w:r>
        <w:fldChar w:fldCharType="separate"/>
      </w:r>
      <w:r>
        <w:rPr>
          <w:rStyle w:val="18"/>
          <w:rFonts w:hint="eastAsia"/>
          <w:sz w:val="28"/>
          <w:szCs w:val="28"/>
        </w:rPr>
        <w:t>（四）项目运营模式</w:t>
      </w:r>
      <w:r>
        <w:rPr>
          <w:rFonts w:hint="eastAsia"/>
          <w:sz w:val="28"/>
          <w:szCs w:val="28"/>
        </w:rPr>
        <w:tab/>
      </w:r>
      <w:r>
        <w:rPr>
          <w:rFonts w:hint="eastAsia"/>
          <w:sz w:val="28"/>
          <w:szCs w:val="28"/>
        </w:rPr>
        <w:fldChar w:fldCharType="begin"/>
      </w:r>
      <w:r>
        <w:rPr>
          <w:rFonts w:hint="eastAsia"/>
          <w:sz w:val="28"/>
          <w:szCs w:val="28"/>
        </w:rPr>
        <w:instrText xml:space="preserve"> PAGEREF _Toc137554194 \h </w:instrText>
      </w:r>
      <w:r>
        <w:rPr>
          <w:rFonts w:hint="eastAsia"/>
          <w:sz w:val="28"/>
          <w:szCs w:val="28"/>
        </w:rPr>
        <w:fldChar w:fldCharType="separate"/>
      </w:r>
      <w:r>
        <w:rPr>
          <w:rFonts w:hint="eastAsia"/>
          <w:sz w:val="28"/>
          <w:szCs w:val="28"/>
        </w:rPr>
        <w:t>- 13 -</w:t>
      </w:r>
      <w:r>
        <w:rPr>
          <w:rFonts w:hint="eastAsia"/>
          <w:sz w:val="28"/>
          <w:szCs w:val="28"/>
        </w:rPr>
        <w:fldChar w:fldCharType="end"/>
      </w:r>
      <w:r>
        <w:rPr>
          <w:rFonts w:hint="eastAsia"/>
          <w:sz w:val="28"/>
          <w:szCs w:val="28"/>
        </w:rPr>
        <w:fldChar w:fldCharType="end"/>
      </w:r>
    </w:p>
    <w:p>
      <w:pPr>
        <w:pStyle w:val="10"/>
        <w:tabs>
          <w:tab w:val="right" w:leader="dot" w:pos="8291"/>
        </w:tabs>
        <w:spacing w:line="520" w:lineRule="exact"/>
        <w:ind w:firstLine="560"/>
        <w:rPr>
          <w:rFonts w:hAnsiTheme="minorHAnsi" w:cstheme="minorBidi"/>
          <w:sz w:val="28"/>
          <w:szCs w:val="28"/>
        </w:rPr>
      </w:pPr>
      <w:r>
        <w:fldChar w:fldCharType="begin"/>
      </w:r>
      <w:r>
        <w:instrText xml:space="preserve"> HYPERLINK \l "_Toc137554195" </w:instrText>
      </w:r>
      <w:r>
        <w:fldChar w:fldCharType="separate"/>
      </w:r>
      <w:r>
        <w:rPr>
          <w:rStyle w:val="18"/>
          <w:rFonts w:hint="eastAsia"/>
          <w:sz w:val="28"/>
          <w:szCs w:val="28"/>
        </w:rPr>
        <w:t>三、分析方式和方法</w:t>
      </w:r>
      <w:r>
        <w:rPr>
          <w:rFonts w:hint="eastAsia"/>
          <w:sz w:val="28"/>
          <w:szCs w:val="28"/>
        </w:rPr>
        <w:tab/>
      </w:r>
      <w:r>
        <w:rPr>
          <w:rFonts w:hint="eastAsia"/>
          <w:sz w:val="28"/>
          <w:szCs w:val="28"/>
        </w:rPr>
        <w:fldChar w:fldCharType="begin"/>
      </w:r>
      <w:r>
        <w:rPr>
          <w:rFonts w:hint="eastAsia"/>
          <w:sz w:val="28"/>
          <w:szCs w:val="28"/>
        </w:rPr>
        <w:instrText xml:space="preserve"> PAGEREF _Toc137554195 \h </w:instrText>
      </w:r>
      <w:r>
        <w:rPr>
          <w:rFonts w:hint="eastAsia"/>
          <w:sz w:val="28"/>
          <w:szCs w:val="28"/>
        </w:rPr>
        <w:fldChar w:fldCharType="separate"/>
      </w:r>
      <w:r>
        <w:rPr>
          <w:rFonts w:hint="eastAsia"/>
          <w:sz w:val="28"/>
          <w:szCs w:val="28"/>
        </w:rPr>
        <w:t>- 14 -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"_Toc137554196" </w:instrText>
      </w:r>
      <w:r>
        <w:fldChar w:fldCharType="separate"/>
      </w:r>
      <w:r>
        <w:rPr>
          <w:rStyle w:val="18"/>
          <w:rFonts w:hint="eastAsia"/>
          <w:sz w:val="28"/>
          <w:szCs w:val="28"/>
        </w:rPr>
        <w:t>（一）分析程序</w:t>
      </w:r>
      <w:r>
        <w:rPr>
          <w:rFonts w:hint="eastAsia"/>
          <w:sz w:val="28"/>
          <w:szCs w:val="28"/>
        </w:rPr>
        <w:tab/>
      </w:r>
      <w:r>
        <w:rPr>
          <w:rFonts w:hint="eastAsia"/>
          <w:sz w:val="28"/>
          <w:szCs w:val="28"/>
        </w:rPr>
        <w:fldChar w:fldCharType="begin"/>
      </w:r>
      <w:r>
        <w:rPr>
          <w:rFonts w:hint="eastAsia"/>
          <w:sz w:val="28"/>
          <w:szCs w:val="28"/>
        </w:rPr>
        <w:instrText xml:space="preserve"> PAGEREF _Toc137554196 \h </w:instrText>
      </w:r>
      <w:r>
        <w:rPr>
          <w:rFonts w:hint="eastAsia"/>
          <w:sz w:val="28"/>
          <w:szCs w:val="28"/>
        </w:rPr>
        <w:fldChar w:fldCharType="separate"/>
      </w:r>
      <w:r>
        <w:rPr>
          <w:rFonts w:hint="eastAsia"/>
          <w:sz w:val="28"/>
          <w:szCs w:val="28"/>
        </w:rPr>
        <w:t>- 14 -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"_Toc137554197" </w:instrText>
      </w:r>
      <w:r>
        <w:fldChar w:fldCharType="separate"/>
      </w:r>
      <w:r>
        <w:rPr>
          <w:rStyle w:val="18"/>
          <w:rFonts w:hint="eastAsia"/>
          <w:sz w:val="28"/>
          <w:szCs w:val="28"/>
        </w:rPr>
        <w:t>（二）论证思路、方法和依据</w:t>
      </w:r>
      <w:r>
        <w:rPr>
          <w:rFonts w:hint="eastAsia"/>
          <w:sz w:val="28"/>
          <w:szCs w:val="28"/>
        </w:rPr>
        <w:tab/>
      </w:r>
      <w:r>
        <w:rPr>
          <w:rFonts w:hint="eastAsia"/>
          <w:sz w:val="28"/>
          <w:szCs w:val="28"/>
        </w:rPr>
        <w:fldChar w:fldCharType="begin"/>
      </w:r>
      <w:r>
        <w:rPr>
          <w:rFonts w:hint="eastAsia"/>
          <w:sz w:val="28"/>
          <w:szCs w:val="28"/>
        </w:rPr>
        <w:instrText xml:space="preserve"> PAGEREF _Toc137554197 \h </w:instrText>
      </w:r>
      <w:r>
        <w:rPr>
          <w:rFonts w:hint="eastAsia"/>
          <w:sz w:val="28"/>
          <w:szCs w:val="28"/>
        </w:rPr>
        <w:fldChar w:fldCharType="separate"/>
      </w:r>
      <w:r>
        <w:rPr>
          <w:rFonts w:hint="eastAsia"/>
          <w:sz w:val="28"/>
          <w:szCs w:val="28"/>
        </w:rPr>
        <w:t>- 16 -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"_Toc137554198" </w:instrText>
      </w:r>
      <w:r>
        <w:fldChar w:fldCharType="separate"/>
      </w:r>
      <w:r>
        <w:rPr>
          <w:rStyle w:val="18"/>
          <w:rFonts w:hint="eastAsia"/>
          <w:sz w:val="28"/>
          <w:szCs w:val="28"/>
        </w:rPr>
        <w:t>（三）分析方式</w:t>
      </w:r>
      <w:r>
        <w:rPr>
          <w:rFonts w:hint="eastAsia"/>
          <w:sz w:val="28"/>
          <w:szCs w:val="28"/>
        </w:rPr>
        <w:tab/>
      </w:r>
      <w:r>
        <w:rPr>
          <w:rFonts w:hint="eastAsia"/>
          <w:sz w:val="28"/>
          <w:szCs w:val="28"/>
        </w:rPr>
        <w:fldChar w:fldCharType="begin"/>
      </w:r>
      <w:r>
        <w:rPr>
          <w:rFonts w:hint="eastAsia"/>
          <w:sz w:val="28"/>
          <w:szCs w:val="28"/>
        </w:rPr>
        <w:instrText xml:space="preserve"> PAGEREF _Toc137554198 \h </w:instrText>
      </w:r>
      <w:r>
        <w:rPr>
          <w:rFonts w:hint="eastAsia"/>
          <w:sz w:val="28"/>
          <w:szCs w:val="28"/>
        </w:rPr>
        <w:fldChar w:fldCharType="separate"/>
      </w:r>
      <w:r>
        <w:rPr>
          <w:rFonts w:hint="eastAsia"/>
          <w:sz w:val="28"/>
          <w:szCs w:val="28"/>
        </w:rPr>
        <w:t>- 22 -</w:t>
      </w:r>
      <w:r>
        <w:rPr>
          <w:rFonts w:hint="eastAsia"/>
          <w:sz w:val="28"/>
          <w:szCs w:val="28"/>
        </w:rPr>
        <w:fldChar w:fldCharType="end"/>
      </w:r>
      <w:r>
        <w:rPr>
          <w:rFonts w:hint="eastAsia"/>
          <w:sz w:val="28"/>
          <w:szCs w:val="28"/>
        </w:rPr>
        <w:fldChar w:fldCharType="end"/>
      </w:r>
    </w:p>
    <w:p>
      <w:pPr>
        <w:pStyle w:val="10"/>
        <w:tabs>
          <w:tab w:val="right" w:leader="dot" w:pos="8291"/>
        </w:tabs>
        <w:spacing w:line="520" w:lineRule="exact"/>
        <w:ind w:firstLine="560"/>
        <w:rPr>
          <w:rFonts w:hAnsiTheme="minorHAnsi" w:cstheme="minorBidi"/>
          <w:sz w:val="28"/>
          <w:szCs w:val="28"/>
        </w:rPr>
      </w:pPr>
      <w:r>
        <w:fldChar w:fldCharType="begin"/>
      </w:r>
      <w:r>
        <w:instrText xml:space="preserve"> HYPERLINK \l "_Toc137554199" </w:instrText>
      </w:r>
      <w:r>
        <w:fldChar w:fldCharType="separate"/>
      </w:r>
      <w:r>
        <w:rPr>
          <w:rStyle w:val="18"/>
          <w:rFonts w:hint="eastAsia"/>
          <w:sz w:val="28"/>
          <w:szCs w:val="28"/>
        </w:rPr>
        <w:t>四、成本效益分析</w:t>
      </w:r>
      <w:r>
        <w:rPr>
          <w:rFonts w:hint="eastAsia"/>
          <w:sz w:val="28"/>
          <w:szCs w:val="28"/>
        </w:rPr>
        <w:tab/>
      </w:r>
      <w:r>
        <w:rPr>
          <w:rFonts w:hint="eastAsia"/>
          <w:sz w:val="28"/>
          <w:szCs w:val="28"/>
        </w:rPr>
        <w:fldChar w:fldCharType="begin"/>
      </w:r>
      <w:r>
        <w:rPr>
          <w:rFonts w:hint="eastAsia"/>
          <w:sz w:val="28"/>
          <w:szCs w:val="28"/>
        </w:rPr>
        <w:instrText xml:space="preserve"> PAGEREF _Toc137554199 \h </w:instrText>
      </w:r>
      <w:r>
        <w:rPr>
          <w:rFonts w:hint="eastAsia"/>
          <w:sz w:val="28"/>
          <w:szCs w:val="28"/>
        </w:rPr>
        <w:fldChar w:fldCharType="separate"/>
      </w:r>
      <w:r>
        <w:rPr>
          <w:rFonts w:hint="eastAsia"/>
          <w:sz w:val="28"/>
          <w:szCs w:val="28"/>
        </w:rPr>
        <w:t>- 23 -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"_Toc137554200" </w:instrText>
      </w:r>
      <w:r>
        <w:fldChar w:fldCharType="separate"/>
      </w:r>
      <w:r>
        <w:rPr>
          <w:rStyle w:val="18"/>
          <w:rFonts w:hint="eastAsia"/>
          <w:sz w:val="28"/>
          <w:szCs w:val="28"/>
        </w:rPr>
        <w:t>（一）产出指标分析</w:t>
      </w:r>
      <w:r>
        <w:rPr>
          <w:rFonts w:hint="eastAsia"/>
          <w:sz w:val="28"/>
          <w:szCs w:val="28"/>
        </w:rPr>
        <w:tab/>
      </w:r>
      <w:r>
        <w:rPr>
          <w:rFonts w:hint="eastAsia"/>
          <w:sz w:val="28"/>
          <w:szCs w:val="28"/>
        </w:rPr>
        <w:fldChar w:fldCharType="begin"/>
      </w:r>
      <w:r>
        <w:rPr>
          <w:rFonts w:hint="eastAsia"/>
          <w:sz w:val="28"/>
          <w:szCs w:val="28"/>
        </w:rPr>
        <w:instrText xml:space="preserve"> PAGEREF _Toc137554200 \h </w:instrText>
      </w:r>
      <w:r>
        <w:rPr>
          <w:rFonts w:hint="eastAsia"/>
          <w:sz w:val="28"/>
          <w:szCs w:val="28"/>
        </w:rPr>
        <w:fldChar w:fldCharType="separate"/>
      </w:r>
      <w:r>
        <w:rPr>
          <w:rFonts w:hint="eastAsia"/>
          <w:sz w:val="28"/>
          <w:szCs w:val="28"/>
        </w:rPr>
        <w:t>- 23 -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"_Toc137554201" </w:instrText>
      </w:r>
      <w:r>
        <w:fldChar w:fldCharType="separate"/>
      </w:r>
      <w:r>
        <w:rPr>
          <w:rStyle w:val="18"/>
          <w:rFonts w:hint="eastAsia"/>
          <w:sz w:val="28"/>
          <w:szCs w:val="28"/>
        </w:rPr>
        <w:t>（二）效益指标分析</w:t>
      </w:r>
      <w:r>
        <w:rPr>
          <w:rFonts w:hint="eastAsia"/>
          <w:sz w:val="28"/>
          <w:szCs w:val="28"/>
        </w:rPr>
        <w:tab/>
      </w:r>
      <w:r>
        <w:rPr>
          <w:rFonts w:hint="eastAsia"/>
          <w:sz w:val="28"/>
          <w:szCs w:val="28"/>
        </w:rPr>
        <w:fldChar w:fldCharType="begin"/>
      </w:r>
      <w:r>
        <w:rPr>
          <w:rFonts w:hint="eastAsia"/>
          <w:sz w:val="28"/>
          <w:szCs w:val="28"/>
        </w:rPr>
        <w:instrText xml:space="preserve"> PAGEREF _Toc137554201 \h </w:instrText>
      </w:r>
      <w:r>
        <w:rPr>
          <w:rFonts w:hint="eastAsia"/>
          <w:sz w:val="28"/>
          <w:szCs w:val="28"/>
        </w:rPr>
        <w:fldChar w:fldCharType="separate"/>
      </w:r>
      <w:r>
        <w:rPr>
          <w:rFonts w:hint="eastAsia"/>
          <w:sz w:val="28"/>
          <w:szCs w:val="28"/>
        </w:rPr>
        <w:t>- 27 -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"_Toc137554202" </w:instrText>
      </w:r>
      <w:r>
        <w:fldChar w:fldCharType="separate"/>
      </w:r>
      <w:r>
        <w:rPr>
          <w:rStyle w:val="18"/>
          <w:rFonts w:hint="eastAsia"/>
          <w:sz w:val="28"/>
          <w:szCs w:val="28"/>
        </w:rPr>
        <w:t>（三）成本测算分析</w:t>
      </w:r>
      <w:r>
        <w:rPr>
          <w:rFonts w:hint="eastAsia"/>
          <w:sz w:val="28"/>
          <w:szCs w:val="28"/>
        </w:rPr>
        <w:tab/>
      </w:r>
      <w:r>
        <w:rPr>
          <w:rFonts w:hint="eastAsia"/>
          <w:sz w:val="28"/>
          <w:szCs w:val="28"/>
        </w:rPr>
        <w:fldChar w:fldCharType="begin"/>
      </w:r>
      <w:r>
        <w:rPr>
          <w:rFonts w:hint="eastAsia"/>
          <w:sz w:val="28"/>
          <w:szCs w:val="28"/>
        </w:rPr>
        <w:instrText xml:space="preserve"> PAGEREF _Toc137554202 \h </w:instrText>
      </w:r>
      <w:r>
        <w:rPr>
          <w:rFonts w:hint="eastAsia"/>
          <w:sz w:val="28"/>
          <w:szCs w:val="28"/>
        </w:rPr>
        <w:fldChar w:fldCharType="separate"/>
      </w:r>
      <w:r>
        <w:rPr>
          <w:rFonts w:hint="eastAsia"/>
          <w:sz w:val="28"/>
          <w:szCs w:val="28"/>
        </w:rPr>
        <w:t>- 30 -</w:t>
      </w:r>
      <w:r>
        <w:rPr>
          <w:rFonts w:hint="eastAsia"/>
          <w:sz w:val="28"/>
          <w:szCs w:val="28"/>
        </w:rPr>
        <w:fldChar w:fldCharType="end"/>
      </w:r>
      <w:r>
        <w:rPr>
          <w:rFonts w:hint="eastAsia"/>
          <w:sz w:val="28"/>
          <w:szCs w:val="28"/>
        </w:rPr>
        <w:fldChar w:fldCharType="end"/>
      </w:r>
    </w:p>
    <w:p>
      <w:pPr>
        <w:pStyle w:val="10"/>
        <w:tabs>
          <w:tab w:val="right" w:leader="dot" w:pos="8291"/>
        </w:tabs>
        <w:spacing w:line="520" w:lineRule="exact"/>
        <w:ind w:firstLine="560"/>
        <w:rPr>
          <w:rFonts w:hAnsiTheme="minorHAnsi" w:cstheme="minorBidi"/>
          <w:sz w:val="28"/>
          <w:szCs w:val="28"/>
        </w:rPr>
      </w:pPr>
      <w:r>
        <w:fldChar w:fldCharType="begin"/>
      </w:r>
      <w:r>
        <w:instrText xml:space="preserve"> HYPERLINK \l "_Toc137554203" </w:instrText>
      </w:r>
      <w:r>
        <w:fldChar w:fldCharType="separate"/>
      </w:r>
      <w:r>
        <w:rPr>
          <w:rStyle w:val="18"/>
          <w:rFonts w:hint="eastAsia"/>
          <w:sz w:val="28"/>
          <w:szCs w:val="28"/>
        </w:rPr>
        <w:t>五、存在的问题及建议</w:t>
      </w:r>
      <w:r>
        <w:rPr>
          <w:rFonts w:hint="eastAsia"/>
          <w:sz w:val="28"/>
          <w:szCs w:val="28"/>
        </w:rPr>
        <w:tab/>
      </w:r>
      <w:r>
        <w:rPr>
          <w:rFonts w:hint="eastAsia"/>
          <w:sz w:val="28"/>
          <w:szCs w:val="28"/>
        </w:rPr>
        <w:fldChar w:fldCharType="begin"/>
      </w:r>
      <w:r>
        <w:rPr>
          <w:rFonts w:hint="eastAsia"/>
          <w:sz w:val="28"/>
          <w:szCs w:val="28"/>
        </w:rPr>
        <w:instrText xml:space="preserve"> PAGEREF _Toc137554203 \h </w:instrText>
      </w:r>
      <w:r>
        <w:rPr>
          <w:rFonts w:hint="eastAsia"/>
          <w:sz w:val="28"/>
          <w:szCs w:val="28"/>
        </w:rPr>
        <w:fldChar w:fldCharType="separate"/>
      </w:r>
      <w:r>
        <w:rPr>
          <w:rFonts w:hint="eastAsia"/>
          <w:sz w:val="28"/>
          <w:szCs w:val="28"/>
        </w:rPr>
        <w:t>- 35 -</w:t>
      </w:r>
      <w:r>
        <w:rPr>
          <w:rFonts w:hint="eastAsia"/>
          <w:sz w:val="28"/>
          <w:szCs w:val="28"/>
        </w:rPr>
        <w:fldChar w:fldCharType="end"/>
      </w:r>
      <w:r>
        <w:rPr>
          <w:rFonts w:hint="eastAsia"/>
          <w:sz w:val="28"/>
          <w:szCs w:val="28"/>
        </w:rPr>
        <w:fldChar w:fldCharType="end"/>
      </w:r>
    </w:p>
    <w:p>
      <w:pPr>
        <w:pStyle w:val="10"/>
        <w:tabs>
          <w:tab w:val="right" w:leader="dot" w:pos="8291"/>
        </w:tabs>
        <w:spacing w:line="520" w:lineRule="exact"/>
        <w:ind w:firstLine="560"/>
        <w:rPr>
          <w:rFonts w:hAnsiTheme="minorHAnsi" w:cstheme="minorBidi"/>
          <w:sz w:val="28"/>
          <w:szCs w:val="28"/>
        </w:rPr>
      </w:pPr>
      <w:r>
        <w:fldChar w:fldCharType="begin"/>
      </w:r>
      <w:r>
        <w:instrText xml:space="preserve"> HYPERLINK \l "_Toc137554204" </w:instrText>
      </w:r>
      <w:r>
        <w:fldChar w:fldCharType="separate"/>
      </w:r>
      <w:r>
        <w:rPr>
          <w:rStyle w:val="18"/>
          <w:rFonts w:hint="eastAsia"/>
          <w:sz w:val="28"/>
          <w:szCs w:val="28"/>
        </w:rPr>
        <w:t>六、应急拆除违建项目成本绩效分析</w:t>
      </w:r>
      <w:r>
        <w:rPr>
          <w:rFonts w:hint="eastAsia"/>
          <w:sz w:val="28"/>
          <w:szCs w:val="28"/>
        </w:rPr>
        <w:tab/>
      </w:r>
      <w:r>
        <w:rPr>
          <w:rFonts w:hint="eastAsia"/>
          <w:sz w:val="28"/>
          <w:szCs w:val="28"/>
        </w:rPr>
        <w:fldChar w:fldCharType="begin"/>
      </w:r>
      <w:r>
        <w:rPr>
          <w:rFonts w:hint="eastAsia"/>
          <w:sz w:val="28"/>
          <w:szCs w:val="28"/>
        </w:rPr>
        <w:instrText xml:space="preserve"> PAGEREF _Toc137554204 \h </w:instrText>
      </w:r>
      <w:r>
        <w:rPr>
          <w:rFonts w:hint="eastAsia"/>
          <w:sz w:val="28"/>
          <w:szCs w:val="28"/>
        </w:rPr>
        <w:fldChar w:fldCharType="separate"/>
      </w:r>
      <w:r>
        <w:rPr>
          <w:rFonts w:hint="eastAsia"/>
          <w:sz w:val="28"/>
          <w:szCs w:val="28"/>
        </w:rPr>
        <w:t>- 38 -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"_Toc137554205" </w:instrText>
      </w:r>
      <w:r>
        <w:fldChar w:fldCharType="separate"/>
      </w:r>
      <w:r>
        <w:rPr>
          <w:rStyle w:val="18"/>
          <w:rFonts w:hint="eastAsia"/>
          <w:sz w:val="28"/>
          <w:szCs w:val="28"/>
        </w:rPr>
        <w:t>（一）项目概况</w:t>
      </w:r>
      <w:r>
        <w:rPr>
          <w:rFonts w:hint="eastAsia"/>
          <w:sz w:val="28"/>
          <w:szCs w:val="28"/>
        </w:rPr>
        <w:tab/>
      </w:r>
      <w:r>
        <w:rPr>
          <w:rFonts w:hint="eastAsia"/>
          <w:sz w:val="28"/>
          <w:szCs w:val="28"/>
        </w:rPr>
        <w:fldChar w:fldCharType="begin"/>
      </w:r>
      <w:r>
        <w:rPr>
          <w:rFonts w:hint="eastAsia"/>
          <w:sz w:val="28"/>
          <w:szCs w:val="28"/>
        </w:rPr>
        <w:instrText xml:space="preserve"> PAGEREF _Toc137554205 \h </w:instrText>
      </w:r>
      <w:r>
        <w:rPr>
          <w:rFonts w:hint="eastAsia"/>
          <w:sz w:val="28"/>
          <w:szCs w:val="28"/>
        </w:rPr>
        <w:fldChar w:fldCharType="separate"/>
      </w:r>
      <w:r>
        <w:rPr>
          <w:rFonts w:hint="eastAsia"/>
          <w:sz w:val="28"/>
          <w:szCs w:val="28"/>
        </w:rPr>
        <w:t>- 38 -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"_Toc137554206" </w:instrText>
      </w:r>
      <w:r>
        <w:fldChar w:fldCharType="separate"/>
      </w:r>
      <w:r>
        <w:rPr>
          <w:rStyle w:val="18"/>
          <w:rFonts w:hint="eastAsia"/>
          <w:sz w:val="28"/>
          <w:szCs w:val="28"/>
        </w:rPr>
        <w:t>（二）成本分析</w:t>
      </w:r>
      <w:r>
        <w:rPr>
          <w:rFonts w:hint="eastAsia"/>
          <w:sz w:val="28"/>
          <w:szCs w:val="28"/>
        </w:rPr>
        <w:tab/>
      </w:r>
      <w:r>
        <w:rPr>
          <w:rFonts w:hint="eastAsia"/>
          <w:sz w:val="28"/>
          <w:szCs w:val="28"/>
        </w:rPr>
        <w:fldChar w:fldCharType="begin"/>
      </w:r>
      <w:r>
        <w:rPr>
          <w:rFonts w:hint="eastAsia"/>
          <w:sz w:val="28"/>
          <w:szCs w:val="28"/>
        </w:rPr>
        <w:instrText xml:space="preserve"> PAGEREF _Toc137554206 \h </w:instrText>
      </w:r>
      <w:r>
        <w:rPr>
          <w:rFonts w:hint="eastAsia"/>
          <w:sz w:val="28"/>
          <w:szCs w:val="28"/>
        </w:rPr>
        <w:fldChar w:fldCharType="separate"/>
      </w:r>
      <w:r>
        <w:rPr>
          <w:rFonts w:hint="eastAsia"/>
          <w:sz w:val="28"/>
          <w:szCs w:val="28"/>
        </w:rPr>
        <w:t>- 38 -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"_Toc137554207" </w:instrText>
      </w:r>
      <w:r>
        <w:fldChar w:fldCharType="separate"/>
      </w:r>
      <w:r>
        <w:rPr>
          <w:rStyle w:val="18"/>
          <w:rFonts w:hint="eastAsia"/>
          <w:sz w:val="28"/>
          <w:szCs w:val="28"/>
        </w:rPr>
        <w:t>（三）存在的问题及建议</w:t>
      </w:r>
      <w:r>
        <w:rPr>
          <w:rFonts w:hint="eastAsia"/>
          <w:sz w:val="28"/>
          <w:szCs w:val="28"/>
        </w:rPr>
        <w:tab/>
      </w:r>
      <w:r>
        <w:rPr>
          <w:rFonts w:hint="eastAsia"/>
          <w:sz w:val="28"/>
          <w:szCs w:val="28"/>
        </w:rPr>
        <w:fldChar w:fldCharType="begin"/>
      </w:r>
      <w:r>
        <w:rPr>
          <w:rFonts w:hint="eastAsia"/>
          <w:sz w:val="28"/>
          <w:szCs w:val="28"/>
        </w:rPr>
        <w:instrText xml:space="preserve"> PAGEREF _Toc137554207 \h </w:instrText>
      </w:r>
      <w:r>
        <w:rPr>
          <w:rFonts w:hint="eastAsia"/>
          <w:sz w:val="28"/>
          <w:szCs w:val="28"/>
        </w:rPr>
        <w:fldChar w:fldCharType="separate"/>
      </w:r>
      <w:r>
        <w:rPr>
          <w:rFonts w:hint="eastAsia"/>
          <w:sz w:val="28"/>
          <w:szCs w:val="28"/>
        </w:rPr>
        <w:t>- 40 -</w:t>
      </w:r>
      <w:r>
        <w:rPr>
          <w:rFonts w:hint="eastAsia"/>
          <w:sz w:val="28"/>
          <w:szCs w:val="28"/>
        </w:rPr>
        <w:fldChar w:fldCharType="end"/>
      </w:r>
      <w:r>
        <w:rPr>
          <w:rFonts w:hint="eastAsia"/>
          <w:sz w:val="28"/>
          <w:szCs w:val="28"/>
        </w:rPr>
        <w:fldChar w:fldCharType="end"/>
      </w:r>
    </w:p>
    <w:p>
      <w:pPr>
        <w:pStyle w:val="10"/>
        <w:tabs>
          <w:tab w:val="right" w:leader="dot" w:pos="8291"/>
        </w:tabs>
        <w:spacing w:line="520" w:lineRule="exact"/>
        <w:ind w:firstLine="560"/>
        <w:rPr>
          <w:rFonts w:hAnsiTheme="minorHAnsi" w:cstheme="minorBidi"/>
          <w:sz w:val="28"/>
          <w:szCs w:val="28"/>
        </w:rPr>
      </w:pPr>
      <w:r>
        <w:fldChar w:fldCharType="begin"/>
      </w:r>
      <w:r>
        <w:instrText xml:space="preserve"> HYPERLINK \l "_Toc137554208" </w:instrText>
      </w:r>
      <w:r>
        <w:fldChar w:fldCharType="separate"/>
      </w:r>
      <w:r>
        <w:rPr>
          <w:rStyle w:val="18"/>
          <w:rFonts w:hint="eastAsia"/>
          <w:sz w:val="28"/>
          <w:szCs w:val="28"/>
        </w:rPr>
        <w:t>七、其他需要说明的问题</w:t>
      </w:r>
      <w:r>
        <w:rPr>
          <w:rFonts w:hint="eastAsia"/>
          <w:sz w:val="28"/>
          <w:szCs w:val="28"/>
        </w:rPr>
        <w:tab/>
      </w:r>
      <w:r>
        <w:rPr>
          <w:rFonts w:hint="eastAsia"/>
          <w:sz w:val="28"/>
          <w:szCs w:val="28"/>
        </w:rPr>
        <w:fldChar w:fldCharType="begin"/>
      </w:r>
      <w:r>
        <w:rPr>
          <w:rFonts w:hint="eastAsia"/>
          <w:sz w:val="28"/>
          <w:szCs w:val="28"/>
        </w:rPr>
        <w:instrText xml:space="preserve"> PAGEREF _Toc137554208 \h </w:instrText>
      </w:r>
      <w:r>
        <w:rPr>
          <w:rFonts w:hint="eastAsia"/>
          <w:sz w:val="28"/>
          <w:szCs w:val="28"/>
        </w:rPr>
        <w:fldChar w:fldCharType="separate"/>
      </w:r>
      <w:r>
        <w:rPr>
          <w:rFonts w:hint="eastAsia"/>
          <w:sz w:val="28"/>
          <w:szCs w:val="28"/>
        </w:rPr>
        <w:t>- 41 -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"_Toc137554209" </w:instrText>
      </w:r>
      <w:r>
        <w:fldChar w:fldCharType="separate"/>
      </w:r>
      <w:r>
        <w:rPr>
          <w:rStyle w:val="18"/>
          <w:rFonts w:hint="eastAsia"/>
          <w:sz w:val="28"/>
          <w:szCs w:val="28"/>
        </w:rPr>
        <w:t>（一）报告的局限性</w:t>
      </w:r>
      <w:r>
        <w:rPr>
          <w:rFonts w:hint="eastAsia"/>
          <w:sz w:val="28"/>
          <w:szCs w:val="28"/>
        </w:rPr>
        <w:tab/>
      </w:r>
      <w:r>
        <w:rPr>
          <w:rFonts w:hint="eastAsia"/>
          <w:sz w:val="28"/>
          <w:szCs w:val="28"/>
        </w:rPr>
        <w:fldChar w:fldCharType="begin"/>
      </w:r>
      <w:r>
        <w:rPr>
          <w:rFonts w:hint="eastAsia"/>
          <w:sz w:val="28"/>
          <w:szCs w:val="28"/>
        </w:rPr>
        <w:instrText xml:space="preserve"> PAGEREF _Toc137554209 \h </w:instrText>
      </w:r>
      <w:r>
        <w:rPr>
          <w:rFonts w:hint="eastAsia"/>
          <w:sz w:val="28"/>
          <w:szCs w:val="28"/>
        </w:rPr>
        <w:fldChar w:fldCharType="separate"/>
      </w:r>
      <w:r>
        <w:rPr>
          <w:rFonts w:hint="eastAsia"/>
          <w:sz w:val="28"/>
          <w:szCs w:val="28"/>
        </w:rPr>
        <w:t>- 41 -</w:t>
      </w:r>
      <w:r>
        <w:rPr>
          <w:rFonts w:hint="eastAsia"/>
          <w:sz w:val="28"/>
          <w:szCs w:val="28"/>
        </w:rPr>
        <w:fldChar w:fldCharType="end"/>
      </w:r>
      <w:r>
        <w:rPr>
          <w:rFonts w:hint="eastAsia"/>
          <w:sz w:val="28"/>
          <w:szCs w:val="28"/>
        </w:rPr>
        <w:fldChar w:fldCharType="end"/>
      </w:r>
    </w:p>
    <w:p>
      <w:pPr>
        <w:pStyle w:val="11"/>
        <w:tabs>
          <w:tab w:val="right" w:leader="dot" w:pos="8291"/>
        </w:tabs>
        <w:spacing w:line="520" w:lineRule="exact"/>
        <w:ind w:left="640" w:firstLine="560"/>
        <w:rPr>
          <w:rFonts w:hAnsiTheme="minorHAnsi" w:cstheme="minorBidi"/>
          <w:sz w:val="28"/>
          <w:szCs w:val="28"/>
        </w:rPr>
      </w:pPr>
      <w:r>
        <w:fldChar w:fldCharType="begin"/>
      </w:r>
      <w:r>
        <w:instrText xml:space="preserve"> HYPERLINK \l "_Toc137554210" </w:instrText>
      </w:r>
      <w:r>
        <w:fldChar w:fldCharType="separate"/>
      </w:r>
      <w:r>
        <w:rPr>
          <w:rStyle w:val="18"/>
          <w:rFonts w:hint="eastAsia"/>
          <w:sz w:val="28"/>
          <w:szCs w:val="28"/>
        </w:rPr>
        <w:t>（二）报告适用范围</w:t>
      </w:r>
      <w:r>
        <w:rPr>
          <w:rFonts w:hint="eastAsia"/>
          <w:sz w:val="28"/>
          <w:szCs w:val="28"/>
        </w:rPr>
        <w:tab/>
      </w:r>
      <w:r>
        <w:rPr>
          <w:rFonts w:hint="eastAsia"/>
          <w:sz w:val="28"/>
          <w:szCs w:val="28"/>
        </w:rPr>
        <w:fldChar w:fldCharType="begin"/>
      </w:r>
      <w:r>
        <w:rPr>
          <w:rFonts w:hint="eastAsia"/>
          <w:sz w:val="28"/>
          <w:szCs w:val="28"/>
        </w:rPr>
        <w:instrText xml:space="preserve"> PAGEREF _Toc137554210 \h </w:instrText>
      </w:r>
      <w:r>
        <w:rPr>
          <w:rFonts w:hint="eastAsia"/>
          <w:sz w:val="28"/>
          <w:szCs w:val="28"/>
        </w:rPr>
        <w:fldChar w:fldCharType="separate"/>
      </w:r>
      <w:r>
        <w:rPr>
          <w:rFonts w:hint="eastAsia"/>
          <w:sz w:val="28"/>
          <w:szCs w:val="28"/>
        </w:rPr>
        <w:t>- 42 -</w:t>
      </w:r>
      <w:r>
        <w:rPr>
          <w:rFonts w:hint="eastAsia"/>
          <w:sz w:val="28"/>
          <w:szCs w:val="28"/>
        </w:rPr>
        <w:fldChar w:fldCharType="end"/>
      </w:r>
      <w:r>
        <w:rPr>
          <w:rFonts w:hint="eastAsia"/>
          <w:sz w:val="28"/>
          <w:szCs w:val="28"/>
        </w:rPr>
        <w:fldChar w:fldCharType="end"/>
      </w:r>
    </w:p>
    <w:p>
      <w:pPr>
        <w:ind w:firstLine="0" w:firstLineChars="0"/>
        <w:jc w:val="center"/>
        <w:sectPr>
          <w:headerReference r:id="rId7" w:type="first"/>
          <w:footerReference r:id="rId10" w:type="first"/>
          <w:headerReference r:id="rId5" w:type="default"/>
          <w:footerReference r:id="rId8" w:type="default"/>
          <w:headerReference r:id="rId6" w:type="even"/>
          <w:footerReference r:id="rId9" w:type="even"/>
          <w:pgSz w:w="11906" w:h="16838"/>
          <w:pgMar w:top="1440" w:right="1802" w:bottom="1440" w:left="1803" w:header="851" w:footer="992" w:gutter="0"/>
          <w:cols w:space="425" w:num="1"/>
          <w:docGrid w:type="lines" w:linePitch="312" w:charSpace="0"/>
        </w:sectPr>
      </w:pPr>
      <w:r>
        <w:fldChar w:fldCharType="end"/>
      </w:r>
      <w:r>
        <w:br w:type="page"/>
      </w:r>
    </w:p>
    <w:p>
      <w:pPr>
        <w:pStyle w:val="3"/>
        <w:ind w:firstLine="0" w:firstLineChars="0"/>
        <w:jc w:val="center"/>
        <w:rPr>
          <w:rFonts w:ascii="方正小标宋简体" w:eastAsia="方正小标宋简体"/>
          <w:sz w:val="44"/>
          <w:szCs w:val="44"/>
        </w:rPr>
      </w:pPr>
      <w:bookmarkStart w:id="2" w:name="_Toc137554178"/>
      <w:r>
        <w:rPr>
          <w:rFonts w:hint="eastAsia" w:ascii="方正小标宋简体" w:eastAsia="方正小标宋简体"/>
          <w:sz w:val="44"/>
          <w:szCs w:val="44"/>
        </w:rPr>
        <w:t xml:space="preserve">摘 </w:t>
      </w:r>
      <w:r>
        <w:rPr>
          <w:rFonts w:ascii="方正小标宋简体" w:eastAsia="方正小标宋简体"/>
          <w:sz w:val="44"/>
          <w:szCs w:val="44"/>
        </w:rPr>
        <w:t xml:space="preserve">  </w:t>
      </w:r>
      <w:r>
        <w:rPr>
          <w:rFonts w:hint="eastAsia" w:ascii="方正小标宋简体" w:eastAsia="方正小标宋简体"/>
          <w:sz w:val="44"/>
          <w:szCs w:val="44"/>
        </w:rPr>
        <w:t>要</w:t>
      </w:r>
      <w:bookmarkEnd w:id="2"/>
    </w:p>
    <w:p>
      <w:pPr>
        <w:ind w:firstLine="640"/>
      </w:pPr>
      <w:r>
        <w:rPr>
          <w:rFonts w:hint="eastAsia"/>
        </w:rPr>
        <w:t>为全面推进实施预算绩效管理进程，强化绩效理念，提高财政资金使用效益，枣庄市高新技术开发区财政金融局委托山东鲁财云管理咨询有限公司对餐厨废弃物收运处理补贴、应急拆除违建及铁路沿线整治费用项目进行成本绩效评价。评价过程中对餐厨废弃物收运处理补贴项目进行重点分析，因应急拆除违建及铁路沿线整治费用项目具有非程序化的特点，只对其进行一般分析。</w:t>
      </w:r>
    </w:p>
    <w:p>
      <w:pPr>
        <w:pStyle w:val="3"/>
        <w:ind w:firstLine="640"/>
      </w:pPr>
      <w:bookmarkStart w:id="3" w:name="_Toc137554179"/>
      <w:r>
        <w:t>一、项目概况</w:t>
      </w:r>
      <w:bookmarkEnd w:id="3"/>
    </w:p>
    <w:p>
      <w:pPr>
        <w:pStyle w:val="4"/>
        <w:ind w:firstLine="640"/>
      </w:pPr>
      <w:bookmarkStart w:id="4" w:name="_Toc137554180"/>
      <w:r>
        <w:rPr>
          <w:rFonts w:hint="eastAsia"/>
        </w:rPr>
        <w:t>（一）项目名称</w:t>
      </w:r>
      <w:bookmarkEnd w:id="4"/>
    </w:p>
    <w:p>
      <w:pPr>
        <w:ind w:firstLine="640"/>
      </w:pPr>
      <w:r>
        <w:rPr>
          <w:rFonts w:hint="eastAsia"/>
        </w:rPr>
        <w:t>项目名称：餐厨废弃物收运处理补贴、应急拆除违建及铁路沿线整治费用项目。</w:t>
      </w:r>
    </w:p>
    <w:p>
      <w:pPr>
        <w:pStyle w:val="4"/>
        <w:ind w:firstLine="640"/>
      </w:pPr>
      <w:bookmarkStart w:id="5" w:name="_Toc137554181"/>
      <w:r>
        <w:t>（二）主管部门和相关单位</w:t>
      </w:r>
      <w:bookmarkEnd w:id="5"/>
    </w:p>
    <w:p>
      <w:pPr>
        <w:ind w:firstLine="640"/>
      </w:pPr>
      <w:r>
        <w:rPr>
          <w:rFonts w:hint="eastAsia"/>
        </w:rPr>
        <w:t>餐厨废弃物收运处理补贴、应急拆除违建及铁路沿线整治费用项目主管部门为枣庄国家高新技术产业开发区综合执法局，</w:t>
      </w:r>
      <w:r>
        <w:rPr>
          <w:rStyle w:val="38"/>
          <w:rFonts w:hint="default"/>
        </w:rPr>
        <w:t>负责申报项目的年度预算资金，审核并支付补贴资金，负责对项目实施单位运营情况进行日常监督管理。</w:t>
      </w:r>
    </w:p>
    <w:p>
      <w:pPr>
        <w:pStyle w:val="4"/>
        <w:ind w:firstLine="640"/>
      </w:pPr>
      <w:bookmarkStart w:id="6" w:name="_Toc137554182"/>
      <w:r>
        <w:t>（三）项目资金</w:t>
      </w:r>
      <w:bookmarkEnd w:id="6"/>
    </w:p>
    <w:p>
      <w:pPr>
        <w:ind w:firstLine="640"/>
      </w:pPr>
      <w:r>
        <w:rPr>
          <w:rFonts w:hint="eastAsia"/>
        </w:rPr>
        <w:t>餐厨废弃物收运处理补贴项目资金全部为区级财政资金，2020-2022年每年预算额为90万元，实际支付平均每年50万元，预算执行率55.6%。应急拆除违建及铁路沿线整治</w:t>
      </w:r>
      <w:r>
        <w:rPr>
          <w:rStyle w:val="38"/>
          <w:rFonts w:hint="default"/>
        </w:rPr>
        <w:t>项目无专门的财政预算，资金来源于区综合整治资金。</w:t>
      </w:r>
    </w:p>
    <w:p>
      <w:pPr>
        <w:pStyle w:val="4"/>
        <w:ind w:firstLine="640"/>
      </w:pPr>
      <w:bookmarkStart w:id="7" w:name="_Toc137554183"/>
      <w:r>
        <w:t>（四）项目运营模式</w:t>
      </w:r>
      <w:bookmarkEnd w:id="7"/>
    </w:p>
    <w:p>
      <w:pPr>
        <w:bidi w:val="0"/>
        <w:rPr>
          <w:color w:val="000000"/>
          <w:szCs w:val="32"/>
        </w:rPr>
      </w:pPr>
      <w:r>
        <w:rPr>
          <w:rFonts w:hint="eastAsia"/>
        </w:rPr>
        <w:t>餐厨废弃物收运处理补贴项目</w:t>
      </w:r>
      <w:r>
        <w:rPr>
          <w:rFonts w:hint="eastAsia"/>
          <w:color w:val="000000"/>
          <w:szCs w:val="32"/>
        </w:rPr>
        <w:t>实行</w:t>
      </w:r>
      <w:r>
        <w:rPr>
          <w:rFonts w:hint="eastAsia" w:hAnsi="TimesNewRomanPSMT"/>
          <w:color w:val="000000"/>
          <w:szCs w:val="32"/>
        </w:rPr>
        <w:t>BOT</w:t>
      </w:r>
      <w:r>
        <w:rPr>
          <w:rFonts w:hint="eastAsia"/>
          <w:color w:val="000000"/>
          <w:szCs w:val="32"/>
        </w:rPr>
        <w:t>运营模式，由枣庄市人民政府授权枣庄中科安佑环保有限公司在枣庄市薛城区陶庄镇投资、融资、设计、建设、运营、维护一座餐厨废弃物处理厂，开展特许范围内的餐厨废弃物收集、运输、处理特许经营业务。项目运营期内由中科安佑公司提供餐厨废弃物处理服务，并销售处理过程中所产生的副产品。项目特许经营期为三十年，特许经营期届满，中科安佑公司将项目资产无偿移交给枣庄市人民政府。</w:t>
      </w:r>
    </w:p>
    <w:p>
      <w:pPr>
        <w:pStyle w:val="4"/>
        <w:ind w:firstLine="640"/>
        <w:rPr>
          <w:rFonts w:ascii="仿宋_GB2312"/>
        </w:rPr>
      </w:pPr>
      <w:bookmarkStart w:id="8" w:name="_Toc137554184"/>
      <w:r>
        <w:rPr>
          <w:rFonts w:hint="eastAsia"/>
        </w:rPr>
        <w:t>（五）</w:t>
      </w:r>
      <w:r>
        <w:rPr>
          <w:rFonts w:hint="eastAsia" w:ascii="仿宋_GB2312"/>
        </w:rPr>
        <w:t>餐厨废弃物收运项目成本绩效评价</w:t>
      </w:r>
      <w:bookmarkEnd w:id="8"/>
    </w:p>
    <w:p>
      <w:pPr>
        <w:pStyle w:val="5"/>
        <w:ind w:firstLine="640"/>
      </w:pPr>
      <w:r>
        <w:rPr>
          <w:rFonts w:hint="eastAsia"/>
        </w:rPr>
        <w:t>1</w:t>
      </w:r>
      <w:r>
        <w:t>.产出指标分析</w:t>
      </w:r>
    </w:p>
    <w:p>
      <w:pPr>
        <w:ind w:firstLine="640"/>
      </w:pPr>
      <w:r>
        <w:rPr>
          <w:rFonts w:hint="eastAsia"/>
        </w:rPr>
        <w:t>根据成本绩效分析相关政策和文件以及特许权合同要求，</w:t>
      </w:r>
      <w:r>
        <w:rPr>
          <w:rFonts w:hint="eastAsia"/>
          <w:lang w:val="en-US" w:eastAsia="zh-CN"/>
        </w:rPr>
        <w:t>评价组</w:t>
      </w:r>
      <w:r>
        <w:rPr>
          <w:rFonts w:hint="eastAsia"/>
        </w:rPr>
        <w:t>从项目产出数量、质量和时效三个方面</w:t>
      </w:r>
      <w:r>
        <w:rPr>
          <w:rFonts w:hint="eastAsia"/>
          <w:lang w:val="en-US" w:eastAsia="zh-CN"/>
        </w:rPr>
        <w:t>梳理</w:t>
      </w:r>
      <w:r>
        <w:rPr>
          <w:rFonts w:hint="eastAsia"/>
        </w:rPr>
        <w:t>了项目产出绩效目标值。具体指标设置如表</w:t>
      </w:r>
      <w:r>
        <w:t>1</w:t>
      </w:r>
      <w:r>
        <w:rPr>
          <w:rFonts w:hint="eastAsia"/>
        </w:rPr>
        <w:t>所示。</w:t>
      </w:r>
    </w:p>
    <w:p>
      <w:pPr>
        <w:ind w:firstLine="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表1 产出指标分析表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335"/>
        <w:gridCol w:w="2655"/>
        <w:gridCol w:w="1560"/>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06"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sz w:val="20"/>
                <w:szCs w:val="20"/>
              </w:rPr>
            </w:pPr>
            <w:r>
              <w:rPr>
                <w:rFonts w:hint="eastAsia" w:cs="仿宋" w:asciiTheme="minorEastAsia" w:hAnsiTheme="minorEastAsia" w:eastAsiaTheme="minorEastAsia"/>
                <w:b/>
                <w:bCs/>
                <w:color w:val="000000"/>
                <w:kern w:val="0"/>
                <w:sz w:val="20"/>
                <w:szCs w:val="20"/>
                <w:lang w:bidi="ar"/>
              </w:rPr>
              <w:t>一级指标</w:t>
            </w:r>
          </w:p>
        </w:tc>
        <w:tc>
          <w:tcPr>
            <w:tcW w:w="784"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sz w:val="20"/>
                <w:szCs w:val="20"/>
              </w:rPr>
            </w:pPr>
            <w:r>
              <w:rPr>
                <w:rFonts w:hint="eastAsia" w:cs="仿宋" w:asciiTheme="minorEastAsia" w:hAnsiTheme="minorEastAsia" w:eastAsiaTheme="minorEastAsia"/>
                <w:b/>
                <w:bCs/>
                <w:color w:val="000000"/>
                <w:kern w:val="0"/>
                <w:sz w:val="20"/>
                <w:szCs w:val="20"/>
                <w:lang w:bidi="ar"/>
              </w:rPr>
              <w:t>二级指标</w:t>
            </w:r>
          </w:p>
        </w:tc>
        <w:tc>
          <w:tcPr>
            <w:tcW w:w="155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sz w:val="20"/>
                <w:szCs w:val="20"/>
              </w:rPr>
            </w:pPr>
            <w:r>
              <w:rPr>
                <w:rFonts w:hint="eastAsia" w:cs="仿宋" w:asciiTheme="minorEastAsia" w:hAnsiTheme="minorEastAsia" w:eastAsiaTheme="minorEastAsia"/>
                <w:b/>
                <w:bCs/>
                <w:color w:val="000000"/>
                <w:kern w:val="0"/>
                <w:sz w:val="20"/>
                <w:szCs w:val="20"/>
                <w:lang w:bidi="ar"/>
              </w:rPr>
              <w:t>三级指标</w:t>
            </w:r>
          </w:p>
        </w:tc>
        <w:tc>
          <w:tcPr>
            <w:tcW w:w="916"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sz w:val="20"/>
                <w:szCs w:val="20"/>
              </w:rPr>
            </w:pPr>
            <w:r>
              <w:rPr>
                <w:rFonts w:hint="eastAsia" w:cs="仿宋" w:asciiTheme="minorEastAsia" w:hAnsiTheme="minorEastAsia" w:eastAsiaTheme="minorEastAsia"/>
                <w:b/>
                <w:bCs/>
                <w:color w:val="000000"/>
                <w:kern w:val="0"/>
                <w:sz w:val="20"/>
                <w:szCs w:val="20"/>
                <w:lang w:bidi="ar"/>
              </w:rPr>
              <w:t>目标值</w:t>
            </w:r>
          </w:p>
        </w:tc>
        <w:tc>
          <w:tcPr>
            <w:tcW w:w="1134"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kern w:val="0"/>
                <w:sz w:val="20"/>
                <w:szCs w:val="20"/>
                <w:lang w:bidi="ar"/>
              </w:rPr>
            </w:pPr>
            <w:r>
              <w:rPr>
                <w:rFonts w:hint="eastAsia" w:cs="仿宋" w:asciiTheme="minorEastAsia" w:hAnsiTheme="minorEastAsia" w:eastAsiaTheme="minorEastAsia"/>
                <w:b/>
                <w:bCs/>
                <w:color w:val="000000"/>
                <w:kern w:val="0"/>
                <w:sz w:val="20"/>
                <w:szCs w:val="20"/>
                <w:lang w:bidi="ar"/>
              </w:rPr>
              <w:t>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06" w:type="pct"/>
            <w:vMerge w:val="restar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产出</w:t>
            </w:r>
          </w:p>
        </w:tc>
        <w:tc>
          <w:tcPr>
            <w:tcW w:w="784"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数量指标</w:t>
            </w:r>
          </w:p>
        </w:tc>
        <w:tc>
          <w:tcPr>
            <w:tcW w:w="1559"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餐厨废弃物收运处理率</w:t>
            </w:r>
          </w:p>
        </w:tc>
        <w:tc>
          <w:tcPr>
            <w:tcW w:w="916"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100%</w:t>
            </w:r>
          </w:p>
        </w:tc>
        <w:tc>
          <w:tcPr>
            <w:tcW w:w="1134"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06" w:type="pct"/>
            <w:vMerge w:val="continue"/>
            <w:tcBorders>
              <w:tl2br w:val="nil"/>
              <w:tr2bl w:val="nil"/>
            </w:tcBorders>
            <w:shd w:val="clear" w:color="auto" w:fill="FFFFFF"/>
            <w:vAlign w:val="center"/>
          </w:tcPr>
          <w:p>
            <w:pPr>
              <w:widowControl/>
              <w:spacing w:line="240" w:lineRule="auto"/>
              <w:ind w:firstLine="400"/>
              <w:jc w:val="center"/>
              <w:textAlignment w:val="center"/>
              <w:rPr>
                <w:rFonts w:cs="仿宋" w:asciiTheme="minorEastAsia" w:hAnsiTheme="minorEastAsia" w:eastAsiaTheme="minorEastAsia"/>
                <w:color w:val="000000"/>
                <w:sz w:val="20"/>
                <w:szCs w:val="20"/>
              </w:rPr>
            </w:pPr>
          </w:p>
        </w:tc>
        <w:tc>
          <w:tcPr>
            <w:tcW w:w="784"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质量指标</w:t>
            </w:r>
          </w:p>
        </w:tc>
        <w:tc>
          <w:tcPr>
            <w:tcW w:w="1559"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餐厨废弃物收运处理达标率</w:t>
            </w:r>
          </w:p>
        </w:tc>
        <w:tc>
          <w:tcPr>
            <w:tcW w:w="916"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100%</w:t>
            </w:r>
          </w:p>
        </w:tc>
        <w:tc>
          <w:tcPr>
            <w:tcW w:w="1134"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6" w:type="pct"/>
            <w:vMerge w:val="continue"/>
            <w:tcBorders>
              <w:tl2br w:val="nil"/>
              <w:tr2bl w:val="nil"/>
            </w:tcBorders>
            <w:shd w:val="clear" w:color="auto" w:fill="FFFFFF"/>
            <w:vAlign w:val="center"/>
          </w:tcPr>
          <w:p>
            <w:pPr>
              <w:widowControl/>
              <w:spacing w:line="240" w:lineRule="auto"/>
              <w:ind w:firstLine="400"/>
              <w:jc w:val="center"/>
              <w:textAlignment w:val="center"/>
              <w:rPr>
                <w:rFonts w:cs="仿宋" w:asciiTheme="minorEastAsia" w:hAnsiTheme="minorEastAsia" w:eastAsiaTheme="minorEastAsia"/>
                <w:color w:val="000000"/>
                <w:sz w:val="20"/>
                <w:szCs w:val="20"/>
              </w:rPr>
            </w:pPr>
          </w:p>
        </w:tc>
        <w:tc>
          <w:tcPr>
            <w:tcW w:w="784" w:type="pct"/>
            <w:vMerge w:val="restar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时效指标</w:t>
            </w:r>
          </w:p>
        </w:tc>
        <w:tc>
          <w:tcPr>
            <w:tcW w:w="1559"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餐厨废弃物收运及时性</w:t>
            </w:r>
          </w:p>
        </w:tc>
        <w:tc>
          <w:tcPr>
            <w:tcW w:w="916"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cs="仿宋" w:asciiTheme="minorEastAsia" w:hAnsiTheme="minorEastAsia" w:eastAsiaTheme="minorEastAsia"/>
                <w:color w:val="000000"/>
                <w:sz w:val="20"/>
                <w:szCs w:val="20"/>
              </w:rPr>
              <w:t>及时</w:t>
            </w:r>
          </w:p>
        </w:tc>
        <w:tc>
          <w:tcPr>
            <w:tcW w:w="1134"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cs="仿宋" w:asciiTheme="minorEastAsia" w:hAnsiTheme="minorEastAsia" w:eastAsiaTheme="minorEastAsia"/>
                <w:color w:val="000000"/>
                <w:sz w:val="20"/>
                <w:szCs w:val="20"/>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06" w:type="pct"/>
            <w:vMerge w:val="continue"/>
            <w:tcBorders>
              <w:tl2br w:val="nil"/>
              <w:tr2bl w:val="nil"/>
            </w:tcBorders>
            <w:shd w:val="clear" w:color="auto" w:fill="FFFFFF"/>
            <w:vAlign w:val="center"/>
          </w:tcPr>
          <w:p>
            <w:pPr>
              <w:widowControl/>
              <w:spacing w:line="240" w:lineRule="auto"/>
              <w:ind w:firstLine="480"/>
              <w:jc w:val="center"/>
              <w:textAlignment w:val="center"/>
              <w:rPr>
                <w:rFonts w:cs="仿宋" w:asciiTheme="minorEastAsia" w:hAnsiTheme="minorEastAsia" w:eastAsiaTheme="minorEastAsia"/>
                <w:color w:val="000000"/>
                <w:sz w:val="24"/>
              </w:rPr>
            </w:pPr>
          </w:p>
        </w:tc>
        <w:tc>
          <w:tcPr>
            <w:tcW w:w="784" w:type="pct"/>
            <w:vMerge w:val="continue"/>
            <w:tcBorders>
              <w:tl2br w:val="nil"/>
              <w:tr2bl w:val="nil"/>
            </w:tcBorders>
            <w:shd w:val="clear" w:color="auto" w:fill="FFFFFF"/>
            <w:vAlign w:val="center"/>
          </w:tcPr>
          <w:p>
            <w:pPr>
              <w:widowControl/>
              <w:spacing w:line="240" w:lineRule="auto"/>
              <w:ind w:firstLine="480"/>
              <w:jc w:val="center"/>
              <w:textAlignment w:val="center"/>
              <w:rPr>
                <w:rFonts w:cs="仿宋" w:asciiTheme="minorEastAsia" w:hAnsiTheme="minorEastAsia" w:eastAsiaTheme="minorEastAsia"/>
                <w:color w:val="000000"/>
                <w:sz w:val="24"/>
              </w:rPr>
            </w:pPr>
          </w:p>
        </w:tc>
        <w:tc>
          <w:tcPr>
            <w:tcW w:w="1559"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餐厨废弃物处理及时性</w:t>
            </w:r>
          </w:p>
        </w:tc>
        <w:tc>
          <w:tcPr>
            <w:tcW w:w="916"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100%</w:t>
            </w:r>
          </w:p>
        </w:tc>
        <w:tc>
          <w:tcPr>
            <w:tcW w:w="1134"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100%</w:t>
            </w:r>
          </w:p>
        </w:tc>
      </w:tr>
    </w:tbl>
    <w:p>
      <w:pPr>
        <w:pStyle w:val="5"/>
        <w:ind w:firstLine="640"/>
      </w:pPr>
      <w:r>
        <w:rPr>
          <w:rFonts w:hint="eastAsia"/>
        </w:rPr>
        <w:t>2</w:t>
      </w:r>
      <w:r>
        <w:t>.效益指标分析</w:t>
      </w:r>
    </w:p>
    <w:p>
      <w:pPr>
        <w:ind w:firstLine="640"/>
      </w:pPr>
      <w:r>
        <w:rPr>
          <w:rFonts w:hint="eastAsia"/>
        </w:rPr>
        <w:t>根据成本绩效分析相关政策和文件以及特许权合同要求，</w:t>
      </w:r>
      <w:r>
        <w:rPr>
          <w:rFonts w:hint="eastAsia"/>
          <w:lang w:val="en-US" w:eastAsia="zh-CN"/>
        </w:rPr>
        <w:t>评价组</w:t>
      </w:r>
      <w:r>
        <w:rPr>
          <w:rFonts w:hint="eastAsia"/>
        </w:rPr>
        <w:t>从经济效益、社会效益、生态效益、可持续影响和满意度等五个方面设置了项目效益目标值。具体指标设置见表</w:t>
      </w:r>
      <w:r>
        <w:t>2</w:t>
      </w:r>
      <w:r>
        <w:rPr>
          <w:rFonts w:hint="eastAsia"/>
        </w:rPr>
        <w:t>.</w:t>
      </w:r>
    </w:p>
    <w:p>
      <w:pPr>
        <w:ind w:firstLine="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表</w:t>
      </w:r>
      <w:r>
        <w:rPr>
          <w:rFonts w:asciiTheme="minorEastAsia" w:hAnsiTheme="minorEastAsia" w:eastAsiaTheme="minorEastAsia"/>
          <w:sz w:val="28"/>
          <w:szCs w:val="28"/>
        </w:rPr>
        <w:t>2</w:t>
      </w:r>
      <w:r>
        <w:rPr>
          <w:rFonts w:hint="eastAsia" w:asciiTheme="minorEastAsia" w:hAnsiTheme="minorEastAsia" w:eastAsiaTheme="minorEastAsia"/>
          <w:sz w:val="28"/>
          <w:szCs w:val="28"/>
        </w:rPr>
        <w:t xml:space="preserve"> 效益指标分析表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470"/>
        <w:gridCol w:w="1855"/>
        <w:gridCol w:w="1464"/>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6"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kern w:val="0"/>
                <w:sz w:val="20"/>
                <w:szCs w:val="20"/>
                <w:lang w:bidi="ar"/>
              </w:rPr>
            </w:pPr>
            <w:r>
              <w:rPr>
                <w:rFonts w:hint="eastAsia" w:cs="仿宋" w:asciiTheme="minorEastAsia" w:hAnsiTheme="minorEastAsia" w:eastAsiaTheme="minorEastAsia"/>
                <w:b/>
                <w:bCs/>
                <w:color w:val="000000"/>
                <w:kern w:val="0"/>
                <w:sz w:val="20"/>
                <w:szCs w:val="20"/>
                <w:lang w:bidi="ar"/>
              </w:rPr>
              <w:t>一级指标</w:t>
            </w:r>
          </w:p>
        </w:tc>
        <w:tc>
          <w:tcPr>
            <w:tcW w:w="863"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kern w:val="0"/>
                <w:sz w:val="20"/>
                <w:szCs w:val="20"/>
                <w:lang w:bidi="ar"/>
              </w:rPr>
            </w:pPr>
            <w:r>
              <w:rPr>
                <w:rFonts w:hint="eastAsia" w:cs="仿宋" w:asciiTheme="minorEastAsia" w:hAnsiTheme="minorEastAsia" w:eastAsiaTheme="minorEastAsia"/>
                <w:b/>
                <w:bCs/>
                <w:color w:val="000000"/>
                <w:kern w:val="0"/>
                <w:sz w:val="20"/>
                <w:szCs w:val="20"/>
                <w:lang w:bidi="ar"/>
              </w:rPr>
              <w:t>二级指标</w:t>
            </w:r>
          </w:p>
        </w:tc>
        <w:tc>
          <w:tcPr>
            <w:tcW w:w="108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kern w:val="0"/>
                <w:sz w:val="20"/>
                <w:szCs w:val="20"/>
                <w:lang w:bidi="ar"/>
              </w:rPr>
            </w:pPr>
            <w:r>
              <w:rPr>
                <w:rFonts w:hint="eastAsia" w:cs="仿宋" w:asciiTheme="minorEastAsia" w:hAnsiTheme="minorEastAsia" w:eastAsiaTheme="minorEastAsia"/>
                <w:b/>
                <w:bCs/>
                <w:color w:val="000000"/>
                <w:kern w:val="0"/>
                <w:sz w:val="20"/>
                <w:szCs w:val="20"/>
                <w:lang w:bidi="ar"/>
              </w:rPr>
              <w:t>三级指标</w:t>
            </w:r>
          </w:p>
        </w:tc>
        <w:tc>
          <w:tcPr>
            <w:tcW w:w="85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kern w:val="0"/>
                <w:sz w:val="20"/>
                <w:szCs w:val="20"/>
                <w:lang w:bidi="ar"/>
              </w:rPr>
            </w:pPr>
            <w:r>
              <w:rPr>
                <w:rFonts w:hint="eastAsia" w:cs="仿宋" w:asciiTheme="minorEastAsia" w:hAnsiTheme="minorEastAsia" w:eastAsiaTheme="minorEastAsia"/>
                <w:b/>
                <w:bCs/>
                <w:color w:val="000000"/>
                <w:kern w:val="0"/>
                <w:sz w:val="20"/>
                <w:szCs w:val="20"/>
                <w:lang w:bidi="ar"/>
              </w:rPr>
              <w:t>目标值</w:t>
            </w:r>
          </w:p>
        </w:tc>
        <w:tc>
          <w:tcPr>
            <w:tcW w:w="1580"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kern w:val="0"/>
                <w:sz w:val="20"/>
                <w:szCs w:val="20"/>
                <w:lang w:bidi="ar"/>
              </w:rPr>
            </w:pPr>
            <w:r>
              <w:rPr>
                <w:rFonts w:hint="eastAsia" w:cs="仿宋" w:asciiTheme="minorEastAsia" w:hAnsiTheme="minorEastAsia" w:eastAsiaTheme="minorEastAsia"/>
                <w:b/>
                <w:bCs/>
                <w:color w:val="000000"/>
                <w:kern w:val="0"/>
                <w:sz w:val="20"/>
                <w:szCs w:val="20"/>
                <w:lang w:bidi="ar"/>
              </w:rPr>
              <w:t>年度指标值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6" w:type="pct"/>
            <w:vMerge w:val="restar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效益</w:t>
            </w:r>
          </w:p>
        </w:tc>
        <w:tc>
          <w:tcPr>
            <w:tcW w:w="863"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经济效益</w:t>
            </w:r>
          </w:p>
        </w:tc>
        <w:tc>
          <w:tcPr>
            <w:tcW w:w="108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项目经济效益</w:t>
            </w:r>
          </w:p>
        </w:tc>
        <w:tc>
          <w:tcPr>
            <w:tcW w:w="85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提升</w:t>
            </w:r>
          </w:p>
        </w:tc>
        <w:tc>
          <w:tcPr>
            <w:tcW w:w="1580"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年均1</w:t>
            </w:r>
            <w:r>
              <w:rPr>
                <w:rFonts w:cs="仿宋" w:asciiTheme="minorEastAsia" w:hAnsiTheme="minorEastAsia" w:eastAsiaTheme="minorEastAsia"/>
                <w:bCs/>
                <w:color w:val="000000"/>
                <w:kern w:val="0"/>
                <w:sz w:val="20"/>
                <w:szCs w:val="20"/>
                <w:lang w:bidi="ar"/>
              </w:rPr>
              <w:t>098万</w:t>
            </w:r>
            <w:r>
              <w:rPr>
                <w:rFonts w:hint="eastAsia" w:cs="仿宋" w:asciiTheme="minorEastAsia" w:hAnsiTheme="minorEastAsia" w:eastAsiaTheme="minorEastAsia"/>
                <w:bCs/>
                <w:color w:val="000000"/>
                <w:kern w:val="0"/>
                <w:sz w:val="20"/>
                <w:szCs w:val="20"/>
                <w:lang w:bidi="ar"/>
              </w:rPr>
              <w:t>元</w:t>
            </w:r>
            <w:r>
              <w:rPr>
                <w:rFonts w:cs="仿宋" w:asciiTheme="minorEastAsia" w:hAnsiTheme="minorEastAsia" w:eastAsiaTheme="minorEastAsia"/>
                <w:bCs/>
                <w:color w:val="000000"/>
                <w:kern w:val="0"/>
                <w:sz w:val="20"/>
                <w:szCs w:val="20"/>
                <w:lang w:bidi="ar"/>
              </w:rPr>
              <w:t>，且逐年上升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6" w:type="pct"/>
            <w:vMerge w:val="continue"/>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p>
        </w:tc>
        <w:tc>
          <w:tcPr>
            <w:tcW w:w="863"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社会效益</w:t>
            </w:r>
          </w:p>
        </w:tc>
        <w:tc>
          <w:tcPr>
            <w:tcW w:w="108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餐厨废弃物无公害处理</w:t>
            </w:r>
          </w:p>
        </w:tc>
        <w:tc>
          <w:tcPr>
            <w:tcW w:w="85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有效处理</w:t>
            </w:r>
          </w:p>
        </w:tc>
        <w:tc>
          <w:tcPr>
            <w:tcW w:w="1580"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有效处理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06" w:type="pct"/>
            <w:vMerge w:val="continue"/>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p>
        </w:tc>
        <w:tc>
          <w:tcPr>
            <w:tcW w:w="863"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生态效益</w:t>
            </w:r>
          </w:p>
        </w:tc>
        <w:tc>
          <w:tcPr>
            <w:tcW w:w="108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环境保护</w:t>
            </w:r>
          </w:p>
        </w:tc>
        <w:tc>
          <w:tcPr>
            <w:tcW w:w="85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有效保护</w:t>
            </w:r>
          </w:p>
        </w:tc>
        <w:tc>
          <w:tcPr>
            <w:tcW w:w="1580"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有效保护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06" w:type="pct"/>
            <w:vMerge w:val="continue"/>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p>
        </w:tc>
        <w:tc>
          <w:tcPr>
            <w:tcW w:w="863"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可持续影响</w:t>
            </w:r>
          </w:p>
        </w:tc>
        <w:tc>
          <w:tcPr>
            <w:tcW w:w="108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可持续运营</w:t>
            </w:r>
          </w:p>
        </w:tc>
        <w:tc>
          <w:tcPr>
            <w:tcW w:w="85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永久有效或30年</w:t>
            </w:r>
          </w:p>
        </w:tc>
        <w:tc>
          <w:tcPr>
            <w:tcW w:w="1580"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≥3</w:t>
            </w:r>
            <w:r>
              <w:rPr>
                <w:rFonts w:cs="仿宋" w:asciiTheme="minorEastAsia" w:hAnsiTheme="minorEastAsia" w:eastAsiaTheme="minorEastAsia"/>
                <w:bCs/>
                <w:color w:val="000000"/>
                <w:kern w:val="0"/>
                <w:sz w:val="20"/>
                <w:szCs w:val="20"/>
                <w:lang w:bidi="ar"/>
              </w:rPr>
              <w:t>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6" w:type="pct"/>
            <w:vMerge w:val="continue"/>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p>
        </w:tc>
        <w:tc>
          <w:tcPr>
            <w:tcW w:w="863"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服务对象满意度</w:t>
            </w:r>
          </w:p>
        </w:tc>
        <w:tc>
          <w:tcPr>
            <w:tcW w:w="108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群众满意度</w:t>
            </w:r>
          </w:p>
        </w:tc>
        <w:tc>
          <w:tcPr>
            <w:tcW w:w="85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≥90%</w:t>
            </w:r>
          </w:p>
        </w:tc>
        <w:tc>
          <w:tcPr>
            <w:tcW w:w="1580"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≥90%</w:t>
            </w:r>
          </w:p>
        </w:tc>
      </w:tr>
    </w:tbl>
    <w:p>
      <w:pPr>
        <w:pStyle w:val="5"/>
        <w:ind w:firstLine="640"/>
      </w:pPr>
      <w:r>
        <w:rPr>
          <w:rFonts w:hint="eastAsia"/>
        </w:rPr>
        <w:t>3</w:t>
      </w:r>
      <w:r>
        <w:t>.</w:t>
      </w:r>
      <w:r>
        <w:rPr>
          <w:rFonts w:hint="eastAsia"/>
        </w:rPr>
        <w:t>单位餐厨垃圾清运补贴核定</w:t>
      </w:r>
    </w:p>
    <w:p>
      <w:pPr>
        <w:ind w:firstLine="640"/>
      </w:pPr>
      <w:r>
        <w:rPr>
          <w:rFonts w:hint="eastAsia"/>
        </w:rPr>
        <w:t>在单位生产成本定额的基础上考虑企业经营过程中产生的管理费用、财务费用、税金及附加以及企业的合理利润，扣除油脂收入和污水处理收入（污水处理收入虽然为对外承接污水处理所得，但在成本计算时未扣除污水处理成本），在不同的利润水平下单位餐厨废弃物收运补贴价格如下表</w:t>
      </w:r>
      <w:r>
        <w:t>3</w:t>
      </w:r>
      <w:r>
        <w:rPr>
          <w:rFonts w:hint="eastAsia"/>
        </w:rPr>
        <w:t>所示。</w:t>
      </w:r>
    </w:p>
    <w:p>
      <w:pPr>
        <w:ind w:firstLine="56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表</w:t>
      </w:r>
      <w:r>
        <w:rPr>
          <w:rFonts w:asciiTheme="minorEastAsia" w:hAnsiTheme="minorEastAsia" w:eastAsiaTheme="minorEastAsia"/>
          <w:sz w:val="28"/>
          <w:szCs w:val="28"/>
        </w:rPr>
        <w:t xml:space="preserve">3 </w:t>
      </w:r>
      <w:r>
        <w:rPr>
          <w:rFonts w:hint="eastAsia" w:asciiTheme="minorEastAsia" w:hAnsiTheme="minorEastAsia" w:eastAsiaTheme="minorEastAsia"/>
          <w:sz w:val="28"/>
          <w:szCs w:val="28"/>
        </w:rPr>
        <w:t xml:space="preserve">单位补贴价格定额测算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1"/>
          <w:szCs w:val="21"/>
        </w:rPr>
        <w:t>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1244"/>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5"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指标名称</w:t>
            </w:r>
          </w:p>
        </w:tc>
        <w:tc>
          <w:tcPr>
            <w:tcW w:w="73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定额标准</w:t>
            </w:r>
          </w:p>
        </w:tc>
        <w:tc>
          <w:tcPr>
            <w:tcW w:w="2624"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5"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单位生产成本定额</w:t>
            </w:r>
          </w:p>
        </w:tc>
        <w:tc>
          <w:tcPr>
            <w:tcW w:w="73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255.84</w:t>
            </w:r>
          </w:p>
        </w:tc>
        <w:tc>
          <w:tcPr>
            <w:tcW w:w="2624" w:type="pct"/>
            <w:shd w:val="clear" w:color="auto" w:fill="auto"/>
            <w:noWrap/>
            <w:vAlign w:val="center"/>
          </w:tcPr>
          <w:p>
            <w:pPr>
              <w:widowControl/>
              <w:spacing w:line="240" w:lineRule="auto"/>
              <w:ind w:firstLine="0" w:firstLineChars="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调整后平均单位生产成本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5"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单位管理费用</w:t>
            </w:r>
          </w:p>
        </w:tc>
        <w:tc>
          <w:tcPr>
            <w:tcW w:w="73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7.91</w:t>
            </w:r>
          </w:p>
        </w:tc>
        <w:tc>
          <w:tcPr>
            <w:tcW w:w="2624" w:type="pct"/>
            <w:vMerge w:val="restart"/>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参考枣庄市发展和改革委员会下发的《关于对枣庄中科安佑环保有限公司非居民厨余垃圾处理计量成本监审的初步意见告知书》中核定金额。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5"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单位财务费用</w:t>
            </w:r>
          </w:p>
        </w:tc>
        <w:tc>
          <w:tcPr>
            <w:tcW w:w="73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0.25</w:t>
            </w:r>
          </w:p>
        </w:tc>
        <w:tc>
          <w:tcPr>
            <w:tcW w:w="2624" w:type="pct"/>
            <w:vMerge w:val="continue"/>
            <w:vAlign w:val="center"/>
          </w:tcPr>
          <w:p>
            <w:pPr>
              <w:widowControl/>
              <w:spacing w:line="240" w:lineRule="auto"/>
              <w:ind w:firstLine="0" w:firstLineChars="0"/>
              <w:jc w:val="left"/>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645"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单位税金及附加</w:t>
            </w:r>
          </w:p>
        </w:tc>
        <w:tc>
          <w:tcPr>
            <w:tcW w:w="73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3.69</w:t>
            </w:r>
          </w:p>
        </w:tc>
        <w:tc>
          <w:tcPr>
            <w:tcW w:w="2624" w:type="pct"/>
            <w:vMerge w:val="continue"/>
            <w:vAlign w:val="center"/>
          </w:tcPr>
          <w:p>
            <w:pPr>
              <w:widowControl/>
              <w:spacing w:line="240" w:lineRule="auto"/>
              <w:ind w:firstLine="0" w:firstLineChars="0"/>
              <w:jc w:val="left"/>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5"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单位油脂收入</w:t>
            </w:r>
          </w:p>
        </w:tc>
        <w:tc>
          <w:tcPr>
            <w:tcW w:w="73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145.29</w:t>
            </w:r>
          </w:p>
        </w:tc>
        <w:tc>
          <w:tcPr>
            <w:tcW w:w="2624" w:type="pct"/>
            <w:shd w:val="clear" w:color="auto" w:fill="auto"/>
            <w:noWrap/>
            <w:vAlign w:val="center"/>
          </w:tcPr>
          <w:p>
            <w:pPr>
              <w:widowControl/>
              <w:spacing w:line="240" w:lineRule="auto"/>
              <w:ind w:firstLine="0" w:firstLineChars="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取2020-2022年单位餐厨垃圾处理量油脂收入平均值。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5"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单位污水处理收入</w:t>
            </w:r>
          </w:p>
        </w:tc>
        <w:tc>
          <w:tcPr>
            <w:tcW w:w="73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27.41</w:t>
            </w:r>
          </w:p>
        </w:tc>
        <w:tc>
          <w:tcPr>
            <w:tcW w:w="2624" w:type="pct"/>
            <w:shd w:val="clear" w:color="auto" w:fill="auto"/>
            <w:noWrap/>
            <w:vAlign w:val="center"/>
          </w:tcPr>
          <w:p>
            <w:pPr>
              <w:widowControl/>
              <w:spacing w:line="240" w:lineRule="auto"/>
              <w:ind w:firstLine="0" w:firstLineChars="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2020年没有污水处理项目，取2021-2022单位餐厨垃圾处理量污水处理收入平均值。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5"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补贴单价（盈亏平衡点）</w:t>
            </w:r>
          </w:p>
        </w:tc>
        <w:tc>
          <w:tcPr>
            <w:tcW w:w="73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94.99</w:t>
            </w:r>
          </w:p>
        </w:tc>
        <w:tc>
          <w:tcPr>
            <w:tcW w:w="2624" w:type="pct"/>
            <w:vMerge w:val="restart"/>
            <w:shd w:val="clear" w:color="auto" w:fill="auto"/>
            <w:noWrap/>
            <w:vAlign w:val="center"/>
          </w:tcPr>
          <w:p>
            <w:pPr>
              <w:widowControl/>
              <w:spacing w:line="240" w:lineRule="auto"/>
              <w:ind w:right="240"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补贴单价=（单位生产成本定额+单位管理费用+单位财务费用+单位税金及附加）*（1+成本利润率）-单位油脂收入-单位污水处理收入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5"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补贴单价（成本利润率10%）</w:t>
            </w:r>
          </w:p>
        </w:tc>
        <w:tc>
          <w:tcPr>
            <w:tcW w:w="73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121.76</w:t>
            </w:r>
          </w:p>
        </w:tc>
        <w:tc>
          <w:tcPr>
            <w:tcW w:w="2624" w:type="pct"/>
            <w:vMerge w:val="continue"/>
            <w:shd w:val="clear" w:color="auto" w:fill="auto"/>
            <w:noWrap/>
            <w:vAlign w:val="center"/>
          </w:tcPr>
          <w:p>
            <w:pPr>
              <w:widowControl/>
              <w:spacing w:line="240" w:lineRule="auto"/>
              <w:ind w:firstLine="0" w:firstLineChars="0"/>
              <w:jc w:val="right"/>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5"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补贴单价（成本利润率15%）</w:t>
            </w:r>
          </w:p>
        </w:tc>
        <w:tc>
          <w:tcPr>
            <w:tcW w:w="73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135.14</w:t>
            </w:r>
          </w:p>
        </w:tc>
        <w:tc>
          <w:tcPr>
            <w:tcW w:w="2624" w:type="pct"/>
            <w:vMerge w:val="continue"/>
            <w:shd w:val="clear" w:color="auto" w:fill="auto"/>
            <w:noWrap/>
            <w:vAlign w:val="center"/>
          </w:tcPr>
          <w:p>
            <w:pPr>
              <w:widowControl/>
              <w:spacing w:line="240" w:lineRule="auto"/>
              <w:ind w:firstLine="0" w:firstLineChars="0"/>
              <w:jc w:val="right"/>
              <w:rPr>
                <w:rFonts w:cs="宋体" w:asciiTheme="minorEastAsia" w:hAnsiTheme="minorEastAsia" w:eastAsiaTheme="minorEastAsia"/>
                <w:kern w:val="0"/>
                <w:sz w:val="20"/>
                <w:szCs w:val="20"/>
              </w:rPr>
            </w:pPr>
          </w:p>
        </w:tc>
      </w:tr>
    </w:tbl>
    <w:p>
      <w:pPr>
        <w:pStyle w:val="5"/>
        <w:ind w:firstLine="640"/>
      </w:pPr>
      <w:r>
        <w:rPr>
          <w:rFonts w:hint="eastAsia"/>
        </w:rPr>
        <w:t>4</w:t>
      </w:r>
      <w:r>
        <w:t>.</w:t>
      </w:r>
      <w:r>
        <w:rPr>
          <w:rFonts w:hint="eastAsia"/>
        </w:rPr>
        <w:t>存在</w:t>
      </w:r>
      <w:r>
        <w:t>的问题及建议</w:t>
      </w:r>
    </w:p>
    <w:p>
      <w:pPr>
        <w:ind w:firstLine="640"/>
      </w:pPr>
      <w:r>
        <w:rPr>
          <w:rFonts w:hint="eastAsia"/>
        </w:rPr>
        <w:t>（1）会计</w:t>
      </w:r>
      <w:r>
        <w:t>核算</w:t>
      </w:r>
      <w:r>
        <w:rPr>
          <w:rFonts w:hint="eastAsia"/>
        </w:rPr>
        <w:t>方式不规范导致</w:t>
      </w:r>
      <w:r>
        <w:t>成本</w:t>
      </w:r>
      <w:r>
        <w:rPr>
          <w:rFonts w:hint="eastAsia"/>
        </w:rPr>
        <w:t>偏高</w:t>
      </w:r>
    </w:p>
    <w:p>
      <w:pPr>
        <w:ind w:firstLine="640"/>
      </w:pPr>
      <w:r>
        <w:rPr>
          <w:rFonts w:hint="eastAsia"/>
        </w:rPr>
        <w:t>根据《企业会计准则》的要求，企业设备等固定资产的大修理支</w:t>
      </w:r>
      <w:r>
        <w:rPr>
          <w:rFonts w:hint="eastAsia"/>
          <w:lang w:val="en-US" w:eastAsia="zh-CN"/>
        </w:rPr>
        <w:t>出</w:t>
      </w:r>
      <w:r>
        <w:rPr>
          <w:rFonts w:hint="eastAsia"/>
        </w:rPr>
        <w:t>、厂区基建工程等支出</w:t>
      </w:r>
      <w:r>
        <w:rPr>
          <w:rFonts w:hint="eastAsia"/>
          <w:color w:val="000000" w:themeColor="text1"/>
          <w14:textFill>
            <w14:solidFill>
              <w14:schemeClr w14:val="tx1"/>
            </w14:solidFill>
          </w14:textFill>
        </w:rPr>
        <w:t>应增加企业固定资产原值或者计入长期待摊费用</w:t>
      </w:r>
      <w:r>
        <w:rPr>
          <w:rFonts w:hint="eastAsia"/>
        </w:rPr>
        <w:t>。若将该类支出直接计入当年费用会造成当年成本过大，后期成本偏小的问题。中科安佑公司在会计核算过程中存在该类现象，使得评价报告中所使用的样本数据所反映的餐厨废弃物处理成本偏</w:t>
      </w:r>
      <w:r>
        <w:rPr>
          <w:rFonts w:hint="eastAsia"/>
          <w:lang w:val="en-US" w:eastAsia="zh-CN"/>
        </w:rPr>
        <w:t>高</w:t>
      </w:r>
      <w:r>
        <w:rPr>
          <w:rFonts w:hint="eastAsia"/>
        </w:rPr>
        <w:t>。建议根据《企业会计准则》的要求重新梳理相关历史成本，调整相关账簿的记账方式，合理分摊成本。</w:t>
      </w:r>
    </w:p>
    <w:p>
      <w:pPr>
        <w:ind w:firstLine="640"/>
      </w:pPr>
      <w:r>
        <w:rPr>
          <w:rFonts w:hint="eastAsia"/>
        </w:rPr>
        <w:t>（2）餐厨</w:t>
      </w:r>
      <w:r>
        <w:t>废弃物清运保底量偏高</w:t>
      </w:r>
    </w:p>
    <w:p>
      <w:pPr>
        <w:ind w:firstLine="320" w:firstLineChars="100"/>
        <w:rPr>
          <w:color w:val="000000"/>
          <w:szCs w:val="32"/>
        </w:rPr>
      </w:pPr>
      <w:r>
        <w:rPr>
          <w:rFonts w:hint="eastAsia"/>
        </w:rPr>
        <w:t>按照《特许经营权协议》</w:t>
      </w:r>
      <w:r>
        <w:rPr>
          <w:rFonts w:hint="eastAsia"/>
          <w:color w:val="000000"/>
          <w:szCs w:val="32"/>
        </w:rPr>
        <w:t>运营期前两年保底量按</w:t>
      </w:r>
      <w:r>
        <w:rPr>
          <w:rFonts w:hint="eastAsia" w:hAnsi="TimesNewRomanPSMT"/>
          <w:color w:val="000000"/>
          <w:szCs w:val="32"/>
        </w:rPr>
        <w:t>100</w:t>
      </w:r>
      <w:r>
        <w:rPr>
          <w:rFonts w:hint="eastAsia"/>
          <w:color w:val="000000"/>
          <w:szCs w:val="32"/>
        </w:rPr>
        <w:t>吨</w:t>
      </w:r>
      <w:r>
        <w:rPr>
          <w:rFonts w:hint="eastAsia" w:hAnsi="TimesNewRomanPSMT"/>
          <w:color w:val="000000"/>
          <w:szCs w:val="32"/>
        </w:rPr>
        <w:t>/</w:t>
      </w:r>
      <w:r>
        <w:rPr>
          <w:rFonts w:hint="eastAsia"/>
          <w:color w:val="000000"/>
          <w:szCs w:val="32"/>
        </w:rPr>
        <w:t>日计算，即不足</w:t>
      </w:r>
      <w:r>
        <w:rPr>
          <w:rFonts w:hint="eastAsia" w:hAnsi="TimesNewRomanPSMT"/>
          <w:color w:val="000000"/>
          <w:szCs w:val="32"/>
        </w:rPr>
        <w:t>100</w:t>
      </w:r>
      <w:r>
        <w:rPr>
          <w:rFonts w:hint="eastAsia" w:hAnsi="TimesNewRomanPSMT"/>
          <w:color w:val="000000"/>
          <w:szCs w:val="32"/>
          <w:lang w:val="en-US" w:eastAsia="zh-CN"/>
        </w:rPr>
        <w:t>吨</w:t>
      </w:r>
      <w:r>
        <w:rPr>
          <w:rFonts w:hint="eastAsia" w:hAnsi="TimesNewRomanPSMT"/>
          <w:color w:val="000000"/>
          <w:szCs w:val="32"/>
        </w:rPr>
        <w:t>/</w:t>
      </w:r>
      <w:r>
        <w:rPr>
          <w:rFonts w:hint="eastAsia"/>
          <w:color w:val="000000"/>
          <w:szCs w:val="32"/>
        </w:rPr>
        <w:t>日按</w:t>
      </w:r>
      <w:r>
        <w:rPr>
          <w:rFonts w:hint="eastAsia" w:hAnsi="TimesNewRomanPSMT"/>
          <w:color w:val="000000"/>
          <w:szCs w:val="32"/>
        </w:rPr>
        <w:t>100</w:t>
      </w:r>
      <w:r>
        <w:rPr>
          <w:rFonts w:hint="eastAsia" w:hAnsi="TimesNewRomanPSMT"/>
          <w:color w:val="000000"/>
          <w:szCs w:val="32"/>
          <w:lang w:val="en-US" w:eastAsia="zh-CN"/>
        </w:rPr>
        <w:t>吨</w:t>
      </w:r>
      <w:r>
        <w:rPr>
          <w:rFonts w:hint="eastAsia" w:hAnsi="TimesNewRomanPSMT"/>
          <w:color w:val="000000"/>
          <w:szCs w:val="32"/>
        </w:rPr>
        <w:t>/</w:t>
      </w:r>
      <w:r>
        <w:rPr>
          <w:rFonts w:hint="eastAsia"/>
          <w:color w:val="000000"/>
          <w:szCs w:val="32"/>
        </w:rPr>
        <w:t>日结算，超过</w:t>
      </w:r>
      <w:r>
        <w:rPr>
          <w:rFonts w:hint="eastAsia" w:hAnsi="TimesNewRomanPSMT"/>
          <w:color w:val="000000"/>
          <w:szCs w:val="32"/>
        </w:rPr>
        <w:t>100</w:t>
      </w:r>
      <w:r>
        <w:rPr>
          <w:rFonts w:hint="eastAsia"/>
          <w:color w:val="000000"/>
          <w:szCs w:val="32"/>
        </w:rPr>
        <w:t>吨</w:t>
      </w:r>
      <w:r>
        <w:rPr>
          <w:rFonts w:hint="eastAsia" w:hAnsi="TimesNewRomanPSMT"/>
          <w:color w:val="000000"/>
          <w:szCs w:val="32"/>
        </w:rPr>
        <w:t>/</w:t>
      </w:r>
      <w:r>
        <w:rPr>
          <w:rFonts w:hint="eastAsia"/>
          <w:color w:val="000000"/>
          <w:szCs w:val="32"/>
        </w:rPr>
        <w:t>日据实计算；第三年起按</w:t>
      </w:r>
      <w:r>
        <w:rPr>
          <w:rFonts w:hint="eastAsia" w:hAnsi="TimesNewRomanPSMT"/>
          <w:color w:val="000000"/>
          <w:szCs w:val="32"/>
        </w:rPr>
        <w:t>150</w:t>
      </w:r>
      <w:r>
        <w:rPr>
          <w:rFonts w:hint="eastAsia"/>
          <w:color w:val="000000"/>
          <w:szCs w:val="32"/>
        </w:rPr>
        <w:t>吨</w:t>
      </w:r>
      <w:r>
        <w:rPr>
          <w:rFonts w:hint="eastAsia" w:hAnsi="TimesNewRomanPSMT"/>
          <w:color w:val="000000"/>
          <w:szCs w:val="32"/>
        </w:rPr>
        <w:t>/</w:t>
      </w:r>
      <w:r>
        <w:rPr>
          <w:rFonts w:hint="eastAsia"/>
          <w:color w:val="000000"/>
          <w:szCs w:val="32"/>
        </w:rPr>
        <w:t>日计算，即不足则按</w:t>
      </w:r>
      <w:r>
        <w:rPr>
          <w:rFonts w:hint="eastAsia" w:hAnsi="TimesNewRomanPSMT"/>
          <w:color w:val="000000"/>
          <w:szCs w:val="32"/>
        </w:rPr>
        <w:t>150</w:t>
      </w:r>
      <w:r>
        <w:rPr>
          <w:rFonts w:hint="eastAsia"/>
          <w:color w:val="000000"/>
          <w:szCs w:val="32"/>
        </w:rPr>
        <w:t>吨</w:t>
      </w:r>
      <w:r>
        <w:rPr>
          <w:rFonts w:hint="eastAsia" w:hAnsi="TimesNewRomanPSMT"/>
          <w:color w:val="000000"/>
          <w:szCs w:val="32"/>
        </w:rPr>
        <w:t>/</w:t>
      </w:r>
      <w:r>
        <w:rPr>
          <w:rFonts w:hint="eastAsia"/>
          <w:color w:val="000000"/>
          <w:szCs w:val="32"/>
        </w:rPr>
        <w:t>日计算，超出部分据实结算。2020-2021年度日均餐厨废弃物清运量分别为79吨、112吨、99吨，虽然新冠疫情对近三年的餐厨废弃物产生量产生了部分影响，但2019年未受疫情影响的情况下日均量101吨依然明显低于150吨/日的保底量。建议主管部门引导、督促更多餐饮等餐厨废弃物生产单位签订《餐厨废弃物收运处置协议》，规范餐厨废弃物收运、处置行为，从源头上提高餐厨废弃物收运量。</w:t>
      </w:r>
    </w:p>
    <w:p>
      <w:pPr>
        <w:ind w:firstLine="640"/>
      </w:pPr>
      <w:r>
        <w:rPr>
          <w:rFonts w:hint="eastAsia"/>
        </w:rPr>
        <w:t>（3）各签约</w:t>
      </w:r>
      <w:r>
        <w:t>单位垃圾分类意识不足</w:t>
      </w:r>
    </w:p>
    <w:p>
      <w:pPr>
        <w:ind w:firstLine="640"/>
      </w:pPr>
      <w:r>
        <w:rPr>
          <w:rFonts w:hint="eastAsia"/>
        </w:rPr>
        <w:t>由于各签约单位未能将生活垃圾与餐厨废弃物进行分类处理，从以下三个方面加大了餐厨废弃物的收运及处理成本。首先，中科安佑公司在废弃物收运环节需要对废弃物混装，加大了废弃物收运过程中车辆、燃油、人力等成本。其次，在后期的废弃物处理过程中需要对生活垃圾与餐厨废弃物进行专门的分离处理，加大了电力、水费、人力等相关成本。最后，生活垃圾与餐厨废弃物混装使餐厨废弃物中含水量较高，降低了餐厨废弃物处理过程中的出油量，影响了企业的粗油脂收入。建议从加大宣传力度、建立奖惩机制两个方面提高餐厨签约单位餐厨废弃物分类处理意识，在此基础上逐步实现全民垃圾分类的意识提高。</w:t>
      </w:r>
    </w:p>
    <w:p>
      <w:pPr>
        <w:ind w:firstLine="640"/>
      </w:pPr>
      <w:r>
        <w:rPr>
          <w:rFonts w:hint="eastAsia"/>
        </w:rPr>
        <w:t>（4）收入来源</w:t>
      </w:r>
      <w:r>
        <w:t>较少</w:t>
      </w:r>
    </w:p>
    <w:p>
      <w:pPr>
        <w:ind w:firstLine="640"/>
      </w:pPr>
      <w:r>
        <w:rPr>
          <w:rFonts w:hint="eastAsia"/>
        </w:rPr>
        <w:t>自项目运营以来政府补贴收入是公司收入的主要来源，餐厨废弃物处理过程中产生的沼气资源没有得到充分利用，处理后得到的细渣可作为肥料或者昆虫饲养养料，未形成公司的有效收益。建议项目单位借鉴行业内其他企业，制定沼气资源化利用方案，制定相关的餐厨垃圾处理残渣销售计划，合理利用餐厨废弃物处理后的残渣使其变废为宝，增加企业收入来源。</w:t>
      </w:r>
    </w:p>
    <w:p>
      <w:pPr>
        <w:ind w:firstLine="640"/>
      </w:pPr>
      <w:r>
        <w:rPr>
          <w:rFonts w:hint="eastAsia"/>
        </w:rPr>
        <w:t>（5）项目运营</w:t>
      </w:r>
      <w:r>
        <w:t>缺乏长期有效的</w:t>
      </w:r>
      <w:r>
        <w:rPr>
          <w:rFonts w:hint="eastAsia"/>
        </w:rPr>
        <w:t>规划</w:t>
      </w:r>
    </w:p>
    <w:p>
      <w:pPr>
        <w:ind w:firstLine="640"/>
      </w:pPr>
      <w:r>
        <w:rPr>
          <w:rFonts w:hint="eastAsia"/>
        </w:rPr>
        <w:t>枣庄市人民政府于2015年元月对枣庄市餐厨废弃物无害化处理工程BOT运作方式项目通过邀请招标的方式，最终由北京中科通用能源环保有限公司中标。根据招标文件的约定</w:t>
      </w:r>
      <w:r>
        <w:rPr>
          <w:rFonts w:hint="eastAsia"/>
          <w:lang w:eastAsia="zh-CN"/>
        </w:rPr>
        <w:t>，</w:t>
      </w:r>
      <w:r>
        <w:rPr>
          <w:rFonts w:hint="eastAsia"/>
        </w:rPr>
        <w:t>北京中科公司在枣庄市设立项目公司（即枣庄市中科安佑环保有限公司）负责以BOT方式投资建设枣庄餐厨废弃物处理项目。中科安佑公司2015年8月17日成立，餐厨废弃物收运处理作业自2017年试运营期结束后，出现公司股东及股权结构变动且伴随公司经营模式的变动；此外，截止到评价小组现场调研日，公司依然存在部分技术更新改造的情况。公司的非程序化的业务加大了企业的投资成本，最终导致餐厨废弃物处理成本加大。建议项目公司学习行业内先进企业的经营经验，制定长期的经营规划，根据规划尽快完善餐厨废弃物处理设施及工艺。</w:t>
      </w:r>
    </w:p>
    <w:p>
      <w:pPr>
        <w:pStyle w:val="4"/>
        <w:ind w:firstLine="640"/>
      </w:pPr>
      <w:bookmarkStart w:id="9" w:name="_Toc137554185"/>
      <w:r>
        <w:rPr>
          <w:rFonts w:hint="eastAsia"/>
        </w:rPr>
        <w:t>（六）应急拆除违建项目成本绩效分析</w:t>
      </w:r>
      <w:bookmarkEnd w:id="9"/>
    </w:p>
    <w:p>
      <w:pPr>
        <w:pStyle w:val="5"/>
        <w:ind w:firstLine="640"/>
      </w:pPr>
      <w:r>
        <w:rPr>
          <w:rFonts w:hint="eastAsia"/>
        </w:rPr>
        <w:t>1</w:t>
      </w:r>
      <w:r>
        <w:t>.</w:t>
      </w:r>
      <w:r>
        <w:rPr>
          <w:rFonts w:hint="eastAsia"/>
        </w:rPr>
        <w:t>成本分析</w:t>
      </w:r>
    </w:p>
    <w:p>
      <w:pPr>
        <w:ind w:firstLine="640"/>
      </w:pPr>
      <w:r>
        <w:rPr>
          <w:rFonts w:hint="eastAsia"/>
        </w:rPr>
        <w:t>应急拆除违建及铁路沿线整治项目属于临时性、非程序化项目， 2020-2022</w:t>
      </w:r>
      <w:r>
        <w:rPr>
          <w:rFonts w:hint="eastAsia" w:asciiTheme="minorEastAsia" w:hAnsiTheme="minorEastAsia" w:eastAsiaTheme="minorEastAsia"/>
          <w:sz w:val="28"/>
          <w:szCs w:val="28"/>
        </w:rPr>
        <w:t>应急拆除违建及铁路沿线整治项目</w:t>
      </w:r>
      <w:r>
        <w:rPr>
          <w:rFonts w:hint="eastAsia"/>
        </w:rPr>
        <w:t>如下表</w:t>
      </w:r>
      <w:r>
        <w:t>4</w:t>
      </w:r>
      <w:r>
        <w:rPr>
          <w:rFonts w:hint="eastAsia"/>
        </w:rPr>
        <w:t>所示。</w:t>
      </w:r>
    </w:p>
    <w:p>
      <w:pPr>
        <w:ind w:firstLine="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表</w:t>
      </w:r>
      <w:r>
        <w:rPr>
          <w:rFonts w:asciiTheme="minorEastAsia" w:hAnsiTheme="minorEastAsia" w:eastAsiaTheme="minorEastAsia"/>
          <w:sz w:val="28"/>
          <w:szCs w:val="28"/>
        </w:rPr>
        <w:t>4</w:t>
      </w:r>
      <w:r>
        <w:rPr>
          <w:rFonts w:hint="eastAsia" w:asciiTheme="minorEastAsia" w:hAnsiTheme="minorEastAsia" w:eastAsiaTheme="minorEastAsia"/>
          <w:sz w:val="28"/>
          <w:szCs w:val="28"/>
        </w:rPr>
        <w:t xml:space="preserve"> 2020-2022应急拆除违建及铁路沿线整治项目统计</w:t>
      </w:r>
    </w:p>
    <w:tbl>
      <w:tblPr>
        <w:tblStyle w:val="14"/>
        <w:tblW w:w="5000" w:type="pct"/>
        <w:jc w:val="center"/>
        <w:tblLayout w:type="autofit"/>
        <w:tblCellMar>
          <w:top w:w="0" w:type="dxa"/>
          <w:left w:w="108" w:type="dxa"/>
          <w:bottom w:w="0" w:type="dxa"/>
          <w:right w:w="108" w:type="dxa"/>
        </w:tblCellMar>
      </w:tblPr>
      <w:tblGrid>
        <w:gridCol w:w="1402"/>
        <w:gridCol w:w="5442"/>
        <w:gridCol w:w="1673"/>
      </w:tblGrid>
      <w:tr>
        <w:tblPrEx>
          <w:tblCellMar>
            <w:top w:w="0" w:type="dxa"/>
            <w:left w:w="108" w:type="dxa"/>
            <w:bottom w:w="0" w:type="dxa"/>
            <w:right w:w="108" w:type="dxa"/>
          </w:tblCellMar>
        </w:tblPrEx>
        <w:trPr>
          <w:trHeight w:val="702" w:hRule="atLeast"/>
          <w:tblHeader/>
          <w:jc w:val="center"/>
        </w:trPr>
        <w:tc>
          <w:tcPr>
            <w:tcW w:w="82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年份</w:t>
            </w:r>
          </w:p>
        </w:tc>
        <w:tc>
          <w:tcPr>
            <w:tcW w:w="3194" w:type="pct"/>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项目名称</w:t>
            </w:r>
          </w:p>
        </w:tc>
        <w:tc>
          <w:tcPr>
            <w:tcW w:w="9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金额（元）</w:t>
            </w:r>
          </w:p>
        </w:tc>
      </w:tr>
      <w:tr>
        <w:tblPrEx>
          <w:tblCellMar>
            <w:top w:w="0" w:type="dxa"/>
            <w:left w:w="108" w:type="dxa"/>
            <w:bottom w:w="0" w:type="dxa"/>
            <w:right w:w="108" w:type="dxa"/>
          </w:tblCellMar>
        </w:tblPrEx>
        <w:trPr>
          <w:trHeight w:val="702" w:hRule="atLeast"/>
          <w:jc w:val="center"/>
        </w:trPr>
        <w:tc>
          <w:tcPr>
            <w:tcW w:w="823" w:type="pct"/>
            <w:vMerge w:val="restart"/>
            <w:tcBorders>
              <w:top w:val="single" w:color="000000" w:sz="4" w:space="0"/>
              <w:left w:val="single" w:color="auto" w:sz="4"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2020年</w:t>
            </w:r>
          </w:p>
        </w:tc>
        <w:tc>
          <w:tcPr>
            <w:tcW w:w="3194" w:type="pct"/>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高速铁路沿线安全隐患整治费</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3980</w:t>
            </w:r>
          </w:p>
        </w:tc>
      </w:tr>
      <w:tr>
        <w:tblPrEx>
          <w:tblCellMar>
            <w:top w:w="0" w:type="dxa"/>
            <w:left w:w="108" w:type="dxa"/>
            <w:bottom w:w="0" w:type="dxa"/>
            <w:right w:w="108" w:type="dxa"/>
          </w:tblCellMar>
        </w:tblPrEx>
        <w:trPr>
          <w:trHeight w:val="702" w:hRule="atLeast"/>
          <w:jc w:val="center"/>
        </w:trPr>
        <w:tc>
          <w:tcPr>
            <w:tcW w:w="823" w:type="pct"/>
            <w:vMerge w:val="continue"/>
            <w:tcBorders>
              <w:top w:val="single" w:color="auto" w:sz="4" w:space="0"/>
              <w:left w:val="single" w:color="auto" w:sz="4"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拆除墙体灯箱广告</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2180</w:t>
            </w:r>
          </w:p>
        </w:tc>
      </w:tr>
      <w:tr>
        <w:tblPrEx>
          <w:tblCellMar>
            <w:top w:w="0" w:type="dxa"/>
            <w:left w:w="108" w:type="dxa"/>
            <w:bottom w:w="0" w:type="dxa"/>
            <w:right w:w="108" w:type="dxa"/>
          </w:tblCellMar>
        </w:tblPrEx>
        <w:trPr>
          <w:trHeight w:val="702" w:hRule="atLeast"/>
          <w:jc w:val="center"/>
        </w:trPr>
        <w:tc>
          <w:tcPr>
            <w:tcW w:w="823" w:type="pct"/>
            <w:vMerge w:val="continue"/>
            <w:tcBorders>
              <w:top w:val="single" w:color="auto" w:sz="4" w:space="0"/>
              <w:left w:val="single" w:color="auto" w:sz="4"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印刷《临时性户外广告设置审批表》</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1290</w:t>
            </w:r>
          </w:p>
        </w:tc>
      </w:tr>
      <w:tr>
        <w:tblPrEx>
          <w:tblCellMar>
            <w:top w:w="0" w:type="dxa"/>
            <w:left w:w="108" w:type="dxa"/>
            <w:bottom w:w="0" w:type="dxa"/>
            <w:right w:w="108" w:type="dxa"/>
          </w:tblCellMar>
        </w:tblPrEx>
        <w:trPr>
          <w:trHeight w:val="702" w:hRule="atLeast"/>
          <w:jc w:val="center"/>
        </w:trPr>
        <w:tc>
          <w:tcPr>
            <w:tcW w:w="823" w:type="pct"/>
            <w:vMerge w:val="continue"/>
            <w:tcBorders>
              <w:top w:val="single" w:color="auto" w:sz="4" w:space="0"/>
              <w:left w:val="single" w:color="auto" w:sz="4"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门前三包标识牌制作</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40000</w:t>
            </w:r>
          </w:p>
        </w:tc>
      </w:tr>
      <w:tr>
        <w:tblPrEx>
          <w:tblCellMar>
            <w:top w:w="0" w:type="dxa"/>
            <w:left w:w="108" w:type="dxa"/>
            <w:bottom w:w="0" w:type="dxa"/>
            <w:right w:w="108" w:type="dxa"/>
          </w:tblCellMar>
        </w:tblPrEx>
        <w:trPr>
          <w:trHeight w:val="702" w:hRule="atLeast"/>
          <w:jc w:val="center"/>
        </w:trPr>
        <w:tc>
          <w:tcPr>
            <w:tcW w:w="823" w:type="pct"/>
            <w:vMerge w:val="continue"/>
            <w:tcBorders>
              <w:top w:val="single" w:color="auto" w:sz="4" w:space="0"/>
              <w:left w:val="single" w:color="auto" w:sz="4"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高新区主次干道无规划大型广告牌拆除</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310300</w:t>
            </w:r>
          </w:p>
        </w:tc>
      </w:tr>
      <w:tr>
        <w:tblPrEx>
          <w:tblCellMar>
            <w:top w:w="0" w:type="dxa"/>
            <w:left w:w="108" w:type="dxa"/>
            <w:bottom w:w="0" w:type="dxa"/>
            <w:right w:w="108" w:type="dxa"/>
          </w:tblCellMar>
        </w:tblPrEx>
        <w:trPr>
          <w:trHeight w:val="702" w:hRule="atLeast"/>
          <w:jc w:val="center"/>
        </w:trPr>
        <w:tc>
          <w:tcPr>
            <w:tcW w:w="823" w:type="pct"/>
            <w:vMerge w:val="continue"/>
            <w:tcBorders>
              <w:top w:val="single" w:color="auto" w:sz="4" w:space="0"/>
              <w:left w:val="single" w:color="auto" w:sz="4" w:space="0"/>
              <w:bottom w:val="single" w:color="000000" w:sz="8"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single" w:color="000000" w:sz="4" w:space="0"/>
              <w:bottom w:val="single" w:color="auto"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合计金额</w:t>
            </w:r>
          </w:p>
        </w:tc>
        <w:tc>
          <w:tcPr>
            <w:tcW w:w="982"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357750</w:t>
            </w:r>
          </w:p>
        </w:tc>
      </w:tr>
      <w:tr>
        <w:tblPrEx>
          <w:tblCellMar>
            <w:top w:w="0" w:type="dxa"/>
            <w:left w:w="108" w:type="dxa"/>
            <w:bottom w:w="0" w:type="dxa"/>
            <w:right w:w="108" w:type="dxa"/>
          </w:tblCellMar>
        </w:tblPrEx>
        <w:trPr>
          <w:trHeight w:val="702" w:hRule="atLeast"/>
          <w:jc w:val="center"/>
        </w:trPr>
        <w:tc>
          <w:tcPr>
            <w:tcW w:w="823" w:type="pct"/>
            <w:vMerge w:val="restart"/>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2021年</w:t>
            </w:r>
          </w:p>
        </w:tc>
        <w:tc>
          <w:tcPr>
            <w:tcW w:w="31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天衢物流城停车场荒山治理及覆盖防尘网项目</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28560</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镇域路域环境整治费用</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10720</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沿街商铺门头广告装饰</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418799</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清理拆除无规划广告牌</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88986</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合计金额</w:t>
            </w:r>
          </w:p>
        </w:tc>
        <w:tc>
          <w:tcPr>
            <w:tcW w:w="982"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547065</w:t>
            </w:r>
          </w:p>
        </w:tc>
      </w:tr>
      <w:tr>
        <w:tblPrEx>
          <w:tblCellMar>
            <w:top w:w="0" w:type="dxa"/>
            <w:left w:w="108" w:type="dxa"/>
            <w:bottom w:w="0" w:type="dxa"/>
            <w:right w:w="108" w:type="dxa"/>
          </w:tblCellMar>
        </w:tblPrEx>
        <w:trPr>
          <w:trHeight w:val="702" w:hRule="atLeast"/>
          <w:jc w:val="center"/>
        </w:trPr>
        <w:tc>
          <w:tcPr>
            <w:tcW w:w="823" w:type="pct"/>
            <w:vMerge w:val="restart"/>
            <w:tcBorders>
              <w:top w:val="nil"/>
              <w:left w:val="single" w:color="auto" w:sz="4" w:space="0"/>
              <w:bottom w:val="single" w:color="000000"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2022年</w:t>
            </w:r>
          </w:p>
        </w:tc>
        <w:tc>
          <w:tcPr>
            <w:tcW w:w="31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交通布控泰山北路高速临边广告牌拆除</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49500</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光明路广告宣传牌制作及违规广告牌拆除</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366460.03</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单车标识牌制作安装</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162800</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门前三包责任书及责任牌制作</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28400</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创建文明城治理清理费</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16600</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000000"/>
                <w:kern w:val="0"/>
                <w:sz w:val="20"/>
                <w:szCs w:val="20"/>
              </w:rPr>
            </w:pPr>
          </w:p>
        </w:tc>
        <w:tc>
          <w:tcPr>
            <w:tcW w:w="3194"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合计金额</w:t>
            </w:r>
          </w:p>
        </w:tc>
        <w:tc>
          <w:tcPr>
            <w:tcW w:w="982" w:type="pct"/>
            <w:tcBorders>
              <w:top w:val="nil"/>
              <w:left w:val="nil"/>
              <w:bottom w:val="single" w:color="auto" w:sz="8"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623760.03</w:t>
            </w:r>
          </w:p>
        </w:tc>
      </w:tr>
      <w:tr>
        <w:tblPrEx>
          <w:tblCellMar>
            <w:top w:w="0" w:type="dxa"/>
            <w:left w:w="108" w:type="dxa"/>
            <w:bottom w:w="0" w:type="dxa"/>
            <w:right w:w="108" w:type="dxa"/>
          </w:tblCellMar>
        </w:tblPrEx>
        <w:trPr>
          <w:trHeight w:val="702" w:hRule="atLeast"/>
          <w:jc w:val="center"/>
        </w:trPr>
        <w:tc>
          <w:tcPr>
            <w:tcW w:w="4017" w:type="pct"/>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0"/>
                <w:sz w:val="20"/>
                <w:szCs w:val="20"/>
                <w:lang w:val="en-US" w:eastAsia="zh-CN"/>
              </w:rPr>
            </w:pPr>
            <w:r>
              <w:rPr>
                <w:rFonts w:hint="eastAsia" w:ascii="宋体" w:hAnsi="宋体" w:eastAsia="宋体" w:cs="宋体"/>
                <w:b/>
                <w:bCs/>
                <w:color w:val="000000"/>
                <w:kern w:val="0"/>
                <w:sz w:val="20"/>
                <w:szCs w:val="20"/>
                <w:lang w:val="en-US" w:eastAsia="zh-CN"/>
              </w:rPr>
              <w:t>总计</w:t>
            </w:r>
          </w:p>
        </w:tc>
        <w:tc>
          <w:tcPr>
            <w:tcW w:w="9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1528575.03</w:t>
            </w:r>
          </w:p>
        </w:tc>
      </w:tr>
    </w:tbl>
    <w:p>
      <w:pPr>
        <w:ind w:firstLine="640"/>
      </w:pPr>
      <w:r>
        <w:rPr>
          <w:rFonts w:hint="eastAsia"/>
        </w:rPr>
        <w:t>2020-2022年该项目共支出152.86万元，涉及14项具体业务，其中既包括计划性违建拆除项目也包括应急</w:t>
      </w:r>
      <w:r>
        <w:rPr>
          <w:rFonts w:hint="eastAsia"/>
          <w:lang w:val="en-US" w:eastAsia="zh-CN"/>
        </w:rPr>
        <w:t>性</w:t>
      </w:r>
      <w:r>
        <w:rPr>
          <w:rFonts w:hint="eastAsia"/>
        </w:rPr>
        <w:t>项目。评价小组在现场调研中发现，2022年光明路广告宣传牌制作及违规广告牌拆除业务拆除量较小但所涉及到资金较多，主要是因为该业务属于应急性业务需从外地临时租用大型拆除设备，租金成本较高所致。其他项目支出均在合理范围之内。</w:t>
      </w:r>
    </w:p>
    <w:p>
      <w:pPr>
        <w:pStyle w:val="5"/>
        <w:ind w:firstLine="640"/>
      </w:pPr>
      <w:r>
        <w:rPr>
          <w:rFonts w:hint="eastAsia"/>
        </w:rPr>
        <w:t>2</w:t>
      </w:r>
      <w:r>
        <w:t>.</w:t>
      </w:r>
      <w:r>
        <w:rPr>
          <w:rFonts w:hint="eastAsia"/>
        </w:rPr>
        <w:t>存在的问题及建议</w:t>
      </w:r>
    </w:p>
    <w:p>
      <w:pPr>
        <w:ind w:firstLine="640"/>
      </w:pPr>
      <w:r>
        <w:rPr>
          <w:rFonts w:hint="eastAsia"/>
        </w:rPr>
        <w:t>（1）违建拆除费用标准化</w:t>
      </w:r>
    </w:p>
    <w:p>
      <w:pPr>
        <w:ind w:firstLine="640"/>
      </w:pPr>
      <w:r>
        <w:rPr>
          <w:rFonts w:hint="eastAsia"/>
        </w:rPr>
        <w:t>应急拆除违建及铁路沿线整治费用虽然属于非程序化项目，具有突发性、临时性的特征，但相关部门可以制定拆除过程中所使用人力、物力的定额支出，包括人员薪金、机械租金、相关补助等，项目结算时以定额标准作为最终结算的最高额。</w:t>
      </w:r>
    </w:p>
    <w:p>
      <w:pPr>
        <w:ind w:firstLine="640"/>
      </w:pPr>
      <w:r>
        <w:rPr>
          <w:rFonts w:hint="eastAsia"/>
        </w:rPr>
        <w:t>（2）制定内部信息公开制度</w:t>
      </w:r>
    </w:p>
    <w:p>
      <w:pPr>
        <w:ind w:firstLine="640"/>
      </w:pPr>
      <w:r>
        <w:rPr>
          <w:rFonts w:hint="eastAsia"/>
        </w:rPr>
        <w:t>该项目在实施过程中缺乏必要的事后公开机制。阳光是最好的防腐剂，通过完善相关制度，确保透明度原则的贯彻。将应急拆除违建及铁路沿线整治所涉及到的项目及时公开，加强政府部门内部监督，保障每一项业务都是公开的、公正的。</w:t>
      </w:r>
    </w:p>
    <w:p>
      <w:pPr>
        <w:ind w:firstLine="640"/>
      </w:pPr>
      <w:r>
        <w:rPr>
          <w:rFonts w:hint="eastAsia"/>
        </w:rPr>
        <w:t>（3）制定长期与短期相结合的违建拆除规划</w:t>
      </w:r>
    </w:p>
    <w:p>
      <w:pPr>
        <w:ind w:firstLine="640"/>
      </w:pPr>
      <w:r>
        <w:rPr>
          <w:rFonts w:hint="eastAsia"/>
        </w:rPr>
        <w:t>应急拆除违建及铁路沿线整治过程中应尽可能的对需要拆除的业务进行提前规划，能提前预知的项目做好长期规划，不能提前预知的项目做好短期规划，并定期发布相应的年度计划、月度计划、周计划。</w:t>
      </w:r>
      <w:r>
        <w:br w:type="page"/>
      </w:r>
    </w:p>
    <w:p>
      <w:pPr>
        <w:ind w:firstLine="640"/>
      </w:pPr>
    </w:p>
    <w:p>
      <w:pPr>
        <w:pStyle w:val="3"/>
        <w:ind w:firstLine="0" w:firstLineChars="0"/>
        <w:jc w:val="center"/>
        <w:rPr>
          <w:rFonts w:ascii="方正小标宋简体" w:eastAsia="方正小标宋简体"/>
          <w:sz w:val="44"/>
          <w:szCs w:val="44"/>
        </w:rPr>
      </w:pPr>
      <w:bookmarkStart w:id="10" w:name="_Toc137554186"/>
      <w:bookmarkStart w:id="11" w:name="_Toc7855"/>
      <w:r>
        <w:rPr>
          <w:rFonts w:ascii="方正小标宋简体" w:eastAsia="方正小标宋简体"/>
          <w:sz w:val="44"/>
          <w:szCs w:val="44"/>
        </w:rPr>
        <w:t>正   文</w:t>
      </w:r>
      <w:bookmarkEnd w:id="10"/>
      <w:bookmarkEnd w:id="11"/>
    </w:p>
    <w:p>
      <w:pPr>
        <w:ind w:firstLine="640"/>
      </w:pPr>
    </w:p>
    <w:p>
      <w:pPr>
        <w:pStyle w:val="3"/>
        <w:ind w:firstLine="640"/>
      </w:pPr>
      <w:bookmarkStart w:id="12" w:name="_Toc137554187"/>
      <w:r>
        <w:rPr>
          <w:rFonts w:hint="eastAsia"/>
        </w:rPr>
        <w:t>一、项目概况</w:t>
      </w:r>
      <w:bookmarkEnd w:id="12"/>
    </w:p>
    <w:p>
      <w:pPr>
        <w:pStyle w:val="4"/>
        <w:bidi w:val="0"/>
      </w:pPr>
      <w:bookmarkStart w:id="13" w:name="_Toc137554188"/>
      <w:r>
        <w:t>（一）项目立项背景</w:t>
      </w:r>
      <w:bookmarkEnd w:id="13"/>
    </w:p>
    <w:p>
      <w:pPr>
        <w:ind w:firstLine="640"/>
        <w:rPr>
          <w:lang w:val="zh-CN"/>
        </w:rPr>
      </w:pPr>
      <w:r>
        <w:rPr>
          <w:rFonts w:hint="eastAsia"/>
          <w:lang w:val="zh-CN"/>
        </w:rPr>
        <w:t>餐厨废弃物是城市日常生活中产生的最为普遍的废弃物，属于城市生活垃圾，其主要成分包括定粉类食物、植物纤维、动物蛋白和脂肪类等有机物，具有含水率高，油脂、盐份含量高，易腐烂发臭，不利于普通垃圾车运输等特点。这类垃圾若不经分类专项处理，会对环境造成极大的危害。餐厨废弃物主要来源于餐饮服务业、家庭和企事业单位食堂等场所。随着我们国家经济的飞速发展，城市化进程逐步加快，餐厨废弃物的产量呈现出逐年上升的趋势。垃圾收集地附近容易产生难闻气味，引起人们感官上的反感；由于餐厨废弃物含水量较高的特性，在运输的过程中存在一系列问题。运输车辆不规范，易发生餐厨废弃物外漏和倾洒，严重影响市容、市貌和交通；最主要的是城市餐饮企业的垃圾多被养殖户收集，作为养殖饲料直接使用，垃圾未经处理进入人类食物链，危及人民群众的身体健康；同时地沟油也被收集起来重新炼制成为廉价食用油，在市场上再次流通，危害人民群众的身体健康。在存在问题的同时，餐厨废弃物因其富含有机物也可作为潜在的能源供应体。通过恰当的处理方法，可以实现餐厨废弃物的无害化、资源化。</w:t>
      </w:r>
    </w:p>
    <w:p>
      <w:pPr>
        <w:ind w:firstLine="640"/>
        <w:rPr>
          <w:rStyle w:val="38"/>
          <w:rFonts w:hint="default"/>
        </w:rPr>
      </w:pPr>
      <w:r>
        <w:rPr>
          <w:rStyle w:val="38"/>
          <w:rFonts w:hint="default"/>
        </w:rPr>
        <w:t>为进一步加强餐厨废弃物管理，提高资源利用率，保障食品卫生安全，</w:t>
      </w:r>
      <w:r>
        <w:rPr>
          <w:rFonts w:hint="eastAsia" w:hAnsi="仿宋"/>
          <w:lang w:val="zh-CN"/>
        </w:rPr>
        <w:t>2010</w:t>
      </w:r>
      <w:r>
        <w:rPr>
          <w:rFonts w:hint="eastAsia"/>
          <w:lang w:val="zh-CN"/>
        </w:rPr>
        <w:t>年</w:t>
      </w:r>
      <w:r>
        <w:rPr>
          <w:rFonts w:hint="eastAsia" w:hAnsi="仿宋"/>
          <w:lang w:val="zh-CN"/>
        </w:rPr>
        <w:t>10</w:t>
      </w:r>
      <w:r>
        <w:rPr>
          <w:rFonts w:hint="eastAsia"/>
          <w:lang w:val="zh-CN"/>
        </w:rPr>
        <w:t>月，</w:t>
      </w:r>
      <w:r>
        <w:rPr>
          <w:rStyle w:val="38"/>
          <w:rFonts w:hint="default"/>
        </w:rPr>
        <w:t>山东省政府办公厅下发了《关于贯彻国办发〔</w:t>
      </w:r>
      <w:r>
        <w:rPr>
          <w:rStyle w:val="39"/>
          <w:rFonts w:hint="eastAsia" w:ascii="仿宋_GB2312"/>
        </w:rPr>
        <w:t>2010</w:t>
      </w:r>
      <w:r>
        <w:rPr>
          <w:rStyle w:val="38"/>
          <w:rFonts w:hint="default"/>
        </w:rPr>
        <w:t>〕</w:t>
      </w:r>
      <w:r>
        <w:rPr>
          <w:rStyle w:val="39"/>
          <w:rFonts w:hint="eastAsia" w:ascii="仿宋_GB2312"/>
        </w:rPr>
        <w:t>36</w:t>
      </w:r>
      <w:r>
        <w:rPr>
          <w:rStyle w:val="38"/>
          <w:rFonts w:hint="default"/>
        </w:rPr>
        <w:t>号文件精神加强餐厨废弃物管理工作的意见》，提出在全省布局</w:t>
      </w:r>
      <w:r>
        <w:rPr>
          <w:rStyle w:val="39"/>
          <w:rFonts w:hint="eastAsia" w:ascii="仿宋_GB2312"/>
        </w:rPr>
        <w:t>17</w:t>
      </w:r>
      <w:r>
        <w:rPr>
          <w:rStyle w:val="38"/>
          <w:rFonts w:hint="default"/>
        </w:rPr>
        <w:t>座餐厨废弃物处理厂的指导意见。</w:t>
      </w:r>
      <w:r>
        <w:rPr>
          <w:rStyle w:val="39"/>
          <w:rFonts w:hint="eastAsia" w:ascii="仿宋_GB2312"/>
        </w:rPr>
        <w:t>2014</w:t>
      </w:r>
      <w:r>
        <w:rPr>
          <w:rStyle w:val="38"/>
          <w:rFonts w:hint="default"/>
        </w:rPr>
        <w:t>年</w:t>
      </w:r>
      <w:r>
        <w:rPr>
          <w:rStyle w:val="39"/>
          <w:rFonts w:hint="eastAsia" w:ascii="仿宋_GB2312"/>
        </w:rPr>
        <w:t>4</w:t>
      </w:r>
      <w:r>
        <w:rPr>
          <w:rStyle w:val="38"/>
          <w:rFonts w:hint="default"/>
        </w:rPr>
        <w:t>月，山东省人民政府出台了《山东省餐厨废弃物管理办法》（山东省人民政府令第</w:t>
      </w:r>
      <w:r>
        <w:rPr>
          <w:rStyle w:val="39"/>
          <w:rFonts w:hint="eastAsia" w:ascii="仿宋_GB2312"/>
        </w:rPr>
        <w:t>274</w:t>
      </w:r>
      <w:r>
        <w:rPr>
          <w:rStyle w:val="38"/>
          <w:rFonts w:hint="default"/>
        </w:rPr>
        <w:t>号），</w:t>
      </w:r>
      <w:r>
        <w:rPr>
          <w:rStyle w:val="39"/>
          <w:rFonts w:hint="eastAsia" w:ascii="仿宋_GB2312"/>
        </w:rPr>
        <w:t>2016</w:t>
      </w:r>
      <w:r>
        <w:rPr>
          <w:rStyle w:val="38"/>
          <w:rFonts w:hint="default"/>
        </w:rPr>
        <w:t>年</w:t>
      </w:r>
      <w:r>
        <w:rPr>
          <w:rStyle w:val="39"/>
          <w:rFonts w:hint="eastAsia" w:ascii="仿宋_GB2312"/>
        </w:rPr>
        <w:t>9</w:t>
      </w:r>
      <w:r>
        <w:rPr>
          <w:rStyle w:val="38"/>
          <w:rFonts w:hint="default"/>
        </w:rPr>
        <w:t>月，枣庄市人民政府制定了《关于印发枣庄市餐厨废弃物管理办法的通知》（枣政发〔</w:t>
      </w:r>
      <w:r>
        <w:rPr>
          <w:rStyle w:val="39"/>
          <w:rFonts w:hint="eastAsia" w:ascii="仿宋_GB2312"/>
        </w:rPr>
        <w:t>2016</w:t>
      </w:r>
      <w:r>
        <w:rPr>
          <w:rStyle w:val="38"/>
          <w:rFonts w:hint="default"/>
        </w:rPr>
        <w:t>〕</w:t>
      </w:r>
      <w:r>
        <w:rPr>
          <w:rStyle w:val="39"/>
          <w:rFonts w:hint="eastAsia" w:ascii="仿宋_GB2312"/>
        </w:rPr>
        <w:t>12</w:t>
      </w:r>
      <w:r>
        <w:rPr>
          <w:rStyle w:val="38"/>
          <w:rFonts w:hint="default"/>
        </w:rPr>
        <w:t>号），使餐厨废弃物管理工作实现了有法可依。办法要求餐厨废弃物处置应当遵循减量化、资源化、无害化的原则，在城市、县城和有条件的镇（乡）、农村社区实行餐厨废弃物分类投放、专业收集运输、统一处置制度。</w:t>
      </w:r>
    </w:p>
    <w:p>
      <w:pPr>
        <w:pStyle w:val="4"/>
        <w:bidi w:val="0"/>
      </w:pPr>
      <w:bookmarkStart w:id="14" w:name="_Toc137554189"/>
      <w:r>
        <w:rPr>
          <w:rFonts w:hint="default"/>
        </w:rPr>
        <w:t>（二）项目现状</w:t>
      </w:r>
      <w:bookmarkEnd w:id="14"/>
    </w:p>
    <w:p>
      <w:pPr>
        <w:ind w:firstLine="640"/>
        <w:rPr>
          <w:rStyle w:val="38"/>
          <w:rFonts w:hint="default"/>
        </w:rPr>
      </w:pPr>
      <w:r>
        <w:rPr>
          <w:rStyle w:val="38"/>
          <w:rFonts w:hint="default"/>
        </w:rPr>
        <w:t>为加强餐厨废弃物管理，保障食品安全，维护城乡环境卫生，促进资源循环利用，</w:t>
      </w:r>
      <w:r>
        <w:rPr>
          <w:rStyle w:val="39"/>
          <w:rFonts w:hint="eastAsia" w:ascii="仿宋_GB2312"/>
        </w:rPr>
        <w:t>2017</w:t>
      </w:r>
      <w:r>
        <w:rPr>
          <w:rStyle w:val="38"/>
          <w:rFonts w:hint="default"/>
        </w:rPr>
        <w:t>年</w:t>
      </w:r>
      <w:r>
        <w:rPr>
          <w:rStyle w:val="39"/>
          <w:rFonts w:hint="eastAsia" w:ascii="仿宋_GB2312"/>
        </w:rPr>
        <w:t>7</w:t>
      </w:r>
      <w:r>
        <w:rPr>
          <w:rStyle w:val="38"/>
          <w:rFonts w:hint="default"/>
        </w:rPr>
        <w:t>月，枣庄市人民政府通过政府购买服务的方式与枣庄市中科安佑环保有限公司（以下简称中科安佑公司）签订了《枣庄市餐厨废弃物处理特许经营权协议》，约定以</w:t>
      </w:r>
      <w:r>
        <w:rPr>
          <w:rStyle w:val="39"/>
          <w:rFonts w:hint="eastAsia" w:ascii="仿宋_GB2312"/>
        </w:rPr>
        <w:t>BOT</w:t>
      </w:r>
      <w:r>
        <w:rPr>
          <w:rStyle w:val="38"/>
          <w:rFonts w:hint="default"/>
        </w:rPr>
        <w:t>形式在枣庄市薛城区陶庄镇投资、建设一座日设计处理规模</w:t>
      </w:r>
      <w:r>
        <w:rPr>
          <w:rStyle w:val="39"/>
          <w:rFonts w:hint="eastAsia" w:ascii="仿宋_GB2312"/>
        </w:rPr>
        <w:t>150</w:t>
      </w:r>
      <w:r>
        <w:rPr>
          <w:rStyle w:val="38"/>
          <w:rFonts w:hint="default"/>
        </w:rPr>
        <w:t>吨的餐厨废弃物处理厂，对枣庄市辖区范围内的所有餐厨废弃物统一收集，进行无害化、资源化处理。</w:t>
      </w:r>
    </w:p>
    <w:p>
      <w:pPr>
        <w:ind w:firstLine="640"/>
        <w:rPr>
          <w:rStyle w:val="38"/>
          <w:rFonts w:hint="default"/>
        </w:rPr>
      </w:pPr>
      <w:r>
        <w:rPr>
          <w:rStyle w:val="38"/>
          <w:rFonts w:hint="default"/>
        </w:rPr>
        <w:t>项目一期工程总投资</w:t>
      </w:r>
      <w:r>
        <w:rPr>
          <w:rStyle w:val="39"/>
          <w:rFonts w:hint="eastAsia" w:ascii="仿宋_GB2312"/>
        </w:rPr>
        <w:t>6928.26</w:t>
      </w:r>
      <w:r>
        <w:rPr>
          <w:rStyle w:val="38"/>
          <w:rFonts w:hint="default"/>
        </w:rPr>
        <w:t>万元，占地</w:t>
      </w:r>
      <w:r>
        <w:rPr>
          <w:rStyle w:val="39"/>
          <w:rFonts w:hint="eastAsia" w:ascii="仿宋_GB2312"/>
        </w:rPr>
        <w:t>28.10</w:t>
      </w:r>
      <w:r>
        <w:rPr>
          <w:rStyle w:val="38"/>
          <w:rFonts w:hint="default"/>
        </w:rPr>
        <w:t>亩，总建筑面积</w:t>
      </w:r>
      <w:r>
        <w:rPr>
          <w:rStyle w:val="39"/>
          <w:rFonts w:hint="eastAsia" w:ascii="仿宋_GB2312"/>
        </w:rPr>
        <w:t>2145.75m</w:t>
      </w:r>
      <w:r>
        <w:rPr>
          <w:rStyle w:val="40"/>
          <w:rFonts w:ascii="Calibri" w:hAnsi="Calibri" w:cs="Calibri"/>
        </w:rPr>
        <w:t>²</w:t>
      </w:r>
      <w:r>
        <w:rPr>
          <w:rStyle w:val="38"/>
          <w:rFonts w:hint="default"/>
        </w:rPr>
        <w:t>，规模为日处理餐厨废物</w:t>
      </w:r>
      <w:r>
        <w:rPr>
          <w:rStyle w:val="39"/>
          <w:rFonts w:hint="eastAsia" w:ascii="仿宋_GB2312"/>
        </w:rPr>
        <w:t>150t</w:t>
      </w:r>
      <w:r>
        <w:rPr>
          <w:rStyle w:val="38"/>
          <w:rFonts w:hint="default"/>
        </w:rPr>
        <w:t>，其中：泔水</w:t>
      </w:r>
      <w:r>
        <w:rPr>
          <w:rStyle w:val="39"/>
          <w:rFonts w:hint="eastAsia" w:ascii="仿宋_GB2312"/>
        </w:rPr>
        <w:t>135t/d</w:t>
      </w:r>
      <w:r>
        <w:rPr>
          <w:rStyle w:val="38"/>
          <w:rFonts w:hint="default"/>
        </w:rPr>
        <w:t>；废油脂</w:t>
      </w:r>
      <w:r>
        <w:rPr>
          <w:rStyle w:val="39"/>
          <w:rFonts w:hint="eastAsia" w:ascii="仿宋_GB2312"/>
        </w:rPr>
        <w:t>15t/d</w:t>
      </w:r>
      <w:r>
        <w:rPr>
          <w:rStyle w:val="38"/>
          <w:rFonts w:hint="default"/>
        </w:rPr>
        <w:t>。</w:t>
      </w:r>
      <w:r>
        <w:rPr>
          <w:rStyle w:val="39"/>
          <w:rFonts w:hint="eastAsia" w:ascii="仿宋_GB2312"/>
        </w:rPr>
        <w:t>2016</w:t>
      </w:r>
      <w:r>
        <w:rPr>
          <w:rStyle w:val="38"/>
          <w:rFonts w:hint="default"/>
        </w:rPr>
        <w:t>年</w:t>
      </w:r>
      <w:r>
        <w:rPr>
          <w:rStyle w:val="39"/>
          <w:rFonts w:hint="eastAsia" w:ascii="仿宋_GB2312"/>
        </w:rPr>
        <w:t>9</w:t>
      </w:r>
      <w:r>
        <w:rPr>
          <w:rStyle w:val="38"/>
          <w:rFonts w:hint="default"/>
        </w:rPr>
        <w:t>月</w:t>
      </w:r>
      <w:r>
        <w:rPr>
          <w:rStyle w:val="39"/>
          <w:rFonts w:hint="eastAsia" w:ascii="仿宋_GB2312"/>
        </w:rPr>
        <w:t>25</w:t>
      </w:r>
      <w:r>
        <w:rPr>
          <w:rStyle w:val="38"/>
          <w:rFonts w:hint="default"/>
        </w:rPr>
        <w:t>日正式开工建设，</w:t>
      </w:r>
      <w:r>
        <w:rPr>
          <w:rStyle w:val="39"/>
          <w:rFonts w:hint="eastAsia" w:ascii="仿宋_GB2312"/>
        </w:rPr>
        <w:t>2017</w:t>
      </w:r>
      <w:r>
        <w:rPr>
          <w:rStyle w:val="38"/>
          <w:rFonts w:hint="default"/>
        </w:rPr>
        <w:t>年</w:t>
      </w:r>
      <w:r>
        <w:rPr>
          <w:rStyle w:val="39"/>
          <w:rFonts w:hint="eastAsia" w:ascii="仿宋_GB2312"/>
        </w:rPr>
        <w:t>10</w:t>
      </w:r>
      <w:r>
        <w:rPr>
          <w:rStyle w:val="38"/>
          <w:rFonts w:hint="default"/>
        </w:rPr>
        <w:t>月完成空载单机和联动调试工作。</w:t>
      </w:r>
    </w:p>
    <w:p>
      <w:pPr>
        <w:pStyle w:val="3"/>
        <w:ind w:firstLine="640"/>
      </w:pPr>
      <w:bookmarkStart w:id="15" w:name="_Toc137554190"/>
      <w:r>
        <w:t>二、分析对象</w:t>
      </w:r>
      <w:bookmarkEnd w:id="15"/>
    </w:p>
    <w:p>
      <w:pPr>
        <w:pStyle w:val="4"/>
        <w:ind w:firstLine="640"/>
      </w:pPr>
      <w:bookmarkStart w:id="16" w:name="_Toc137554191"/>
      <w:r>
        <w:rPr>
          <w:rFonts w:hint="eastAsia"/>
        </w:rPr>
        <w:t>（一）项目名称</w:t>
      </w:r>
      <w:bookmarkEnd w:id="16"/>
    </w:p>
    <w:p>
      <w:pPr>
        <w:ind w:firstLine="640"/>
      </w:pPr>
      <w:r>
        <w:rPr>
          <w:rFonts w:hint="eastAsia"/>
        </w:rPr>
        <w:t>项目名称：餐厨废弃物收运处理补贴项目</w:t>
      </w:r>
    </w:p>
    <w:p>
      <w:pPr>
        <w:ind w:firstLine="640"/>
        <w:rPr>
          <w:lang w:val="zh-CN"/>
        </w:rPr>
      </w:pPr>
      <w:r>
        <w:rPr>
          <w:rFonts w:hint="eastAsia"/>
        </w:rPr>
        <w:t>根据枣庄市人民政府与枣庄中科安佑环保有限公司签订的《枣庄市餐厨废弃物处理特许经营协议》，</w:t>
      </w:r>
      <w:r>
        <w:rPr>
          <w:rFonts w:hint="eastAsia"/>
          <w:lang w:val="zh-CN"/>
        </w:rPr>
        <w:t>北京中科公司在枣庄市设立项目公司（即枣庄中科安佑环保有限公司）负责以BOT方式投资建设枣庄餐厨废弃物处理项目。</w:t>
      </w:r>
    </w:p>
    <w:p>
      <w:pPr>
        <w:pStyle w:val="4"/>
        <w:ind w:firstLine="640"/>
      </w:pPr>
      <w:bookmarkStart w:id="17" w:name="_Toc137554192"/>
      <w:r>
        <w:t>（二）主管部门和相关单位</w:t>
      </w:r>
      <w:bookmarkEnd w:id="17"/>
    </w:p>
    <w:p>
      <w:pPr>
        <w:ind w:firstLine="640"/>
      </w:pPr>
      <w:r>
        <w:rPr>
          <w:rFonts w:hint="eastAsia"/>
        </w:rPr>
        <w:t>该项目的主管部门为枣庄国家高新技术产业开发区下设部门枣庄高新区综合执法局，</w:t>
      </w:r>
      <w:r>
        <w:rPr>
          <w:rStyle w:val="38"/>
          <w:rFonts w:hint="default"/>
        </w:rPr>
        <w:t>负责申报项目的年度预算资金，审核并支付补贴资金，负责对项目实施单位运营情况进行日常监督管理。</w:t>
      </w:r>
    </w:p>
    <w:p>
      <w:pPr>
        <w:pStyle w:val="4"/>
        <w:ind w:firstLine="640"/>
      </w:pPr>
      <w:bookmarkStart w:id="18" w:name="_Toc137554193"/>
      <w:r>
        <w:t>（三）项目资金</w:t>
      </w:r>
      <w:bookmarkEnd w:id="18"/>
    </w:p>
    <w:p>
      <w:pPr>
        <w:ind w:firstLine="640"/>
      </w:pPr>
      <w:r>
        <w:rPr>
          <w:rFonts w:hint="eastAsia"/>
        </w:rPr>
        <w:t>该项目资金全部为区级财政资金，2020-2022年每年预算额为90万元，实际支付平均每年50万元，预算执行率55.6%。</w:t>
      </w:r>
    </w:p>
    <w:p>
      <w:pPr>
        <w:pStyle w:val="4"/>
        <w:ind w:firstLine="640"/>
      </w:pPr>
      <w:bookmarkStart w:id="19" w:name="_Toc137554194"/>
      <w:r>
        <w:t>（四）项目运营模式</w:t>
      </w:r>
      <w:bookmarkEnd w:id="19"/>
    </w:p>
    <w:p>
      <w:pPr>
        <w:pStyle w:val="5"/>
        <w:ind w:firstLine="640"/>
      </w:pPr>
      <w:r>
        <w:rPr>
          <w:rFonts w:ascii="TimesNewRomanPSMT" w:hAnsi="TimesNewRomanPSMT"/>
        </w:rPr>
        <w:t>1.</w:t>
      </w:r>
      <w:r>
        <w:t>特许内容</w:t>
      </w:r>
    </w:p>
    <w:p>
      <w:pPr>
        <w:bidi w:val="0"/>
        <w:rPr>
          <w:color w:val="000000"/>
          <w:szCs w:val="32"/>
        </w:rPr>
      </w:pPr>
      <w:r>
        <w:rPr>
          <w:rFonts w:hint="eastAsia"/>
          <w:color w:val="000000"/>
          <w:szCs w:val="32"/>
        </w:rPr>
        <w:t>该项目实行</w:t>
      </w:r>
      <w:r>
        <w:rPr>
          <w:rFonts w:hint="eastAsia" w:hAnsi="TimesNewRomanPSMT"/>
          <w:color w:val="000000"/>
          <w:szCs w:val="32"/>
        </w:rPr>
        <w:t>BOT</w:t>
      </w:r>
      <w:r>
        <w:rPr>
          <w:rFonts w:hint="eastAsia"/>
          <w:color w:val="000000"/>
          <w:szCs w:val="32"/>
        </w:rPr>
        <w:t>运营模式，由枣庄市人民政府授权枣庄中科安佑环保有限公司在枣庄市薛城区陶庄镇投资、融资、设计、建设、运营、维护一座餐厨废弃物处理厂，开展特许范围内的餐厨废弃物收集、运输、处理特许经营业务。项目运营期内由中科安佑公司提供餐厨废弃物处理服务，并销售处理过程中所产生的副产品。项目特许经营期为三十年，特许经营期届满，中科安佑公司将项目资产无偿移交给枣庄市人民政府。</w:t>
      </w:r>
    </w:p>
    <w:p>
      <w:pPr>
        <w:pStyle w:val="5"/>
        <w:ind w:firstLine="640"/>
      </w:pPr>
      <w:r>
        <w:rPr>
          <w:rFonts w:ascii="TimesNewRomanPSMT" w:hAnsi="TimesNewRomanPSMT"/>
        </w:rPr>
        <w:t>2.</w:t>
      </w:r>
      <w:r>
        <w:t>餐厨废弃物的收运、计量、费用结算</w:t>
      </w:r>
    </w:p>
    <w:p>
      <w:pPr>
        <w:bidi w:val="0"/>
        <w:rPr>
          <w:color w:val="000000"/>
          <w:szCs w:val="32"/>
        </w:rPr>
      </w:pPr>
      <w:r>
        <w:rPr>
          <w:rFonts w:hint="eastAsia"/>
          <w:color w:val="000000"/>
          <w:szCs w:val="32"/>
        </w:rPr>
        <w:t>枣庄市各区（市）分别与中科安佑公司签订了《餐厨废弃物处理项目结算协议》，明确了特许范围内提供的餐厨废弃物由中科安佑公司负责运送，各区（市）每月按书面确认的餐厨废弃物计量结果，向中科安佑公司支付餐厨废弃物收运处理补贴费，补贴费标准按</w:t>
      </w:r>
      <w:r>
        <w:rPr>
          <w:rFonts w:hint="eastAsia" w:hAnsi="TimesNewRomanPSMT"/>
          <w:color w:val="000000"/>
          <w:szCs w:val="32"/>
        </w:rPr>
        <w:t>168</w:t>
      </w:r>
      <w:r>
        <w:rPr>
          <w:rFonts w:hint="eastAsia"/>
          <w:color w:val="000000"/>
          <w:szCs w:val="32"/>
        </w:rPr>
        <w:t>元</w:t>
      </w:r>
      <w:r>
        <w:rPr>
          <w:rFonts w:hint="eastAsia" w:hAnsi="TimesNewRomanPSMT"/>
          <w:color w:val="000000"/>
          <w:szCs w:val="32"/>
        </w:rPr>
        <w:t>/</w:t>
      </w:r>
      <w:r>
        <w:rPr>
          <w:rFonts w:hint="eastAsia"/>
          <w:color w:val="000000"/>
          <w:szCs w:val="32"/>
        </w:rPr>
        <w:t>吨计算，次月</w:t>
      </w:r>
      <w:r>
        <w:rPr>
          <w:rFonts w:hint="eastAsia" w:hAnsi="TimesNewRomanPSMT"/>
          <w:color w:val="000000"/>
          <w:szCs w:val="32"/>
        </w:rPr>
        <w:t>15</w:t>
      </w:r>
      <w:r>
        <w:rPr>
          <w:rFonts w:hint="eastAsia"/>
          <w:color w:val="000000"/>
          <w:szCs w:val="32"/>
        </w:rPr>
        <w:t>日前支付完毕。</w:t>
      </w:r>
    </w:p>
    <w:p>
      <w:pPr>
        <w:pStyle w:val="5"/>
        <w:ind w:firstLine="640"/>
      </w:pPr>
      <w:r>
        <w:rPr>
          <w:rFonts w:ascii="TimesNewRomanPSMT" w:hAnsi="TimesNewRomanPSMT"/>
        </w:rPr>
        <w:t>3.</w:t>
      </w:r>
      <w:r>
        <w:t>餐厨废弃物保底量</w:t>
      </w:r>
    </w:p>
    <w:p>
      <w:pPr>
        <w:bidi w:val="0"/>
        <w:rPr>
          <w:color w:val="000000"/>
          <w:szCs w:val="32"/>
        </w:rPr>
      </w:pPr>
      <w:r>
        <w:rPr>
          <w:rFonts w:hint="eastAsia"/>
          <w:color w:val="000000"/>
          <w:szCs w:val="32"/>
        </w:rPr>
        <w:t>特许权协议约定，运营期前两年保底量按</w:t>
      </w:r>
      <w:r>
        <w:rPr>
          <w:rFonts w:hint="eastAsia" w:hAnsi="TimesNewRomanPSMT"/>
          <w:color w:val="000000"/>
          <w:szCs w:val="32"/>
        </w:rPr>
        <w:t>100</w:t>
      </w:r>
      <w:r>
        <w:rPr>
          <w:rFonts w:hint="eastAsia"/>
          <w:color w:val="000000"/>
          <w:szCs w:val="32"/>
        </w:rPr>
        <w:t>吨</w:t>
      </w:r>
      <w:r>
        <w:rPr>
          <w:rFonts w:hint="eastAsia" w:hAnsi="TimesNewRomanPSMT"/>
          <w:color w:val="000000"/>
          <w:szCs w:val="32"/>
        </w:rPr>
        <w:t>/</w:t>
      </w:r>
      <w:r>
        <w:rPr>
          <w:rFonts w:hint="eastAsia"/>
          <w:color w:val="000000"/>
          <w:szCs w:val="32"/>
        </w:rPr>
        <w:t>日计算，即不足</w:t>
      </w:r>
      <w:r>
        <w:rPr>
          <w:rFonts w:hint="eastAsia" w:hAnsi="TimesNewRomanPSMT"/>
          <w:color w:val="000000"/>
          <w:szCs w:val="32"/>
        </w:rPr>
        <w:t>100</w:t>
      </w:r>
      <w:r>
        <w:rPr>
          <w:rFonts w:hint="eastAsia"/>
          <w:color w:val="000000"/>
          <w:szCs w:val="32"/>
        </w:rPr>
        <w:t>按</w:t>
      </w:r>
      <w:r>
        <w:rPr>
          <w:rFonts w:hint="eastAsia" w:hAnsi="TimesNewRomanPSMT"/>
          <w:color w:val="000000"/>
          <w:szCs w:val="32"/>
        </w:rPr>
        <w:t>100</w:t>
      </w:r>
      <w:r>
        <w:rPr>
          <w:rFonts w:hint="eastAsia"/>
          <w:color w:val="000000"/>
          <w:szCs w:val="32"/>
        </w:rPr>
        <w:t>结算，超过</w:t>
      </w:r>
      <w:r>
        <w:rPr>
          <w:rFonts w:hint="eastAsia" w:hAnsi="TimesNewRomanPSMT"/>
          <w:color w:val="000000"/>
          <w:szCs w:val="32"/>
        </w:rPr>
        <w:t>100</w:t>
      </w:r>
      <w:r>
        <w:rPr>
          <w:rFonts w:hint="eastAsia"/>
          <w:color w:val="000000"/>
          <w:szCs w:val="32"/>
        </w:rPr>
        <w:t>吨</w:t>
      </w:r>
      <w:r>
        <w:rPr>
          <w:rFonts w:hint="eastAsia" w:hAnsi="TimesNewRomanPSMT"/>
          <w:color w:val="000000"/>
          <w:szCs w:val="32"/>
        </w:rPr>
        <w:t>/</w:t>
      </w:r>
      <w:r>
        <w:rPr>
          <w:rFonts w:hint="eastAsia"/>
          <w:color w:val="000000"/>
          <w:szCs w:val="32"/>
        </w:rPr>
        <w:t>日据实计算；第三年起按</w:t>
      </w:r>
      <w:r>
        <w:rPr>
          <w:rFonts w:hint="eastAsia" w:hAnsi="TimesNewRomanPSMT"/>
          <w:color w:val="000000"/>
          <w:szCs w:val="32"/>
        </w:rPr>
        <w:t>150</w:t>
      </w:r>
      <w:r>
        <w:rPr>
          <w:rFonts w:hint="eastAsia"/>
          <w:color w:val="000000"/>
          <w:szCs w:val="32"/>
        </w:rPr>
        <w:t>吨</w:t>
      </w:r>
      <w:r>
        <w:rPr>
          <w:rFonts w:hint="eastAsia" w:hAnsi="TimesNewRomanPSMT"/>
          <w:color w:val="000000"/>
          <w:szCs w:val="32"/>
        </w:rPr>
        <w:t>/</w:t>
      </w:r>
      <w:r>
        <w:rPr>
          <w:rFonts w:hint="eastAsia"/>
          <w:color w:val="000000"/>
          <w:szCs w:val="32"/>
        </w:rPr>
        <w:t>日计算，即不足则按</w:t>
      </w:r>
      <w:r>
        <w:rPr>
          <w:rFonts w:hint="eastAsia" w:hAnsi="TimesNewRomanPSMT"/>
          <w:color w:val="000000"/>
          <w:szCs w:val="32"/>
        </w:rPr>
        <w:t>150</w:t>
      </w:r>
      <w:r>
        <w:rPr>
          <w:rFonts w:hint="eastAsia"/>
          <w:color w:val="000000"/>
          <w:szCs w:val="32"/>
        </w:rPr>
        <w:t>吨</w:t>
      </w:r>
      <w:r>
        <w:rPr>
          <w:rFonts w:hint="eastAsia" w:hAnsi="TimesNewRomanPSMT"/>
          <w:color w:val="000000"/>
          <w:szCs w:val="32"/>
        </w:rPr>
        <w:t>/</w:t>
      </w:r>
      <w:r>
        <w:rPr>
          <w:rFonts w:hint="eastAsia"/>
          <w:color w:val="000000"/>
          <w:szCs w:val="32"/>
        </w:rPr>
        <w:t>日计算，超出部分据实结算。</w:t>
      </w:r>
    </w:p>
    <w:p>
      <w:pPr>
        <w:pStyle w:val="3"/>
        <w:ind w:firstLine="640"/>
      </w:pPr>
      <w:bookmarkStart w:id="20" w:name="_Toc137554195"/>
      <w:r>
        <w:t>三、分析方式和方法</w:t>
      </w:r>
      <w:bookmarkEnd w:id="20"/>
    </w:p>
    <w:p>
      <w:pPr>
        <w:pStyle w:val="4"/>
        <w:ind w:firstLine="640"/>
      </w:pPr>
      <w:bookmarkStart w:id="21" w:name="_Toc137554196"/>
      <w:r>
        <w:rPr>
          <w:rFonts w:hint="eastAsia"/>
        </w:rPr>
        <w:t>（一）分析程序</w:t>
      </w:r>
      <w:bookmarkEnd w:id="21"/>
    </w:p>
    <w:p>
      <w:pPr>
        <w:ind w:firstLine="640"/>
      </w:pPr>
      <w:r>
        <w:rPr>
          <w:rStyle w:val="38"/>
          <w:rFonts w:hint="default"/>
        </w:rPr>
        <w:t>餐厨废弃物收运处理补贴项目</w:t>
      </w:r>
      <w:r>
        <w:rPr>
          <w:rFonts w:hint="eastAsia"/>
        </w:rPr>
        <w:t>成本预算绩效分析工作程序主要包括成本预算绩效分析准备、实施、总结及应用三个阶段。</w:t>
      </w:r>
    </w:p>
    <w:p>
      <w:pPr>
        <w:pStyle w:val="5"/>
        <w:ind w:firstLine="640"/>
      </w:pPr>
      <w:r>
        <w:rPr>
          <w:rFonts w:hint="eastAsia"/>
        </w:rPr>
        <w:t>1.准备阶段</w:t>
      </w:r>
    </w:p>
    <w:p>
      <w:pPr>
        <w:ind w:firstLine="640"/>
      </w:pPr>
      <w:r>
        <w:rPr>
          <w:rFonts w:hint="eastAsia"/>
        </w:rPr>
        <w:t>（1）确定成本预算绩效分析对象并制定工作方案。与枣庄高新技术产业开发区财政金融局进行沟通，充分了解本次成本预算绩效分析的主要目的、任务和相关工作要求，明确成本预算绩效分析对象。与项目实施单位对接，初步了解项目基本情况和开展成本预算绩效分析的基础，制定工作方案。</w:t>
      </w:r>
    </w:p>
    <w:p>
      <w:pPr>
        <w:ind w:firstLine="640"/>
      </w:pPr>
      <w:r>
        <w:rPr>
          <w:rFonts w:hint="eastAsia"/>
        </w:rPr>
        <w:t>（2）成立工作组并开展业务培训。选取专业匹配度高、项目经验丰富的小组成员成立项目小组，同时邀请技术、管理、财务等方面的专家参与成本预算绩效分析工作，提供专业支持。结合本次项目特点对项目小组成员开展成本预算绩效分析工作培训，讲解成本预算绩效分析工作内容、方法、程序、标准和要求等。</w:t>
      </w:r>
    </w:p>
    <w:p>
      <w:pPr>
        <w:pStyle w:val="5"/>
        <w:ind w:firstLine="640"/>
      </w:pPr>
      <w:r>
        <w:rPr>
          <w:rFonts w:hint="eastAsia"/>
        </w:rPr>
        <w:t>2.实施阶段</w:t>
      </w:r>
    </w:p>
    <w:p>
      <w:pPr>
        <w:ind w:firstLine="640"/>
      </w:pPr>
      <w:r>
        <w:rPr>
          <w:rFonts w:hint="eastAsia"/>
        </w:rPr>
        <w:t>（1）资料收集及审核。拟定《成本预算绩效分析资料清单》，收集项目相关资料，对资料进行整理和分析，并就资料中发现的问题进行沟通、完善。</w:t>
      </w:r>
    </w:p>
    <w:p>
      <w:pPr>
        <w:ind w:firstLine="640"/>
      </w:pPr>
      <w:r>
        <w:rPr>
          <w:rFonts w:hint="eastAsia"/>
        </w:rPr>
        <w:t>（2）开展调研工作。工作组赴项目单位开展现场调研工作，了解项目的实际运行情况、效果实现情况和各项资源投入情况等内容，同时，抽查项目支出发票、合同、人员工资发放记录表、维护记录、固定资产台账等资料，核实各项成本的支出情况。</w:t>
      </w:r>
    </w:p>
    <w:p>
      <w:pPr>
        <w:ind w:firstLine="640"/>
      </w:pPr>
      <w:r>
        <w:rPr>
          <w:rFonts w:hint="eastAsia"/>
        </w:rPr>
        <w:t>（3）开展分析工作。工作组通过查阅资料、咨询专业人士、问卷调查、电话沟通、集中座谈等方式，多渠道获取项目相关信息，并对各种渠道获得的资料、信息、记录等进行汇总分析，经工作组内部讨论沟通，初步形成成本定额标准、绩效分析指标体系等成果文件。</w:t>
      </w:r>
    </w:p>
    <w:p>
      <w:pPr>
        <w:ind w:firstLine="640"/>
      </w:pPr>
      <w:r>
        <w:rPr>
          <w:rFonts w:hint="eastAsia"/>
        </w:rPr>
        <w:t>（4）进行专家论证。组织召开专家论证会，对成本绩效分析的结果进行论证，并由专家针对餐厨废弃物收运补贴项目的组织管理情况、工作组的分析情况提出专业意见或建议。</w:t>
      </w:r>
    </w:p>
    <w:p>
      <w:pPr>
        <w:pStyle w:val="5"/>
        <w:ind w:firstLine="640"/>
      </w:pPr>
      <w:r>
        <w:rPr>
          <w:rFonts w:hint="eastAsia"/>
        </w:rPr>
        <w:t>3.总结及应用阶段</w:t>
      </w:r>
    </w:p>
    <w:p>
      <w:pPr>
        <w:ind w:firstLine="640"/>
      </w:pPr>
      <w:r>
        <w:rPr>
          <w:rFonts w:hint="eastAsia"/>
        </w:rPr>
        <w:t>（1）撰写报告。工作组根据汇总分析情况以及专家、财政部门意见，按照规定的文本格式和要求，撰写《餐厨废弃物收运处理补贴、应急拆除违建及铁路沿线整治费用项目成本预算绩效分析报告》，整理成本预算绩效分析底稿资料。</w:t>
      </w:r>
    </w:p>
    <w:p>
      <w:pPr>
        <w:ind w:firstLine="640"/>
      </w:pPr>
      <w:r>
        <w:rPr>
          <w:rFonts w:hint="eastAsia"/>
        </w:rPr>
        <w:t>（2）提交正式报告。工作组征求各方意见后对报告内容进行完善，提交正式报告。</w:t>
      </w:r>
    </w:p>
    <w:p>
      <w:pPr>
        <w:ind w:firstLine="640"/>
      </w:pPr>
      <w:r>
        <w:rPr>
          <w:rFonts w:hint="eastAsia"/>
        </w:rPr>
        <w:t>（3）结果反馈与应用。财政部门和预算部门反馈成本预算绩效分析报告。根据分析结果作出预算安排决策，根据成本预算绩效分析的意见进一步完善预算绩效管理。</w:t>
      </w:r>
    </w:p>
    <w:p>
      <w:pPr>
        <w:pStyle w:val="4"/>
        <w:ind w:firstLine="640"/>
      </w:pPr>
      <w:bookmarkStart w:id="22" w:name="_Toc137554197"/>
      <w:r>
        <w:t>（二）论证思路、方法和依据</w:t>
      </w:r>
      <w:bookmarkEnd w:id="22"/>
    </w:p>
    <w:p>
      <w:pPr>
        <w:pStyle w:val="5"/>
        <w:ind w:firstLine="640"/>
      </w:pPr>
      <w:r>
        <w:rPr>
          <w:rFonts w:hint="eastAsia"/>
        </w:rPr>
        <w:t>1.论证思路</w:t>
      </w:r>
    </w:p>
    <w:p>
      <w:pPr>
        <w:ind w:firstLine="640"/>
      </w:pPr>
      <w:r>
        <w:rPr>
          <w:rFonts w:hint="eastAsia"/>
        </w:rPr>
        <w:t>本次成本绩效分析将按照“明确总体目标→确定效益目标→分解产出任务→测算项目成本→制定定额标准→编制绩效目标→优化项目管理”的思路进行分析。</w:t>
      </w:r>
    </w:p>
    <w:p>
      <w:pPr>
        <w:ind w:firstLine="640"/>
      </w:pPr>
      <w:r>
        <w:rPr>
          <w:rFonts w:hint="eastAsia"/>
        </w:rPr>
        <w:t>明确</w:t>
      </w:r>
      <w:r>
        <w:rPr>
          <w:rStyle w:val="38"/>
          <w:rFonts w:hint="default"/>
        </w:rPr>
        <w:t>餐厨废弃物收运处理补贴项目</w:t>
      </w:r>
      <w:r>
        <w:rPr>
          <w:rFonts w:hint="eastAsia"/>
        </w:rPr>
        <w:t>要实现的目标任务，梳理为实现目标任务而发生的各项工作活动，摸清部门单位为进行这些工作活动而投入的各项资源成本要素，对各项成本要素进行分类、细化，逐项分析各类成本投入的合理性、与效益实现效果的匹配性等，进而提出最优成本投入方案，形成相应的成本定额标准，编制绩效目标，提出优化项目管理的措施建议。</w:t>
      </w:r>
    </w:p>
    <w:p>
      <w:pPr>
        <w:ind w:firstLine="640"/>
      </w:pPr>
      <w:r>
        <w:rPr>
          <w:rFonts w:hint="eastAsia"/>
        </w:rPr>
        <w:t>具体论证思路如下：</w:t>
      </w:r>
    </w:p>
    <w:p>
      <w:pPr>
        <w:spacing w:line="240" w:lineRule="auto"/>
        <w:ind w:firstLine="0" w:firstLineChars="0"/>
        <w:jc w:val="center"/>
      </w:pPr>
      <w:r>
        <w:rPr>
          <w:rFonts w:hint="eastAsia"/>
        </w:rPr>
        <w:drawing>
          <wp:inline distT="0" distB="0" distL="0" distR="0">
            <wp:extent cx="3905250" cy="5057775"/>
            <wp:effectExtent l="0" t="0" r="0" b="9525"/>
            <wp:docPr id="2" name="图片 2" descr="成本效益分析思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成本效益分析思路(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05250" cy="5057775"/>
                    </a:xfrm>
                    <a:prstGeom prst="rect">
                      <a:avLst/>
                    </a:prstGeom>
                    <a:noFill/>
                    <a:ln>
                      <a:noFill/>
                    </a:ln>
                    <a:effectLst/>
                  </pic:spPr>
                </pic:pic>
              </a:graphicData>
            </a:graphic>
          </wp:inline>
        </w:drawing>
      </w:r>
    </w:p>
    <w:p>
      <w:pPr>
        <w:ind w:firstLine="640"/>
      </w:pPr>
    </w:p>
    <w:p>
      <w:pPr>
        <w:ind w:firstLine="640"/>
      </w:pPr>
      <w:r>
        <w:rPr>
          <w:rFonts w:hint="eastAsia"/>
        </w:rPr>
        <w:t>（1）明确总体目标</w:t>
      </w:r>
    </w:p>
    <w:p>
      <w:pPr>
        <w:ind w:firstLine="640"/>
      </w:pPr>
      <w:r>
        <w:rPr>
          <w:rFonts w:hint="eastAsia"/>
        </w:rPr>
        <w:t>通过了解</w:t>
      </w:r>
      <w:r>
        <w:rPr>
          <w:rStyle w:val="38"/>
          <w:rFonts w:hint="default"/>
        </w:rPr>
        <w:t>餐厨废弃物收运处理补贴项目</w:t>
      </w:r>
      <w:r>
        <w:rPr>
          <w:rFonts w:hint="eastAsia"/>
        </w:rPr>
        <w:t>的立项背景和国家、省市政策导向，结合部门、单位的职责要求，梳理项目需求，明确项目要实现的总体目标。</w:t>
      </w:r>
    </w:p>
    <w:p>
      <w:pPr>
        <w:ind w:firstLine="640"/>
      </w:pPr>
      <w:r>
        <w:rPr>
          <w:rFonts w:hint="eastAsia"/>
        </w:rPr>
        <w:t>（2）确定效益目标</w:t>
      </w:r>
    </w:p>
    <w:p>
      <w:pPr>
        <w:ind w:firstLine="640"/>
      </w:pPr>
      <w:r>
        <w:rPr>
          <w:rFonts w:hint="eastAsia"/>
        </w:rPr>
        <w:t>根据</w:t>
      </w:r>
      <w:r>
        <w:rPr>
          <w:rStyle w:val="38"/>
          <w:rFonts w:hint="default"/>
        </w:rPr>
        <w:t>餐厨废弃物收运处理补贴项目</w:t>
      </w:r>
      <w:r>
        <w:rPr>
          <w:rFonts w:hint="eastAsia"/>
        </w:rPr>
        <w:t>总体目标，从经济效益、社会效益、生态效益等方面，对项目预期影响和效果进行全面分析，并归纳为若干可衡量的效益指标，形成项目效益目标。</w:t>
      </w:r>
    </w:p>
    <w:p>
      <w:pPr>
        <w:ind w:firstLine="640"/>
      </w:pPr>
      <w:r>
        <w:rPr>
          <w:rFonts w:hint="eastAsia"/>
        </w:rPr>
        <w:t>（3）分解产出任务</w:t>
      </w:r>
    </w:p>
    <w:p>
      <w:pPr>
        <w:ind w:firstLine="640"/>
      </w:pPr>
      <w:r>
        <w:rPr>
          <w:rFonts w:hint="eastAsia"/>
        </w:rPr>
        <w:t>针对预期要实现的效益目标，了解部门单位投入的各项资源，明确工作任务，并通过具体、可量化的数量、质量及时效指标，</w:t>
      </w:r>
      <w:r>
        <w:rPr>
          <w:rFonts w:hint="eastAsia"/>
          <w:lang w:eastAsia="zh-CN"/>
        </w:rPr>
        <w:t>反映</w:t>
      </w:r>
      <w:r>
        <w:rPr>
          <w:rFonts w:hint="eastAsia"/>
        </w:rPr>
        <w:t>工作任务完成后的预期产出情况。在分解任务过程中，充分了解部门单位为实现工作任务投入的各项工作活动，分析各项工作活动与目标任务的匹配情况，发现低效或无效的工作活动，寻求降低成本的途径。</w:t>
      </w:r>
    </w:p>
    <w:p>
      <w:pPr>
        <w:ind w:firstLine="640"/>
      </w:pPr>
      <w:r>
        <w:rPr>
          <w:rFonts w:hint="eastAsia"/>
        </w:rPr>
        <w:t>（4）测算项目成本</w:t>
      </w:r>
    </w:p>
    <w:p>
      <w:pPr>
        <w:ind w:firstLine="640"/>
      </w:pPr>
      <w:r>
        <w:rPr>
          <w:rFonts w:hint="eastAsia"/>
        </w:rPr>
        <w:t>对照确定的工作任务和预计产出情况，运用科学的成本核算方法，结合项目支出的历史成本，参考其他可比省市和上下级部门情况，分析项目成本的构成要素，对关键的成本项目进行穿透式分析，目的是分析影响成本的关键因素和成本变动趋势，评价投入成本的合理性。</w:t>
      </w:r>
    </w:p>
    <w:p>
      <w:pPr>
        <w:ind w:firstLine="640"/>
      </w:pPr>
      <w:r>
        <w:rPr>
          <w:rFonts w:hint="eastAsia"/>
        </w:rPr>
        <w:t>（5）制定定额标准</w:t>
      </w:r>
    </w:p>
    <w:p>
      <w:pPr>
        <w:ind w:firstLine="640"/>
      </w:pPr>
      <w:r>
        <w:rPr>
          <w:rFonts w:hint="eastAsia"/>
        </w:rPr>
        <w:t>根据成本预算绩效分析结果，剔除历史成本中的不合理因素，制定成本定额标准。</w:t>
      </w:r>
    </w:p>
    <w:p>
      <w:pPr>
        <w:ind w:firstLine="640"/>
      </w:pPr>
      <w:r>
        <w:rPr>
          <w:rFonts w:hint="eastAsia"/>
        </w:rPr>
        <w:t>（6）编制绩效目标</w:t>
      </w:r>
    </w:p>
    <w:p>
      <w:pPr>
        <w:ind w:firstLine="640"/>
      </w:pPr>
      <w:r>
        <w:rPr>
          <w:rFonts w:hint="eastAsia"/>
        </w:rPr>
        <w:t>梳理成本预算绩效分析过程中形成的产出、效益和成本指标，通过归纳和提炼，科学规范地编制项目绩效目标，全面</w:t>
      </w:r>
      <w:r>
        <w:rPr>
          <w:rFonts w:hint="eastAsia"/>
          <w:lang w:eastAsia="zh-CN"/>
        </w:rPr>
        <w:t>反映</w:t>
      </w:r>
      <w:r>
        <w:rPr>
          <w:rFonts w:hint="eastAsia"/>
        </w:rPr>
        <w:t>项目实施的预期绩效。绩效目标中的成本指标应根据成本对象特点，从总成本、单位成本、成本项目等方面科学设置，既完整体现经济方面的实际投入，也充分反映预算活动对生态环境、社会公众福利等方面可能产生的负面影响。</w:t>
      </w:r>
    </w:p>
    <w:p>
      <w:pPr>
        <w:ind w:firstLine="640"/>
      </w:pPr>
      <w:r>
        <w:rPr>
          <w:rFonts w:hint="eastAsia"/>
        </w:rPr>
        <w:t>（7）优化项目管理</w:t>
      </w:r>
    </w:p>
    <w:p>
      <w:pPr>
        <w:ind w:firstLine="640"/>
      </w:pPr>
      <w:r>
        <w:rPr>
          <w:rFonts w:hint="eastAsia"/>
        </w:rPr>
        <w:t>结合成本预算绩效分析，对项目支出的规划设计、组织安排、实施模式、职责分工、监督管理等提出意见建议，进一步优化项目支出管理。</w:t>
      </w:r>
    </w:p>
    <w:p>
      <w:pPr>
        <w:pStyle w:val="5"/>
        <w:ind w:firstLine="640"/>
      </w:pPr>
      <w:r>
        <w:rPr>
          <w:rFonts w:hint="eastAsia"/>
        </w:rPr>
        <w:t>2.分析方法</w:t>
      </w:r>
    </w:p>
    <w:p>
      <w:pPr>
        <w:ind w:firstLine="640"/>
      </w:pPr>
      <w:r>
        <w:rPr>
          <w:rFonts w:hint="eastAsia"/>
        </w:rPr>
        <w:t>成本预算绩效分析方法包括：</w:t>
      </w:r>
    </w:p>
    <w:p>
      <w:pPr>
        <w:ind w:firstLine="640"/>
      </w:pPr>
      <w:r>
        <w:rPr>
          <w:rFonts w:hint="eastAsia"/>
        </w:rPr>
        <w:t>（1）作业成本法。基于资源耗用的因果关系进行成本分配：根据作业活动耗用资源的情况，将资源耗费分配给作业；再依照成本对象消耗作业的情况，把作业成本分配给成本对象。</w:t>
      </w:r>
    </w:p>
    <w:p>
      <w:pPr>
        <w:spacing w:line="240" w:lineRule="auto"/>
        <w:ind w:firstLine="640"/>
      </w:pPr>
      <w:r>
        <w:rPr>
          <w:rFonts w:hint="eastAsia"/>
        </w:rPr>
        <w:drawing>
          <wp:inline distT="0" distB="0" distL="0" distR="0">
            <wp:extent cx="4238625" cy="2324100"/>
            <wp:effectExtent l="0" t="0" r="0" b="0"/>
            <wp:docPr id="1" name="图片 1" descr="作业成本法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作业成本法应用"/>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238625" cy="2324100"/>
                    </a:xfrm>
                    <a:prstGeom prst="rect">
                      <a:avLst/>
                    </a:prstGeom>
                    <a:noFill/>
                    <a:ln>
                      <a:noFill/>
                    </a:ln>
                    <a:effectLst/>
                  </pic:spPr>
                </pic:pic>
              </a:graphicData>
            </a:graphic>
          </wp:inline>
        </w:drawing>
      </w:r>
    </w:p>
    <w:p>
      <w:pPr>
        <w:ind w:firstLine="640"/>
      </w:pPr>
      <w:r>
        <w:rPr>
          <w:rFonts w:hint="eastAsia"/>
        </w:rPr>
        <w:t>（2）成本效益分析法。主要是结合预算支出确定的绩效目标，提出若干实现该目标的方案，运用一定的技术方法，计算出每种方案的成本和收益，通过比较方法，选择最小成本取得最大效益的实施方案。</w:t>
      </w:r>
    </w:p>
    <w:p>
      <w:pPr>
        <w:ind w:firstLine="640"/>
      </w:pPr>
      <w:r>
        <w:rPr>
          <w:rFonts w:hint="eastAsia"/>
        </w:rPr>
        <w:t>（3）最低成本法。是指对预期效益不易计量的项目，通过综合分析测算其最低实施成本，对项目进行分析。</w:t>
      </w:r>
    </w:p>
    <w:p>
      <w:pPr>
        <w:ind w:firstLine="640"/>
      </w:pPr>
      <w:r>
        <w:rPr>
          <w:rFonts w:hint="eastAsia"/>
        </w:rPr>
        <w:t>（4）净现值法。是指利用净现金效益量的总现值与净现金投资量算出净现值，然后根据净现值的大小来分析项目是否可行。净现值越大，项目方案越好。</w:t>
      </w:r>
    </w:p>
    <w:p>
      <w:pPr>
        <w:ind w:firstLine="640"/>
      </w:pPr>
      <w:r>
        <w:rPr>
          <w:rFonts w:hint="eastAsia"/>
        </w:rPr>
        <w:t>（5）比较法。是指通过对绩效目标与预期实施效果、历史情况、不同部门和地区同类预算支出（项目）安排的比较，对项目进行分析。</w:t>
      </w:r>
    </w:p>
    <w:p>
      <w:pPr>
        <w:ind w:firstLine="640"/>
      </w:pPr>
      <w:r>
        <w:rPr>
          <w:rFonts w:hint="eastAsia"/>
        </w:rPr>
        <w:t>（6）因素分析法。是指通过综合分析影响项目绩效目标实现、实施效果的内外因素，对项目进行分析。</w:t>
      </w:r>
    </w:p>
    <w:p>
      <w:pPr>
        <w:ind w:firstLine="640"/>
      </w:pPr>
      <w:r>
        <w:rPr>
          <w:rFonts w:hint="eastAsia"/>
        </w:rPr>
        <w:t>（7）公众评判法。是指通过专家评估、公众问卷及抽样调查等方式，对项目进行分析。</w:t>
      </w:r>
    </w:p>
    <w:p>
      <w:pPr>
        <w:pStyle w:val="5"/>
        <w:ind w:firstLine="640"/>
      </w:pPr>
      <w:r>
        <w:rPr>
          <w:rFonts w:hint="eastAsia"/>
        </w:rPr>
        <w:t>3</w:t>
      </w:r>
      <w:r>
        <w:t>.分析依据</w:t>
      </w:r>
    </w:p>
    <w:p>
      <w:pPr>
        <w:ind w:firstLine="640"/>
      </w:pPr>
      <w:r>
        <w:rPr>
          <w:rStyle w:val="38"/>
          <w:rFonts w:hint="default"/>
        </w:rPr>
        <w:t>餐厨废弃物收运处理补贴项目</w:t>
      </w:r>
      <w:r>
        <w:rPr>
          <w:rFonts w:hint="eastAsia"/>
        </w:rPr>
        <w:t>成本预算绩效效益分析的主要依据包括两部分：相关政策、文件和实施单位相关材料。</w:t>
      </w:r>
    </w:p>
    <w:p>
      <w:pPr>
        <w:ind w:firstLine="640"/>
      </w:pPr>
      <w:r>
        <w:rPr>
          <w:rFonts w:hint="eastAsia"/>
        </w:rPr>
        <w:t>相关政策、文件：</w:t>
      </w:r>
    </w:p>
    <w:p>
      <w:pPr>
        <w:bidi w:val="0"/>
      </w:pPr>
      <w:r>
        <w:rPr>
          <w:rFonts w:hint="eastAsia"/>
        </w:rPr>
        <w:t>（1）《中共中央国务院关于全面实施预算绩效管理的意见》（财预〔2018〕34号）；</w:t>
      </w:r>
    </w:p>
    <w:p>
      <w:pPr>
        <w:bidi w:val="0"/>
      </w:pPr>
      <w:r>
        <w:rPr>
          <w:rFonts w:hint="eastAsia"/>
        </w:rPr>
        <w:t>（2）山东省财政厅《关于开展成本预算绩效管理的实施意见》（鲁财文〔2022〕4号）；</w:t>
      </w:r>
    </w:p>
    <w:p>
      <w:pPr>
        <w:bidi w:val="0"/>
      </w:pPr>
      <w:r>
        <w:rPr>
          <w:rFonts w:hint="eastAsia"/>
        </w:rPr>
        <w:t>（3）《事业单位成本核算基本指引》（财会〔2019〕25号）；</w:t>
      </w:r>
    </w:p>
    <w:p>
      <w:pPr>
        <w:bidi w:val="0"/>
      </w:pPr>
      <w:r>
        <w:rPr>
          <w:rFonts w:hint="eastAsia"/>
        </w:rPr>
        <w:t>（4）《关于加快推进中央本级项目支出定额标准体系建设的通知》（财预〔2015〕132号）；</w:t>
      </w:r>
    </w:p>
    <w:p>
      <w:pPr>
        <w:bidi w:val="0"/>
        <w:rPr>
          <w:rFonts w:hint="eastAsia"/>
          <w:lang w:eastAsia="zh-CN"/>
        </w:rPr>
      </w:pPr>
      <w:r>
        <w:rPr>
          <w:rFonts w:hint="default"/>
        </w:rPr>
        <w:t>（5）《“十四五”城镇生活垃圾分类和处理设施发展规划》（</w:t>
      </w:r>
      <w:r>
        <w:rPr>
          <w:rFonts w:hint="eastAsia"/>
          <w:lang w:val="en"/>
        </w:rPr>
        <w:t>发改环资〔2021〕642号</w:t>
      </w:r>
      <w:r>
        <w:rPr>
          <w:rFonts w:hint="default"/>
        </w:rPr>
        <w:t>）</w:t>
      </w:r>
      <w:r>
        <w:rPr>
          <w:rFonts w:hint="eastAsia"/>
          <w:lang w:eastAsia="zh-CN"/>
        </w:rPr>
        <w:t>；</w:t>
      </w:r>
    </w:p>
    <w:p>
      <w:pPr>
        <w:bidi w:val="0"/>
        <w:rPr>
          <w:rFonts w:hint="eastAsia" w:eastAsia="仿宋_GB2312"/>
          <w:lang w:eastAsia="zh-CN"/>
        </w:rPr>
      </w:pPr>
      <w:r>
        <w:rPr>
          <w:rFonts w:hint="default"/>
        </w:rPr>
        <w:t>（6）《山东省餐厨废弃物管理办法》（省</w:t>
      </w:r>
      <w:r>
        <w:rPr>
          <w:rFonts w:hint="eastAsia"/>
        </w:rPr>
        <w:t>政府令第274号</w:t>
      </w:r>
      <w:r>
        <w:rPr>
          <w:rFonts w:hint="default"/>
        </w:rPr>
        <w:t>）</w:t>
      </w:r>
      <w:r>
        <w:rPr>
          <w:rFonts w:hint="eastAsia"/>
          <w:lang w:eastAsia="zh-CN"/>
        </w:rPr>
        <w:t>；</w:t>
      </w:r>
    </w:p>
    <w:p>
      <w:pPr>
        <w:bidi w:val="0"/>
        <w:rPr>
          <w:rFonts w:hint="eastAsia"/>
          <w:lang w:eastAsia="zh-CN"/>
        </w:rPr>
      </w:pPr>
      <w:r>
        <w:rPr>
          <w:rFonts w:hint="default"/>
        </w:rPr>
        <w:t>（7）《枣庄市人民政府办公室关于进一步推进生活垃圾分类工作的实施意见》（</w:t>
      </w:r>
      <w:r>
        <w:rPr>
          <w:rFonts w:hint="eastAsia"/>
        </w:rPr>
        <w:t>枣政办字〔2022〕19号</w:t>
      </w:r>
      <w:r>
        <w:rPr>
          <w:rFonts w:hint="default"/>
        </w:rPr>
        <w:t>）</w:t>
      </w:r>
      <w:r>
        <w:rPr>
          <w:rFonts w:hint="eastAsia"/>
          <w:lang w:eastAsia="zh-CN"/>
        </w:rPr>
        <w:t>；</w:t>
      </w:r>
    </w:p>
    <w:p>
      <w:pPr>
        <w:bidi w:val="0"/>
        <w:rPr>
          <w:rFonts w:hint="eastAsia" w:eastAsia="仿宋_GB2312"/>
          <w:lang w:eastAsia="zh-CN"/>
        </w:rPr>
      </w:pPr>
      <w:r>
        <w:rPr>
          <w:rFonts w:hint="default"/>
        </w:rPr>
        <w:t>（8）《枣庄市餐厨废弃物管理办法》（枣政发〔2016〕12号）</w:t>
      </w:r>
      <w:r>
        <w:rPr>
          <w:rFonts w:hint="eastAsia"/>
          <w:lang w:eastAsia="zh-CN"/>
        </w:rPr>
        <w:t>；</w:t>
      </w:r>
    </w:p>
    <w:p>
      <w:pPr>
        <w:bidi w:val="0"/>
        <w:rPr>
          <w:rFonts w:hint="eastAsia" w:eastAsia="仿宋_GB2312"/>
          <w:lang w:eastAsia="zh-CN"/>
        </w:rPr>
      </w:pPr>
      <w:r>
        <w:rPr>
          <w:rFonts w:hint="default"/>
        </w:rPr>
        <w:t>（9）《枣庄市“无废城市”建设实施方案（2022—2025年）》（枣政字〔2022〕34号）</w:t>
      </w:r>
      <w:r>
        <w:rPr>
          <w:rFonts w:hint="eastAsia"/>
          <w:lang w:eastAsia="zh-CN"/>
        </w:rPr>
        <w:t>；</w:t>
      </w:r>
    </w:p>
    <w:p>
      <w:pPr>
        <w:bidi w:val="0"/>
      </w:pPr>
      <w:r>
        <w:rPr>
          <w:rFonts w:hint="eastAsia"/>
        </w:rPr>
        <w:t>（10）相关行业政策、行业标准及专业技术规范等；</w:t>
      </w:r>
    </w:p>
    <w:p>
      <w:pPr>
        <w:bidi w:val="0"/>
      </w:pPr>
      <w:r>
        <w:rPr>
          <w:rFonts w:hint="eastAsia"/>
        </w:rPr>
        <w:t>（11）部门、单位的职责、制度汇编、年度总结和中长期发展规划等；</w:t>
      </w:r>
    </w:p>
    <w:p>
      <w:pPr>
        <w:bidi w:val="0"/>
      </w:pPr>
      <w:r>
        <w:rPr>
          <w:rFonts w:hint="eastAsia"/>
        </w:rPr>
        <w:t xml:space="preserve">（12）部门、单位的财务、业务和绩效运行数据及相关信息等，包括年度预算执行情况、年度决算报告、年度审计报告和绩效信息等； </w:t>
      </w:r>
    </w:p>
    <w:p>
      <w:pPr>
        <w:bidi w:val="0"/>
      </w:pPr>
      <w:r>
        <w:rPr>
          <w:rFonts w:hint="eastAsia"/>
        </w:rPr>
        <w:t>（13）其他相关资料。</w:t>
      </w:r>
    </w:p>
    <w:p>
      <w:pPr>
        <w:bidi w:val="0"/>
      </w:pPr>
      <w:r>
        <w:rPr>
          <w:rFonts w:hint="eastAsia"/>
        </w:rPr>
        <w:t>实施单位相关材料：</w:t>
      </w:r>
    </w:p>
    <w:p>
      <w:pPr>
        <w:bidi w:val="0"/>
      </w:pPr>
      <w:r>
        <w:rPr>
          <w:rFonts w:hint="eastAsia"/>
        </w:rPr>
        <w:t>（1）项目单位餐厨废弃物处理吨数及收入情况汇总表、项目单位费用支出情况表、项目单位成本核算明细表；</w:t>
      </w:r>
    </w:p>
    <w:p>
      <w:pPr>
        <w:bidi w:val="0"/>
      </w:pPr>
      <w:r>
        <w:rPr>
          <w:rFonts w:hint="eastAsia"/>
        </w:rPr>
        <w:t>（2）项目单位固定资产证明、固定资产使用情况表；</w:t>
      </w:r>
    </w:p>
    <w:p>
      <w:pPr>
        <w:bidi w:val="0"/>
      </w:pPr>
      <w:r>
        <w:rPr>
          <w:rFonts w:hint="eastAsia"/>
        </w:rPr>
        <w:t>（3）项目单位人员薪酬情况表；</w:t>
      </w:r>
    </w:p>
    <w:p>
      <w:pPr>
        <w:bidi w:val="0"/>
      </w:pPr>
      <w:r>
        <w:rPr>
          <w:rFonts w:hint="eastAsia"/>
        </w:rPr>
        <w:t>（4）项目单位合同目录及部分合同、项目单位业务运行基本情况、项目单位建设及运行情况；</w:t>
      </w:r>
    </w:p>
    <w:p>
      <w:pPr>
        <w:bidi w:val="0"/>
      </w:pPr>
      <w:r>
        <w:rPr>
          <w:rFonts w:hint="eastAsia"/>
        </w:rPr>
        <w:t>（5）项目立项背景及依据材料、项目实施方案、项目组织运行数据；</w:t>
      </w:r>
    </w:p>
    <w:p>
      <w:pPr>
        <w:bidi w:val="0"/>
      </w:pPr>
      <w:r>
        <w:rPr>
          <w:rFonts w:hint="eastAsia"/>
        </w:rPr>
        <w:t>（6）全国同类项目、组织相关数据和信息、全国同类项目建设标准、全国同类项目管理条例；</w:t>
      </w:r>
    </w:p>
    <w:p>
      <w:pPr>
        <w:bidi w:val="0"/>
      </w:pPr>
      <w:r>
        <w:rPr>
          <w:rFonts w:hint="eastAsia"/>
        </w:rPr>
        <w:t>（7）其他与成本预算绩效相关的资料，包括目前存在的问题及建议。</w:t>
      </w:r>
    </w:p>
    <w:p>
      <w:pPr>
        <w:pStyle w:val="4"/>
        <w:ind w:firstLine="640"/>
      </w:pPr>
      <w:bookmarkStart w:id="23" w:name="_Toc137554198"/>
      <w:r>
        <w:t>（三）分析方式</w:t>
      </w:r>
      <w:bookmarkEnd w:id="23"/>
    </w:p>
    <w:p>
      <w:pPr>
        <w:ind w:firstLine="640"/>
      </w:pPr>
      <w:r>
        <w:rPr>
          <w:rFonts w:hint="eastAsia"/>
        </w:rPr>
        <w:t>成本预算绩效分析的方式包括入户调研、数据收集、测算对比、问卷调查、电话咨询、召开座谈会、专家论证等。</w:t>
      </w:r>
    </w:p>
    <w:p>
      <w:pPr>
        <w:pStyle w:val="5"/>
        <w:ind w:firstLine="640"/>
      </w:pPr>
      <w:r>
        <w:rPr>
          <w:rFonts w:hint="eastAsia"/>
        </w:rPr>
        <w:t>1.入户调研</w:t>
      </w:r>
    </w:p>
    <w:p>
      <w:pPr>
        <w:ind w:firstLine="640"/>
      </w:pPr>
      <w:r>
        <w:rPr>
          <w:rFonts w:hint="eastAsia"/>
        </w:rPr>
        <w:t>成本预算绩效分析工作组基于对项目内容的初步了解及分析投入产出效益的工作要求，将结合实际对项目实施单位开展现场调研，了解餐厨废弃物收运补贴项目的具体工作业务流程、项目开展情况、项目实现效果以及各项资源投入情况、历年资金支出情况、会计核算方法等内容，针对具体问题与工作人员进行现场沟通，综合分析评价项目的成本投入和产出效益实现情况。</w:t>
      </w:r>
    </w:p>
    <w:p>
      <w:pPr>
        <w:pStyle w:val="5"/>
        <w:ind w:firstLine="640"/>
      </w:pPr>
      <w:r>
        <w:rPr>
          <w:rFonts w:hint="eastAsia"/>
        </w:rPr>
        <w:t>2.数据收集</w:t>
      </w:r>
    </w:p>
    <w:p>
      <w:pPr>
        <w:ind w:firstLine="640"/>
      </w:pPr>
      <w:r>
        <w:rPr>
          <w:rFonts w:hint="eastAsia"/>
        </w:rPr>
        <w:t>工作组将根据对项目信息的了解和成本分析需要，有针对性地设计《项目信息采集表》并下发相关单位填写，收集部门单位关于</w:t>
      </w:r>
      <w:r>
        <w:rPr>
          <w:rStyle w:val="38"/>
          <w:rFonts w:hint="default"/>
        </w:rPr>
        <w:t>餐厨废弃物收运处理补贴项目</w:t>
      </w:r>
      <w:r>
        <w:rPr>
          <w:rFonts w:hint="eastAsia"/>
        </w:rPr>
        <w:t>的成本构成、工作量、测算标准等信息数据。</w:t>
      </w:r>
    </w:p>
    <w:p>
      <w:pPr>
        <w:pStyle w:val="5"/>
        <w:ind w:firstLine="640"/>
      </w:pPr>
      <w:r>
        <w:rPr>
          <w:rFonts w:hint="eastAsia"/>
        </w:rPr>
        <w:t>3.测算比对</w:t>
      </w:r>
    </w:p>
    <w:p>
      <w:pPr>
        <w:ind w:firstLine="640"/>
      </w:pPr>
      <w:r>
        <w:rPr>
          <w:rFonts w:hint="eastAsia"/>
        </w:rPr>
        <w:t>工作组将结合收集的各项数据，全面分析以往该项目预算投入、成本构成、产出规模与质量、政策实施效果等情况</w:t>
      </w:r>
    </w:p>
    <w:p>
      <w:pPr>
        <w:pStyle w:val="5"/>
        <w:ind w:firstLine="640"/>
      </w:pPr>
      <w:r>
        <w:rPr>
          <w:rFonts w:hint="eastAsia"/>
        </w:rPr>
        <w:t>4.问卷调查、电话咨询</w:t>
      </w:r>
    </w:p>
    <w:p>
      <w:pPr>
        <w:ind w:firstLine="640"/>
      </w:pPr>
      <w:r>
        <w:rPr>
          <w:rFonts w:hint="eastAsia"/>
        </w:rPr>
        <w:t>问卷调查、电话咨询，主要是通过对服务对象进行访谈，核实有关情况，了解基层或项目受益对象的真实想法。</w:t>
      </w:r>
    </w:p>
    <w:p>
      <w:pPr>
        <w:pStyle w:val="5"/>
        <w:ind w:firstLine="640"/>
      </w:pPr>
      <w:r>
        <w:rPr>
          <w:rFonts w:hint="eastAsia"/>
        </w:rPr>
        <w:t>5.召开座谈会、专家论证</w:t>
      </w:r>
    </w:p>
    <w:p>
      <w:pPr>
        <w:ind w:firstLine="640"/>
      </w:pPr>
      <w:r>
        <w:rPr>
          <w:rFonts w:hint="eastAsia"/>
        </w:rPr>
        <w:t>工作组将以专家论证会、专家座谈等多种形式进行专家论证工作，对成本预算绩效分析的结果进行论证，专家应针对工作组前期的分析工作出具意见。</w:t>
      </w:r>
    </w:p>
    <w:p>
      <w:pPr>
        <w:pStyle w:val="3"/>
        <w:ind w:firstLine="640"/>
      </w:pPr>
      <w:bookmarkStart w:id="24" w:name="_Toc137554199"/>
      <w:r>
        <w:rPr>
          <w:rFonts w:hint="eastAsia"/>
        </w:rPr>
        <w:t>四、成本效益分析</w:t>
      </w:r>
      <w:bookmarkEnd w:id="24"/>
    </w:p>
    <w:p>
      <w:pPr>
        <w:pStyle w:val="4"/>
        <w:ind w:firstLine="640"/>
      </w:pPr>
      <w:bookmarkStart w:id="25" w:name="_Toc137554200"/>
      <w:r>
        <w:t>（一）产出指标分析</w:t>
      </w:r>
      <w:bookmarkEnd w:id="25"/>
    </w:p>
    <w:p>
      <w:pPr>
        <w:ind w:firstLine="640"/>
      </w:pPr>
      <w:r>
        <w:rPr>
          <w:rFonts w:hint="eastAsia"/>
        </w:rPr>
        <w:t>根据成本绩效分析相关政策和文件以及特许权合同要求，我们从项目产出数量、质量和时效等三个方面设置了项目产出绩效目标值。具体指标设置如表4-1所示。</w:t>
      </w:r>
    </w:p>
    <w:p>
      <w:pPr>
        <w:ind w:firstLine="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表4-1 产出指标分析表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1967"/>
        <w:gridCol w:w="284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47"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sz w:val="20"/>
                <w:szCs w:val="20"/>
              </w:rPr>
            </w:pPr>
            <w:r>
              <w:rPr>
                <w:rFonts w:hint="eastAsia" w:cs="仿宋" w:asciiTheme="minorEastAsia" w:hAnsiTheme="minorEastAsia" w:eastAsiaTheme="minorEastAsia"/>
                <w:b/>
                <w:bCs/>
                <w:color w:val="000000"/>
                <w:kern w:val="0"/>
                <w:sz w:val="20"/>
                <w:szCs w:val="20"/>
                <w:lang w:bidi="ar"/>
              </w:rPr>
              <w:t>一级指标</w:t>
            </w:r>
          </w:p>
        </w:tc>
        <w:tc>
          <w:tcPr>
            <w:tcW w:w="1155"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sz w:val="20"/>
                <w:szCs w:val="20"/>
              </w:rPr>
            </w:pPr>
            <w:r>
              <w:rPr>
                <w:rFonts w:hint="eastAsia" w:cs="仿宋" w:asciiTheme="minorEastAsia" w:hAnsiTheme="minorEastAsia" w:eastAsiaTheme="minorEastAsia"/>
                <w:b/>
                <w:bCs/>
                <w:color w:val="000000"/>
                <w:kern w:val="0"/>
                <w:sz w:val="20"/>
                <w:szCs w:val="20"/>
                <w:lang w:bidi="ar"/>
              </w:rPr>
              <w:t>二级指标</w:t>
            </w:r>
          </w:p>
        </w:tc>
        <w:tc>
          <w:tcPr>
            <w:tcW w:w="1669"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sz w:val="20"/>
                <w:szCs w:val="20"/>
              </w:rPr>
            </w:pPr>
            <w:r>
              <w:rPr>
                <w:rFonts w:hint="eastAsia" w:cs="仿宋" w:asciiTheme="minorEastAsia" w:hAnsiTheme="minorEastAsia" w:eastAsiaTheme="minorEastAsia"/>
                <w:b/>
                <w:bCs/>
                <w:color w:val="000000"/>
                <w:kern w:val="0"/>
                <w:sz w:val="20"/>
                <w:szCs w:val="20"/>
                <w:lang w:bidi="ar"/>
              </w:rPr>
              <w:t>三级指标</w:t>
            </w:r>
          </w:p>
        </w:tc>
        <w:tc>
          <w:tcPr>
            <w:tcW w:w="1027"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sz w:val="20"/>
                <w:szCs w:val="20"/>
              </w:rPr>
            </w:pPr>
            <w:r>
              <w:rPr>
                <w:rFonts w:hint="eastAsia" w:cs="仿宋" w:asciiTheme="minorEastAsia" w:hAnsiTheme="minorEastAsia" w:eastAsiaTheme="minorEastAsia"/>
                <w:b/>
                <w:bCs/>
                <w:color w:val="000000"/>
                <w:kern w:val="0"/>
                <w:sz w:val="20"/>
                <w:szCs w:val="20"/>
                <w:lang w:bidi="ar"/>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7" w:type="pct"/>
            <w:vMerge w:val="restar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产出</w:t>
            </w:r>
          </w:p>
        </w:tc>
        <w:tc>
          <w:tcPr>
            <w:tcW w:w="1155"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数量指标</w:t>
            </w:r>
          </w:p>
        </w:tc>
        <w:tc>
          <w:tcPr>
            <w:tcW w:w="1669"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餐厨废弃物收运处理率</w:t>
            </w:r>
          </w:p>
        </w:tc>
        <w:tc>
          <w:tcPr>
            <w:tcW w:w="1027"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47" w:type="pct"/>
            <w:vMerge w:val="continue"/>
            <w:tcBorders>
              <w:tl2br w:val="nil"/>
              <w:tr2bl w:val="nil"/>
            </w:tcBorders>
            <w:shd w:val="clear" w:color="auto" w:fill="FFFFFF"/>
            <w:vAlign w:val="center"/>
          </w:tcPr>
          <w:p>
            <w:pPr>
              <w:widowControl/>
              <w:spacing w:line="240" w:lineRule="auto"/>
              <w:ind w:firstLine="400"/>
              <w:jc w:val="center"/>
              <w:textAlignment w:val="center"/>
              <w:rPr>
                <w:rFonts w:cs="仿宋" w:asciiTheme="minorEastAsia" w:hAnsiTheme="minorEastAsia" w:eastAsiaTheme="minorEastAsia"/>
                <w:color w:val="000000"/>
                <w:sz w:val="20"/>
                <w:szCs w:val="20"/>
              </w:rPr>
            </w:pPr>
          </w:p>
        </w:tc>
        <w:tc>
          <w:tcPr>
            <w:tcW w:w="1155"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质量指标</w:t>
            </w:r>
          </w:p>
        </w:tc>
        <w:tc>
          <w:tcPr>
            <w:tcW w:w="1669"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餐厨废弃物收运处理达标率</w:t>
            </w:r>
          </w:p>
        </w:tc>
        <w:tc>
          <w:tcPr>
            <w:tcW w:w="1027"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47" w:type="pct"/>
            <w:vMerge w:val="continue"/>
            <w:tcBorders>
              <w:tl2br w:val="nil"/>
              <w:tr2bl w:val="nil"/>
            </w:tcBorders>
            <w:shd w:val="clear" w:color="auto" w:fill="FFFFFF"/>
            <w:vAlign w:val="center"/>
          </w:tcPr>
          <w:p>
            <w:pPr>
              <w:widowControl/>
              <w:spacing w:line="240" w:lineRule="auto"/>
              <w:ind w:firstLine="400"/>
              <w:jc w:val="center"/>
              <w:textAlignment w:val="center"/>
              <w:rPr>
                <w:rFonts w:cs="仿宋" w:asciiTheme="minorEastAsia" w:hAnsiTheme="minorEastAsia" w:eastAsiaTheme="minorEastAsia"/>
                <w:color w:val="000000"/>
                <w:sz w:val="20"/>
                <w:szCs w:val="20"/>
              </w:rPr>
            </w:pPr>
          </w:p>
        </w:tc>
        <w:tc>
          <w:tcPr>
            <w:tcW w:w="1155" w:type="pct"/>
            <w:vMerge w:val="restar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时效指标</w:t>
            </w:r>
          </w:p>
        </w:tc>
        <w:tc>
          <w:tcPr>
            <w:tcW w:w="1669"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餐厨废弃物收运及时性</w:t>
            </w:r>
          </w:p>
        </w:tc>
        <w:tc>
          <w:tcPr>
            <w:tcW w:w="1027"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cs="仿宋" w:asciiTheme="minorEastAsia" w:hAnsiTheme="minorEastAsia" w:eastAsiaTheme="minorEastAsia"/>
                <w:color w:val="000000"/>
                <w:sz w:val="20"/>
                <w:szCs w:val="20"/>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47" w:type="pct"/>
            <w:vMerge w:val="continue"/>
            <w:tcBorders>
              <w:tl2br w:val="nil"/>
              <w:tr2bl w:val="nil"/>
            </w:tcBorders>
            <w:shd w:val="clear" w:color="auto" w:fill="FFFFFF"/>
            <w:vAlign w:val="center"/>
          </w:tcPr>
          <w:p>
            <w:pPr>
              <w:widowControl/>
              <w:spacing w:line="240" w:lineRule="auto"/>
              <w:ind w:firstLine="480"/>
              <w:jc w:val="center"/>
              <w:textAlignment w:val="center"/>
              <w:rPr>
                <w:rFonts w:cs="仿宋" w:asciiTheme="minorEastAsia" w:hAnsiTheme="minorEastAsia" w:eastAsiaTheme="minorEastAsia"/>
                <w:color w:val="000000"/>
                <w:sz w:val="24"/>
              </w:rPr>
            </w:pPr>
          </w:p>
        </w:tc>
        <w:tc>
          <w:tcPr>
            <w:tcW w:w="1155" w:type="pct"/>
            <w:vMerge w:val="continue"/>
            <w:tcBorders>
              <w:tl2br w:val="nil"/>
              <w:tr2bl w:val="nil"/>
            </w:tcBorders>
            <w:shd w:val="clear" w:color="auto" w:fill="FFFFFF"/>
            <w:vAlign w:val="center"/>
          </w:tcPr>
          <w:p>
            <w:pPr>
              <w:widowControl/>
              <w:spacing w:line="240" w:lineRule="auto"/>
              <w:ind w:firstLine="480"/>
              <w:jc w:val="center"/>
              <w:textAlignment w:val="center"/>
              <w:rPr>
                <w:rFonts w:cs="仿宋" w:asciiTheme="minorEastAsia" w:hAnsiTheme="minorEastAsia" w:eastAsiaTheme="minorEastAsia"/>
                <w:color w:val="000000"/>
                <w:sz w:val="24"/>
              </w:rPr>
            </w:pPr>
          </w:p>
        </w:tc>
        <w:tc>
          <w:tcPr>
            <w:tcW w:w="1669"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餐厨废弃物处理及时性</w:t>
            </w:r>
          </w:p>
        </w:tc>
        <w:tc>
          <w:tcPr>
            <w:tcW w:w="1027" w:type="pct"/>
            <w:tcBorders>
              <w:tl2br w:val="nil"/>
              <w:tr2bl w:val="nil"/>
            </w:tcBorders>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color w:val="000000"/>
                <w:sz w:val="20"/>
                <w:szCs w:val="20"/>
              </w:rPr>
            </w:pPr>
            <w:r>
              <w:rPr>
                <w:rFonts w:hint="eastAsia" w:cs="仿宋" w:asciiTheme="minorEastAsia" w:hAnsiTheme="minorEastAsia" w:eastAsiaTheme="minorEastAsia"/>
                <w:color w:val="000000"/>
                <w:sz w:val="20"/>
                <w:szCs w:val="20"/>
              </w:rPr>
              <w:t>100%</w:t>
            </w:r>
          </w:p>
        </w:tc>
      </w:tr>
    </w:tbl>
    <w:p>
      <w:pPr>
        <w:pStyle w:val="5"/>
        <w:ind w:firstLine="640"/>
      </w:pPr>
      <w:r>
        <w:rPr>
          <w:rFonts w:hint="eastAsia"/>
        </w:rPr>
        <w:t>1</w:t>
      </w:r>
      <w:r>
        <w:t>.数量指标</w:t>
      </w:r>
    </w:p>
    <w:p>
      <w:pPr>
        <w:ind w:firstLine="640"/>
        <w:rPr>
          <w:color w:val="000000"/>
          <w:szCs w:val="32"/>
        </w:rPr>
      </w:pPr>
      <w:r>
        <w:rPr>
          <w:rFonts w:hint="eastAsia"/>
        </w:rPr>
        <w:t>根据特许权合同，</w:t>
      </w:r>
      <w:r>
        <w:rPr>
          <w:rFonts w:hint="eastAsia"/>
          <w:lang w:val="zh-CN"/>
        </w:rPr>
        <w:t>中科安佑公司需要对滕州市、市中区、峄城区、高新区、薛城区、山亭区、台儿庄区各行政辖区产生的餐厨废弃物进行清运并做无害化处理。其中高新区与枣庄中科安佑有限公司的签约单位总数为162家。评价组对2020年1月1日至2022年12月31日中科安佑清运处理的枣庄市各辖区的餐厨废弃物总量及高新区餐厨废弃物清运处理量进行了统计，餐厨废弃物收运处理率100%，基本上做到日产日清。</w:t>
      </w:r>
      <w:r>
        <w:rPr>
          <w:rFonts w:hint="eastAsia" w:hAnsi="TimesNewRomanPSMT"/>
          <w:color w:val="000000"/>
          <w:szCs w:val="32"/>
        </w:rPr>
        <w:t>2020</w:t>
      </w:r>
      <w:r>
        <w:rPr>
          <w:rFonts w:hint="eastAsia"/>
          <w:color w:val="000000"/>
          <w:szCs w:val="32"/>
        </w:rPr>
        <w:t>年—</w:t>
      </w:r>
      <w:r>
        <w:rPr>
          <w:rFonts w:hint="eastAsia" w:hAnsi="TimesNewRomanPSMT"/>
          <w:color w:val="000000"/>
          <w:szCs w:val="32"/>
        </w:rPr>
        <w:t>2022</w:t>
      </w:r>
      <w:r>
        <w:rPr>
          <w:rFonts w:hint="eastAsia"/>
          <w:color w:val="000000"/>
          <w:szCs w:val="32"/>
        </w:rPr>
        <w:t>年餐厨废弃物收运处理产出数量情况下表4-2。</w:t>
      </w:r>
    </w:p>
    <w:p>
      <w:pPr>
        <w:ind w:firstLine="560"/>
        <w:jc w:val="right"/>
        <w:rPr>
          <w:rFonts w:hAnsiTheme="minorEastAsia"/>
          <w:sz w:val="28"/>
          <w:szCs w:val="28"/>
        </w:rPr>
      </w:pPr>
      <w:r>
        <w:rPr>
          <w:rFonts w:hint="eastAsia" w:asciiTheme="minorEastAsia" w:hAnsiTheme="minorEastAsia" w:eastAsiaTheme="minorEastAsia"/>
          <w:sz w:val="28"/>
          <w:szCs w:val="28"/>
        </w:rPr>
        <w:t>表4-2 中科安佑餐厨废弃物清运量</w:t>
      </w:r>
      <w:r>
        <w:rPr>
          <w:rFonts w:hint="eastAsia" w:hAnsiTheme="minorEastAsia"/>
          <w:sz w:val="28"/>
          <w:szCs w:val="28"/>
        </w:rPr>
        <w:t xml:space="preserve">         </w:t>
      </w:r>
      <w:r>
        <w:rPr>
          <w:rFonts w:hint="eastAsia" w:asciiTheme="minorEastAsia" w:hAnsiTheme="minorEastAsia" w:eastAsiaTheme="minorEastAsia"/>
          <w:sz w:val="21"/>
          <w:szCs w:val="21"/>
        </w:rPr>
        <w:t>单位：吨</w:t>
      </w:r>
    </w:p>
    <w:tbl>
      <w:tblPr>
        <w:tblStyle w:val="14"/>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2304"/>
        <w:gridCol w:w="1782"/>
        <w:gridCol w:w="1779"/>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40" w:type="dxa"/>
            <w:shd w:val="clear" w:color="auto" w:fill="auto"/>
            <w:noWrap/>
            <w:vAlign w:val="center"/>
          </w:tcPr>
          <w:p>
            <w:pPr>
              <w:widowControl/>
              <w:spacing w:line="240" w:lineRule="auto"/>
              <w:ind w:firstLine="0" w:firstLineChars="0"/>
              <w:jc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时间</w:t>
            </w:r>
          </w:p>
        </w:tc>
        <w:tc>
          <w:tcPr>
            <w:tcW w:w="2304" w:type="dxa"/>
            <w:shd w:val="clear" w:color="auto" w:fill="auto"/>
            <w:noWrap/>
            <w:vAlign w:val="center"/>
          </w:tcPr>
          <w:p>
            <w:pPr>
              <w:widowControl/>
              <w:spacing w:line="240" w:lineRule="auto"/>
              <w:ind w:firstLine="0" w:firstLineChars="0"/>
              <w:jc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枣庄市总量</w:t>
            </w:r>
          </w:p>
        </w:tc>
        <w:tc>
          <w:tcPr>
            <w:tcW w:w="1782" w:type="dxa"/>
            <w:shd w:val="clear" w:color="auto" w:fill="auto"/>
            <w:noWrap/>
            <w:vAlign w:val="center"/>
          </w:tcPr>
          <w:p>
            <w:pPr>
              <w:widowControl/>
              <w:spacing w:line="240" w:lineRule="auto"/>
              <w:ind w:firstLine="0" w:firstLineChars="0"/>
              <w:jc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枣庄市月平均量</w:t>
            </w:r>
          </w:p>
        </w:tc>
        <w:tc>
          <w:tcPr>
            <w:tcW w:w="1779" w:type="dxa"/>
            <w:shd w:val="clear" w:color="auto" w:fill="auto"/>
            <w:noWrap/>
            <w:vAlign w:val="center"/>
          </w:tcPr>
          <w:p>
            <w:pPr>
              <w:widowControl/>
              <w:spacing w:line="240" w:lineRule="auto"/>
              <w:ind w:firstLine="0" w:firstLineChars="0"/>
              <w:jc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高新区总量</w:t>
            </w:r>
          </w:p>
        </w:tc>
        <w:tc>
          <w:tcPr>
            <w:tcW w:w="2107" w:type="dxa"/>
            <w:shd w:val="clear" w:color="auto" w:fill="auto"/>
            <w:noWrap/>
            <w:vAlign w:val="center"/>
          </w:tcPr>
          <w:p>
            <w:pPr>
              <w:widowControl/>
              <w:spacing w:line="240" w:lineRule="auto"/>
              <w:ind w:firstLine="0" w:firstLineChars="0"/>
              <w:jc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高新区月平均量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40" w:type="dxa"/>
            <w:shd w:val="clear" w:color="auto" w:fill="auto"/>
            <w:noWrap/>
            <w:vAlign w:val="center"/>
          </w:tcPr>
          <w:p>
            <w:pPr>
              <w:widowControl/>
              <w:spacing w:line="240" w:lineRule="auto"/>
              <w:ind w:firstLine="0" w:firstLineChars="0"/>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2020</w:t>
            </w:r>
          </w:p>
        </w:tc>
        <w:tc>
          <w:tcPr>
            <w:tcW w:w="2304" w:type="dxa"/>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29083.662</w:t>
            </w:r>
          </w:p>
        </w:tc>
        <w:tc>
          <w:tcPr>
            <w:tcW w:w="1782" w:type="dxa"/>
            <w:shd w:val="clear" w:color="auto" w:fill="auto"/>
            <w:noWrap/>
            <w:vAlign w:val="center"/>
          </w:tcPr>
          <w:p>
            <w:pPr>
              <w:widowControl/>
              <w:spacing w:line="240" w:lineRule="auto"/>
              <w:ind w:firstLine="0" w:firstLineChars="0"/>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2423.6385</w:t>
            </w:r>
          </w:p>
        </w:tc>
        <w:tc>
          <w:tcPr>
            <w:tcW w:w="1779" w:type="dxa"/>
            <w:shd w:val="clear" w:color="auto" w:fill="auto"/>
            <w:noWrap/>
            <w:vAlign w:val="center"/>
          </w:tcPr>
          <w:p>
            <w:pPr>
              <w:widowControl/>
              <w:spacing w:line="240" w:lineRule="auto"/>
              <w:ind w:firstLine="0" w:firstLineChars="0"/>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1684.98</w:t>
            </w:r>
          </w:p>
        </w:tc>
        <w:tc>
          <w:tcPr>
            <w:tcW w:w="2107" w:type="dxa"/>
            <w:shd w:val="clear" w:color="auto" w:fill="auto"/>
            <w:noWrap/>
            <w:vAlign w:val="center"/>
          </w:tcPr>
          <w:p>
            <w:pPr>
              <w:widowControl/>
              <w:spacing w:line="240" w:lineRule="auto"/>
              <w:ind w:firstLine="0" w:firstLineChars="0"/>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140.415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40" w:type="dxa"/>
            <w:shd w:val="clear" w:color="auto" w:fill="auto"/>
            <w:noWrap/>
            <w:vAlign w:val="center"/>
          </w:tcPr>
          <w:p>
            <w:pPr>
              <w:widowControl/>
              <w:spacing w:line="240" w:lineRule="auto"/>
              <w:ind w:firstLine="0" w:firstLineChars="0"/>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2021</w:t>
            </w:r>
          </w:p>
        </w:tc>
        <w:tc>
          <w:tcPr>
            <w:tcW w:w="2304" w:type="dxa"/>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41064.84</w:t>
            </w:r>
          </w:p>
        </w:tc>
        <w:tc>
          <w:tcPr>
            <w:tcW w:w="1782" w:type="dxa"/>
            <w:shd w:val="clear" w:color="auto" w:fill="auto"/>
            <w:noWrap/>
            <w:vAlign w:val="center"/>
          </w:tcPr>
          <w:p>
            <w:pPr>
              <w:widowControl/>
              <w:spacing w:line="240" w:lineRule="auto"/>
              <w:ind w:firstLine="0" w:firstLineChars="0"/>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3422.07</w:t>
            </w:r>
          </w:p>
        </w:tc>
        <w:tc>
          <w:tcPr>
            <w:tcW w:w="1779" w:type="dxa"/>
            <w:shd w:val="clear" w:color="auto" w:fill="auto"/>
            <w:noWrap/>
            <w:vAlign w:val="center"/>
          </w:tcPr>
          <w:p>
            <w:pPr>
              <w:widowControl/>
              <w:spacing w:line="240" w:lineRule="auto"/>
              <w:ind w:firstLine="0" w:firstLineChars="0"/>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2537.37</w:t>
            </w:r>
          </w:p>
        </w:tc>
        <w:tc>
          <w:tcPr>
            <w:tcW w:w="2107" w:type="dxa"/>
            <w:shd w:val="clear" w:color="auto" w:fill="auto"/>
            <w:noWrap/>
            <w:vAlign w:val="center"/>
          </w:tcPr>
          <w:p>
            <w:pPr>
              <w:widowControl/>
              <w:spacing w:line="240" w:lineRule="auto"/>
              <w:ind w:firstLine="0" w:firstLineChars="0"/>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211.4475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040" w:type="dxa"/>
            <w:shd w:val="clear" w:color="auto" w:fill="auto"/>
            <w:noWrap/>
            <w:vAlign w:val="center"/>
          </w:tcPr>
          <w:p>
            <w:pPr>
              <w:widowControl/>
              <w:spacing w:line="240" w:lineRule="auto"/>
              <w:ind w:firstLine="0" w:firstLineChars="0"/>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2022</w:t>
            </w:r>
          </w:p>
        </w:tc>
        <w:tc>
          <w:tcPr>
            <w:tcW w:w="2304" w:type="dxa"/>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xml:space="preserve">36228.38 </w:t>
            </w:r>
          </w:p>
        </w:tc>
        <w:tc>
          <w:tcPr>
            <w:tcW w:w="1782" w:type="dxa"/>
            <w:shd w:val="clear" w:color="auto" w:fill="auto"/>
            <w:noWrap/>
            <w:vAlign w:val="center"/>
          </w:tcPr>
          <w:p>
            <w:pPr>
              <w:widowControl/>
              <w:spacing w:line="240" w:lineRule="auto"/>
              <w:ind w:firstLine="0" w:firstLineChars="0"/>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3019.0315</w:t>
            </w:r>
          </w:p>
        </w:tc>
        <w:tc>
          <w:tcPr>
            <w:tcW w:w="1779" w:type="dxa"/>
            <w:shd w:val="clear" w:color="auto" w:fill="auto"/>
            <w:noWrap/>
            <w:vAlign w:val="center"/>
          </w:tcPr>
          <w:p>
            <w:pPr>
              <w:widowControl/>
              <w:spacing w:line="240" w:lineRule="auto"/>
              <w:ind w:firstLine="0" w:firstLineChars="0"/>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2779.75</w:t>
            </w:r>
          </w:p>
        </w:tc>
        <w:tc>
          <w:tcPr>
            <w:tcW w:w="2107" w:type="dxa"/>
            <w:shd w:val="clear" w:color="auto" w:fill="auto"/>
            <w:noWrap/>
            <w:vAlign w:val="center"/>
          </w:tcPr>
          <w:p>
            <w:pPr>
              <w:widowControl/>
              <w:spacing w:line="240" w:lineRule="auto"/>
              <w:ind w:firstLine="0" w:firstLineChars="0"/>
              <w:jc w:val="righ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231.6458333</w:t>
            </w:r>
          </w:p>
        </w:tc>
      </w:tr>
    </w:tbl>
    <w:p>
      <w:pPr>
        <w:ind w:firstLine="640"/>
      </w:pPr>
      <w:r>
        <w:rPr>
          <w:rFonts w:hint="eastAsia"/>
        </w:rPr>
        <w:t>从表中可以看出2020年枣庄市餐厨废弃物清运总量较低，主要是受疫情影响，2021年之后逐渐恢复正常水平。</w:t>
      </w:r>
    </w:p>
    <w:p>
      <w:pPr>
        <w:pStyle w:val="5"/>
        <w:ind w:firstLine="640"/>
      </w:pPr>
      <w:r>
        <w:rPr>
          <w:rFonts w:hint="eastAsia"/>
        </w:rPr>
        <w:t>2</w:t>
      </w:r>
      <w:r>
        <w:t>.质量指标</w:t>
      </w:r>
    </w:p>
    <w:p>
      <w:pPr>
        <w:ind w:firstLine="640"/>
      </w:pPr>
      <w:r>
        <w:rPr>
          <w:rFonts w:hint="eastAsia"/>
        </w:rPr>
        <w:t>（1）餐厨废弃物收运环节</w:t>
      </w:r>
    </w:p>
    <w:p>
      <w:pPr>
        <w:ind w:firstLine="640"/>
      </w:pPr>
      <w:r>
        <w:rPr>
          <w:rFonts w:hint="eastAsia"/>
        </w:rPr>
        <w:t>餐厨清运工作流程规范。中科安佑公司合理配置了收运车辆，做到了及时收集、密闭运输、整洁作业、规范服务；有效了执行餐厨废弃物收运台账和产生、收运、处置三联单制度。餐厨废弃物清运过程中中科安佑公司为每辆清运车辆配备2-3名工作人员（包含车辆驾驶员），且车辆驾驶员取得法律法规规定的上岗资格。餐厨废弃物从收运到称重建立了全程数字化、信息化系统。</w:t>
      </w:r>
    </w:p>
    <w:p>
      <w:pPr>
        <w:ind w:firstLine="640"/>
      </w:pPr>
      <w:r>
        <w:rPr>
          <w:rFonts w:hint="eastAsia"/>
        </w:rPr>
        <w:t>餐厨清运过程达标。清运过程质量符合《高新区综合行政执法局餐厨垃圾收集、运输、处置监管考核办法》中规定的作业要求：</w:t>
      </w:r>
      <w:r>
        <w:rPr>
          <w:rFonts w:hint="eastAsia"/>
          <w:lang w:val="zh-CN"/>
        </w:rPr>
        <w:t>①</w:t>
      </w:r>
      <w:r>
        <w:rPr>
          <w:rFonts w:hint="eastAsia"/>
        </w:rPr>
        <w:t>垃圾收集点的垃圾应巡回收集，做到垃圾箱不满溢，垃圾收集点周围应清洁、无散落垃圾和污水，即产即清，无积压。收集桶外清洁无污痕，桶内无积存垃圾，周围地面整洁、无污水流溢、收集作业完成后，应清理周边卫生，做到车走地净，餐厨废弃物应直接送到餐厨废弃物处理厂，运输途中不得抛冒滴漏或运送至非法处置单位或个人等行为。</w:t>
      </w:r>
      <w:r>
        <w:rPr>
          <w:rFonts w:hint="eastAsia"/>
          <w:lang w:val="zh-CN"/>
        </w:rPr>
        <w:t>②</w:t>
      </w:r>
      <w:r>
        <w:rPr>
          <w:rFonts w:hint="eastAsia"/>
        </w:rPr>
        <w:t>收集运输车的车容须整洁美观、性能良好、无残缺、破损、无积垢、无吊挂垃圾、环卫标志应清晰。做到定期清洗、喷漆。垃圾收集容器应定位设置，摆放整齐，整洁卫生。</w:t>
      </w:r>
      <w:r>
        <w:rPr>
          <w:rFonts w:hint="eastAsia"/>
          <w:lang w:val="zh-CN"/>
        </w:rPr>
        <w:t>③</w:t>
      </w:r>
      <w:r>
        <w:rPr>
          <w:rFonts w:hint="eastAsia"/>
        </w:rPr>
        <w:t>垃圾装运量应以车辆的额定荷载和有效容积为限，不得超重、超高运输。车辆中转、停放要遵守交通规则，做好安全防护工作。</w:t>
      </w:r>
      <w:r>
        <w:rPr>
          <w:rFonts w:hint="eastAsia"/>
          <w:lang w:val="zh-CN"/>
        </w:rPr>
        <w:t>④</w:t>
      </w:r>
      <w:r>
        <w:rPr>
          <w:rFonts w:hint="eastAsia"/>
        </w:rPr>
        <w:t>运输车辆不得沿途乱倒、乱卸或对质量、数量等进行弄虚作假。</w:t>
      </w:r>
    </w:p>
    <w:p>
      <w:pPr>
        <w:ind w:firstLine="640"/>
      </w:pPr>
      <w:r>
        <w:rPr>
          <w:rFonts w:hint="eastAsia"/>
        </w:rPr>
        <w:t>（2）餐厨废弃物无害化处理环节</w:t>
      </w:r>
    </w:p>
    <w:p>
      <w:pPr>
        <w:ind w:firstLine="640"/>
        <w:rPr>
          <w:color w:val="000000"/>
          <w:szCs w:val="32"/>
        </w:rPr>
      </w:pPr>
      <w:r>
        <w:rPr>
          <w:rFonts w:hint="eastAsia"/>
          <w:color w:val="000000"/>
          <w:szCs w:val="32"/>
        </w:rPr>
        <w:t>中科安佑公司按照进料、储料、输送、预处理、主体处理、后处理等程序，对收运的餐厨废弃物进行处理，经第三方检测机构每季度对餐厨废弃物处理产生的废弃物进行检测，以及各级政府主管部门不定期进行抽检，处理后的餐厨废弃物液相油脂分离收集率大于</w:t>
      </w:r>
      <w:r>
        <w:rPr>
          <w:rFonts w:hint="eastAsia" w:hAnsi="TimesNewRomanPSMT"/>
          <w:color w:val="000000"/>
          <w:szCs w:val="32"/>
        </w:rPr>
        <w:t>5%</w:t>
      </w:r>
      <w:r>
        <w:rPr>
          <w:rFonts w:hint="eastAsia"/>
          <w:color w:val="000000"/>
          <w:szCs w:val="32"/>
        </w:rPr>
        <w:t>，不可降解杂物含量小于</w:t>
      </w:r>
      <w:r>
        <w:rPr>
          <w:rFonts w:hint="eastAsia" w:hAnsi="TimesNewRomanPSMT"/>
          <w:color w:val="000000"/>
          <w:szCs w:val="32"/>
        </w:rPr>
        <w:t>5%</w:t>
      </w:r>
      <w:r>
        <w:rPr>
          <w:rFonts w:hint="eastAsia"/>
          <w:color w:val="000000"/>
          <w:szCs w:val="32"/>
        </w:rPr>
        <w:t>；餐厨废弃物制肥中重金属、蛔虫卵死亡率和大肠杆菌值指标符合《城镇垃圾农用控制标准》（</w:t>
      </w:r>
      <w:r>
        <w:rPr>
          <w:rFonts w:hint="eastAsia" w:hAnsi="TimesNewRomanPSMT"/>
          <w:color w:val="000000"/>
          <w:szCs w:val="32"/>
        </w:rPr>
        <w:t>GB8172</w:t>
      </w:r>
      <w:r>
        <w:rPr>
          <w:rFonts w:hint="eastAsia"/>
          <w:color w:val="000000"/>
          <w:szCs w:val="32"/>
        </w:rPr>
        <w:t>），餐厨废弃物处理符合《餐厨垃圾处理技术规范》（</w:t>
      </w:r>
      <w:r>
        <w:rPr>
          <w:rFonts w:hint="eastAsia" w:hAnsi="TimesNewRomanPSMT"/>
          <w:color w:val="000000"/>
          <w:szCs w:val="32"/>
        </w:rPr>
        <w:t>CJJ184-2012</w:t>
      </w:r>
      <w:r>
        <w:rPr>
          <w:rFonts w:hint="eastAsia"/>
          <w:color w:val="000000"/>
          <w:szCs w:val="32"/>
        </w:rPr>
        <w:t>）要求。餐厨废弃物经过无害化处理后的大渣运送至枣庄中科环保电力有限公司</w:t>
      </w:r>
      <w:r>
        <w:rPr>
          <w:rFonts w:hint="eastAsia"/>
          <w:color w:val="000000"/>
          <w:szCs w:val="32"/>
          <w:lang w:eastAsia="zh-CN"/>
        </w:rPr>
        <w:t>用作发电</w:t>
      </w:r>
      <w:r>
        <w:rPr>
          <w:rFonts w:hint="eastAsia"/>
          <w:color w:val="000000"/>
          <w:szCs w:val="32"/>
        </w:rPr>
        <w:t>原料，小渣运送至各昆虫饲养企业作为昆虫养料。</w:t>
      </w:r>
    </w:p>
    <w:p>
      <w:pPr>
        <w:pStyle w:val="5"/>
        <w:ind w:firstLine="640"/>
      </w:pPr>
      <w:r>
        <w:rPr>
          <w:rFonts w:hint="eastAsia"/>
        </w:rPr>
        <w:t>3</w:t>
      </w:r>
      <w:r>
        <w:t>.时效指标</w:t>
      </w:r>
    </w:p>
    <w:p>
      <w:pPr>
        <w:ind w:firstLine="640"/>
      </w:pPr>
      <w:r>
        <w:rPr>
          <w:rFonts w:hint="eastAsia"/>
        </w:rPr>
        <w:t>（1）餐厨废弃物收运及时率</w:t>
      </w:r>
    </w:p>
    <w:p>
      <w:pPr>
        <w:ind w:firstLine="640"/>
        <w:rPr>
          <w:color w:val="000000"/>
          <w:szCs w:val="32"/>
        </w:rPr>
      </w:pPr>
      <w:r>
        <w:rPr>
          <w:rFonts w:hint="eastAsia"/>
        </w:rPr>
        <w:t>该项目自运营开始至2021年9月餐厨废弃物收运采用外包形式。2021年之后中科安佑为降低收运成本，公司内部成立收运部，购置车厢可卸式垃圾车1台、餐厨垃圾车6台、三水车1台，并聘请专门的清运人员、驾驶人员25余名。为客观、准确</w:t>
      </w:r>
      <w:r>
        <w:rPr>
          <w:rFonts w:hint="eastAsia"/>
          <w:lang w:eastAsia="zh-CN"/>
        </w:rPr>
        <w:t>地</w:t>
      </w:r>
      <w:r>
        <w:rPr>
          <w:rFonts w:hint="eastAsia"/>
        </w:rPr>
        <w:t>评价餐厨废弃物收运的时效情况，工作组对高新区各签约单位进行了电话回访，并对收运点进行了实地走访。自项目运营以来，各签约单位的餐厨废弃物能够得到及时清运，清运站废弃物收集容器没有出现满溢外流的情况。</w:t>
      </w:r>
    </w:p>
    <w:p>
      <w:pPr>
        <w:ind w:firstLine="640"/>
      </w:pPr>
      <w:r>
        <w:rPr>
          <w:rFonts w:hint="eastAsia"/>
        </w:rPr>
        <w:t>（2）餐厨废弃物处理及时率</w:t>
      </w:r>
    </w:p>
    <w:p>
      <w:pPr>
        <w:ind w:firstLine="640"/>
      </w:pPr>
      <w:r>
        <w:rPr>
          <w:rFonts w:hint="eastAsia"/>
        </w:rPr>
        <w:t>自项目运营以来，中科安佑公司按照《特许经营权协议》及《高新区综合行政执法局餐厨垃圾收集、运输、处置监管考核办法》的要求，</w:t>
      </w:r>
      <w:r>
        <w:rPr>
          <w:rFonts w:hint="eastAsia"/>
          <w:color w:val="000000"/>
          <w:szCs w:val="32"/>
        </w:rPr>
        <w:t>每日按时开展餐厨废弃物收运处理工作，</w:t>
      </w:r>
      <w:r>
        <w:rPr>
          <w:rFonts w:hint="eastAsia"/>
        </w:rPr>
        <w:t>餐厨废弃物清运车辆完成当天装载后将餐厨废弃物直接运至废弃物处理车间，车间工作人员实行三班倒的轮班制，确保了餐厨废弃物当天收运当天处理。自项目运营以来未发生废弃物积压、外泄的事件。</w:t>
      </w:r>
    </w:p>
    <w:p>
      <w:pPr>
        <w:pStyle w:val="4"/>
        <w:ind w:firstLine="640"/>
      </w:pPr>
      <w:bookmarkStart w:id="26" w:name="_Toc137554201"/>
      <w:r>
        <w:t>（二）效益指标分析</w:t>
      </w:r>
      <w:bookmarkEnd w:id="26"/>
    </w:p>
    <w:p>
      <w:pPr>
        <w:ind w:firstLine="640"/>
      </w:pPr>
      <w:r>
        <w:rPr>
          <w:rFonts w:hint="eastAsia"/>
        </w:rPr>
        <w:t>根据成本绩效分析相关政策和文件以及特许权合同要求，我们从经济效益、社会效益、生态效益、可持续影响和满意度等五个方面设置了项目效益目标值。具体指标设置见表4-3.</w:t>
      </w:r>
    </w:p>
    <w:p>
      <w:pPr>
        <w:ind w:firstLine="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表4-3 效益指标分析表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2088"/>
        <w:gridCol w:w="2533"/>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30"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kern w:val="0"/>
                <w:sz w:val="20"/>
                <w:szCs w:val="20"/>
                <w:lang w:bidi="ar"/>
              </w:rPr>
            </w:pPr>
            <w:r>
              <w:rPr>
                <w:rFonts w:hint="eastAsia" w:cs="仿宋" w:asciiTheme="minorEastAsia" w:hAnsiTheme="minorEastAsia" w:eastAsiaTheme="minorEastAsia"/>
                <w:b/>
                <w:bCs/>
                <w:color w:val="000000"/>
                <w:kern w:val="0"/>
                <w:sz w:val="20"/>
                <w:szCs w:val="20"/>
                <w:lang w:bidi="ar"/>
              </w:rPr>
              <w:t>一级指标</w:t>
            </w:r>
          </w:p>
        </w:tc>
        <w:tc>
          <w:tcPr>
            <w:tcW w:w="1226"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kern w:val="0"/>
                <w:sz w:val="20"/>
                <w:szCs w:val="20"/>
                <w:lang w:bidi="ar"/>
              </w:rPr>
            </w:pPr>
            <w:r>
              <w:rPr>
                <w:rFonts w:hint="eastAsia" w:cs="仿宋" w:asciiTheme="minorEastAsia" w:hAnsiTheme="minorEastAsia" w:eastAsiaTheme="minorEastAsia"/>
                <w:b/>
                <w:bCs/>
                <w:color w:val="000000"/>
                <w:kern w:val="0"/>
                <w:sz w:val="20"/>
                <w:szCs w:val="20"/>
                <w:lang w:bidi="ar"/>
              </w:rPr>
              <w:t>二级指标</w:t>
            </w:r>
          </w:p>
        </w:tc>
        <w:tc>
          <w:tcPr>
            <w:tcW w:w="1487"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kern w:val="0"/>
                <w:sz w:val="20"/>
                <w:szCs w:val="20"/>
                <w:lang w:bidi="ar"/>
              </w:rPr>
            </w:pPr>
            <w:r>
              <w:rPr>
                <w:rFonts w:hint="eastAsia" w:cs="仿宋" w:asciiTheme="minorEastAsia" w:hAnsiTheme="minorEastAsia" w:eastAsiaTheme="minorEastAsia"/>
                <w:b/>
                <w:bCs/>
                <w:color w:val="000000"/>
                <w:kern w:val="0"/>
                <w:sz w:val="20"/>
                <w:szCs w:val="20"/>
                <w:lang w:bidi="ar"/>
              </w:rPr>
              <w:t>三级指标</w:t>
            </w:r>
          </w:p>
        </w:tc>
        <w:tc>
          <w:tcPr>
            <w:tcW w:w="1255"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
                <w:bCs/>
                <w:color w:val="000000"/>
                <w:kern w:val="0"/>
                <w:sz w:val="20"/>
                <w:szCs w:val="20"/>
                <w:lang w:bidi="ar"/>
              </w:rPr>
            </w:pPr>
            <w:r>
              <w:rPr>
                <w:rFonts w:hint="eastAsia" w:cs="仿宋" w:asciiTheme="minorEastAsia" w:hAnsiTheme="minorEastAsia" w:eastAsiaTheme="minorEastAsia"/>
                <w:b/>
                <w:bCs/>
                <w:color w:val="000000"/>
                <w:kern w:val="0"/>
                <w:sz w:val="20"/>
                <w:szCs w:val="20"/>
                <w:lang w:bidi="ar"/>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30" w:type="pct"/>
            <w:vMerge w:val="restar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效益</w:t>
            </w:r>
          </w:p>
        </w:tc>
        <w:tc>
          <w:tcPr>
            <w:tcW w:w="1226"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经济效益</w:t>
            </w:r>
          </w:p>
        </w:tc>
        <w:tc>
          <w:tcPr>
            <w:tcW w:w="1487"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项目经济效益</w:t>
            </w:r>
          </w:p>
        </w:tc>
        <w:tc>
          <w:tcPr>
            <w:tcW w:w="1255"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30" w:type="pct"/>
            <w:vMerge w:val="continue"/>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p>
        </w:tc>
        <w:tc>
          <w:tcPr>
            <w:tcW w:w="1226"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社会效益</w:t>
            </w:r>
          </w:p>
        </w:tc>
        <w:tc>
          <w:tcPr>
            <w:tcW w:w="1487"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餐厨废弃物无公害处理</w:t>
            </w:r>
          </w:p>
        </w:tc>
        <w:tc>
          <w:tcPr>
            <w:tcW w:w="1255"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有效处理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30" w:type="pct"/>
            <w:vMerge w:val="continue"/>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p>
        </w:tc>
        <w:tc>
          <w:tcPr>
            <w:tcW w:w="1226"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生态效益</w:t>
            </w:r>
          </w:p>
        </w:tc>
        <w:tc>
          <w:tcPr>
            <w:tcW w:w="1487"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环境保护</w:t>
            </w:r>
          </w:p>
        </w:tc>
        <w:tc>
          <w:tcPr>
            <w:tcW w:w="1255"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有效保护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30" w:type="pct"/>
            <w:vMerge w:val="continue"/>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p>
        </w:tc>
        <w:tc>
          <w:tcPr>
            <w:tcW w:w="1226"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可持续影响</w:t>
            </w:r>
          </w:p>
        </w:tc>
        <w:tc>
          <w:tcPr>
            <w:tcW w:w="1487"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可持续运营</w:t>
            </w:r>
          </w:p>
        </w:tc>
        <w:tc>
          <w:tcPr>
            <w:tcW w:w="1255"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永久有效或30年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30" w:type="pct"/>
            <w:vMerge w:val="continue"/>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p>
        </w:tc>
        <w:tc>
          <w:tcPr>
            <w:tcW w:w="1226"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服务对象满意度</w:t>
            </w:r>
          </w:p>
        </w:tc>
        <w:tc>
          <w:tcPr>
            <w:tcW w:w="1487"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仿宋" w:asciiTheme="minorEastAsia" w:hAnsiTheme="minorEastAsia" w:eastAsiaTheme="minorEastAsia"/>
                <w:bCs/>
                <w:color w:val="000000"/>
                <w:kern w:val="0"/>
                <w:sz w:val="20"/>
                <w:szCs w:val="20"/>
                <w:lang w:bidi="ar"/>
              </w:rPr>
              <w:t>群众满意度</w:t>
            </w:r>
          </w:p>
        </w:tc>
        <w:tc>
          <w:tcPr>
            <w:tcW w:w="1255" w:type="pct"/>
            <w:shd w:val="clear" w:color="auto" w:fill="FFFFFF"/>
            <w:vAlign w:val="center"/>
          </w:tcPr>
          <w:p>
            <w:pPr>
              <w:widowControl/>
              <w:spacing w:line="240" w:lineRule="auto"/>
              <w:ind w:firstLine="0" w:firstLineChars="0"/>
              <w:jc w:val="center"/>
              <w:textAlignment w:val="center"/>
              <w:rPr>
                <w:rFonts w:cs="仿宋" w:asciiTheme="minorEastAsia" w:hAnsiTheme="minorEastAsia" w:eastAsiaTheme="minorEastAsia"/>
                <w:bCs/>
                <w:color w:val="000000"/>
                <w:kern w:val="0"/>
                <w:sz w:val="20"/>
                <w:szCs w:val="20"/>
                <w:lang w:bidi="ar"/>
              </w:rPr>
            </w:pPr>
            <w:r>
              <w:rPr>
                <w:rFonts w:hint="eastAsia" w:cs="微软雅黑" w:asciiTheme="minorEastAsia" w:hAnsiTheme="minorEastAsia" w:eastAsiaTheme="minorEastAsia"/>
                <w:bCs/>
                <w:color w:val="000000"/>
                <w:kern w:val="0"/>
                <w:sz w:val="20"/>
                <w:szCs w:val="20"/>
                <w:lang w:bidi="ar"/>
              </w:rPr>
              <w:t>≧</w:t>
            </w:r>
            <w:r>
              <w:rPr>
                <w:rFonts w:hint="eastAsia" w:cs="仿宋" w:asciiTheme="minorEastAsia" w:hAnsiTheme="minorEastAsia" w:eastAsiaTheme="minorEastAsia"/>
                <w:bCs/>
                <w:color w:val="000000"/>
                <w:kern w:val="0"/>
                <w:sz w:val="20"/>
                <w:szCs w:val="20"/>
                <w:lang w:bidi="ar"/>
              </w:rPr>
              <w:t>90%</w:t>
            </w:r>
          </w:p>
        </w:tc>
      </w:tr>
    </w:tbl>
    <w:p>
      <w:pPr>
        <w:pStyle w:val="5"/>
        <w:ind w:firstLine="640"/>
      </w:pPr>
      <w:r>
        <w:rPr>
          <w:rFonts w:hint="eastAsia"/>
        </w:rPr>
        <w:t>1</w:t>
      </w:r>
      <w:r>
        <w:t>.</w:t>
      </w:r>
      <w:r>
        <w:rPr>
          <w:rFonts w:hint="eastAsia"/>
        </w:rPr>
        <w:t>经济效益</w:t>
      </w:r>
    </w:p>
    <w:p>
      <w:pPr>
        <w:ind w:firstLine="640"/>
      </w:pPr>
      <w:r>
        <w:rPr>
          <w:rFonts w:hint="eastAsia"/>
        </w:rPr>
        <w:t>该项目属于枣庄市政府与中科安佑公司合作的以BOT模式运行的PPP项目，该项目的主要收益来源于政府餐厨废弃物清运补贴，除此之外项目运营过程中通过废弃物处理工艺可以产生粗油脂获得收益（油脂收入），污水处理设备除了处理自身产生的废水外还能够获得外部废水处理的收益（渗滤液处理收入）。其中渗滤液处理收入主要来源于新城区及峄城区，枣庄市高新区2020年实际餐厨废弃物数量小于保底任务分配量，隔年清运处理补贴按照保底量支付，每年483840元。2020年至2022年收入情况如下表4-4所示。</w:t>
      </w:r>
    </w:p>
    <w:p>
      <w:pPr>
        <w:ind w:firstLine="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表4-4  2020-2022年中科安佑公司收入情况</w:t>
      </w:r>
    </w:p>
    <w:tbl>
      <w:tblPr>
        <w:tblStyle w:val="14"/>
        <w:tblW w:w="5000" w:type="pct"/>
        <w:tblInd w:w="0" w:type="dxa"/>
        <w:tblLayout w:type="autofit"/>
        <w:tblCellMar>
          <w:top w:w="0" w:type="dxa"/>
          <w:left w:w="108" w:type="dxa"/>
          <w:bottom w:w="0" w:type="dxa"/>
          <w:right w:w="108" w:type="dxa"/>
        </w:tblCellMar>
      </w:tblPr>
      <w:tblGrid>
        <w:gridCol w:w="2446"/>
        <w:gridCol w:w="1964"/>
        <w:gridCol w:w="1978"/>
        <w:gridCol w:w="2129"/>
      </w:tblGrid>
      <w:tr>
        <w:tblPrEx>
          <w:tblCellMar>
            <w:top w:w="0" w:type="dxa"/>
            <w:left w:w="108" w:type="dxa"/>
            <w:bottom w:w="0" w:type="dxa"/>
            <w:right w:w="108" w:type="dxa"/>
          </w:tblCellMar>
        </w:tblPrEx>
        <w:trPr>
          <w:trHeight w:val="248" w:hRule="atLeast"/>
        </w:trPr>
        <w:tc>
          <w:tcPr>
            <w:tcW w:w="14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p>
        </w:tc>
        <w:tc>
          <w:tcPr>
            <w:tcW w:w="115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2020年</w:t>
            </w:r>
          </w:p>
        </w:tc>
        <w:tc>
          <w:tcPr>
            <w:tcW w:w="116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2021年</w:t>
            </w:r>
          </w:p>
        </w:tc>
        <w:tc>
          <w:tcPr>
            <w:tcW w:w="125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2022年</w:t>
            </w:r>
          </w:p>
        </w:tc>
      </w:tr>
      <w:tr>
        <w:tblPrEx>
          <w:tblCellMar>
            <w:top w:w="0" w:type="dxa"/>
            <w:left w:w="108" w:type="dxa"/>
            <w:bottom w:w="0" w:type="dxa"/>
            <w:right w:w="108" w:type="dxa"/>
          </w:tblCellMar>
        </w:tblPrEx>
        <w:trPr>
          <w:trHeight w:val="419" w:hRule="atLeast"/>
        </w:trPr>
        <w:tc>
          <w:tcPr>
            <w:tcW w:w="143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餐厨垃圾处理量（吨）</w:t>
            </w:r>
          </w:p>
        </w:tc>
        <w:tc>
          <w:tcPr>
            <w:tcW w:w="11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29083.662</w:t>
            </w:r>
          </w:p>
        </w:tc>
        <w:tc>
          <w:tcPr>
            <w:tcW w:w="11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41064.84</w:t>
            </w:r>
          </w:p>
        </w:tc>
        <w:tc>
          <w:tcPr>
            <w:tcW w:w="125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36228.38 </w:t>
            </w:r>
          </w:p>
        </w:tc>
      </w:tr>
      <w:tr>
        <w:tblPrEx>
          <w:tblCellMar>
            <w:top w:w="0" w:type="dxa"/>
            <w:left w:w="108" w:type="dxa"/>
            <w:bottom w:w="0" w:type="dxa"/>
            <w:right w:w="108" w:type="dxa"/>
          </w:tblCellMar>
        </w:tblPrEx>
        <w:trPr>
          <w:trHeight w:val="419" w:hRule="atLeast"/>
        </w:trPr>
        <w:tc>
          <w:tcPr>
            <w:tcW w:w="143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处理垃圾收入（元）</w:t>
            </w:r>
          </w:p>
        </w:tc>
        <w:tc>
          <w:tcPr>
            <w:tcW w:w="11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4,047,194.00</w:t>
            </w:r>
          </w:p>
        </w:tc>
        <w:tc>
          <w:tcPr>
            <w:tcW w:w="11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5,807,766.46</w:t>
            </w:r>
          </w:p>
        </w:tc>
        <w:tc>
          <w:tcPr>
            <w:tcW w:w="125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5,478,726.15</w:t>
            </w:r>
          </w:p>
        </w:tc>
      </w:tr>
      <w:tr>
        <w:tblPrEx>
          <w:tblCellMar>
            <w:top w:w="0" w:type="dxa"/>
            <w:left w:w="108" w:type="dxa"/>
            <w:bottom w:w="0" w:type="dxa"/>
            <w:right w:w="108" w:type="dxa"/>
          </w:tblCellMar>
        </w:tblPrEx>
        <w:trPr>
          <w:trHeight w:val="419" w:hRule="atLeast"/>
        </w:trPr>
        <w:tc>
          <w:tcPr>
            <w:tcW w:w="143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油脂销售量（吨）</w:t>
            </w:r>
          </w:p>
        </w:tc>
        <w:tc>
          <w:tcPr>
            <w:tcW w:w="11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370.79</w:t>
            </w:r>
          </w:p>
        </w:tc>
        <w:tc>
          <w:tcPr>
            <w:tcW w:w="11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752.26</w:t>
            </w:r>
          </w:p>
        </w:tc>
        <w:tc>
          <w:tcPr>
            <w:tcW w:w="125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1189.62 </w:t>
            </w:r>
          </w:p>
        </w:tc>
      </w:tr>
      <w:tr>
        <w:tblPrEx>
          <w:tblCellMar>
            <w:top w:w="0" w:type="dxa"/>
            <w:left w:w="108" w:type="dxa"/>
            <w:bottom w:w="0" w:type="dxa"/>
            <w:right w:w="108" w:type="dxa"/>
          </w:tblCellMar>
        </w:tblPrEx>
        <w:trPr>
          <w:trHeight w:val="419" w:hRule="atLeast"/>
        </w:trPr>
        <w:tc>
          <w:tcPr>
            <w:tcW w:w="143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油脂收入（元）</w:t>
            </w:r>
          </w:p>
        </w:tc>
        <w:tc>
          <w:tcPr>
            <w:tcW w:w="11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1,585,748.40</w:t>
            </w:r>
          </w:p>
        </w:tc>
        <w:tc>
          <w:tcPr>
            <w:tcW w:w="11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4,933,614.70</w:t>
            </w:r>
          </w:p>
        </w:tc>
        <w:tc>
          <w:tcPr>
            <w:tcW w:w="125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9,168,728.80</w:t>
            </w:r>
          </w:p>
        </w:tc>
      </w:tr>
      <w:tr>
        <w:tblPrEx>
          <w:tblCellMar>
            <w:top w:w="0" w:type="dxa"/>
            <w:left w:w="108" w:type="dxa"/>
            <w:bottom w:w="0" w:type="dxa"/>
            <w:right w:w="108" w:type="dxa"/>
          </w:tblCellMar>
        </w:tblPrEx>
        <w:trPr>
          <w:trHeight w:val="419" w:hRule="atLeast"/>
        </w:trPr>
        <w:tc>
          <w:tcPr>
            <w:tcW w:w="143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污水处理(吨)</w:t>
            </w:r>
          </w:p>
        </w:tc>
        <w:tc>
          <w:tcPr>
            <w:tcW w:w="11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w:t>
            </w:r>
          </w:p>
        </w:tc>
        <w:tc>
          <w:tcPr>
            <w:tcW w:w="11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6132.25</w:t>
            </w:r>
          </w:p>
        </w:tc>
        <w:tc>
          <w:tcPr>
            <w:tcW w:w="125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8559.80 </w:t>
            </w:r>
          </w:p>
        </w:tc>
      </w:tr>
      <w:tr>
        <w:tblPrEx>
          <w:tblCellMar>
            <w:top w:w="0" w:type="dxa"/>
            <w:left w:w="108" w:type="dxa"/>
            <w:bottom w:w="0" w:type="dxa"/>
            <w:right w:w="108" w:type="dxa"/>
          </w:tblCellMar>
        </w:tblPrEx>
        <w:trPr>
          <w:trHeight w:val="419" w:hRule="atLeast"/>
        </w:trPr>
        <w:tc>
          <w:tcPr>
            <w:tcW w:w="143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污水处理收入(元)</w:t>
            </w:r>
          </w:p>
        </w:tc>
        <w:tc>
          <w:tcPr>
            <w:tcW w:w="11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0.00</w:t>
            </w:r>
          </w:p>
        </w:tc>
        <w:tc>
          <w:tcPr>
            <w:tcW w:w="11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762,320.79</w:t>
            </w:r>
          </w:p>
        </w:tc>
        <w:tc>
          <w:tcPr>
            <w:tcW w:w="125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1,174,961.69</w:t>
            </w:r>
          </w:p>
        </w:tc>
      </w:tr>
      <w:tr>
        <w:tblPrEx>
          <w:tblCellMar>
            <w:top w:w="0" w:type="dxa"/>
            <w:left w:w="108" w:type="dxa"/>
            <w:bottom w:w="0" w:type="dxa"/>
            <w:right w:w="108" w:type="dxa"/>
          </w:tblCellMar>
        </w:tblPrEx>
        <w:trPr>
          <w:trHeight w:val="419" w:hRule="atLeast"/>
        </w:trPr>
        <w:tc>
          <w:tcPr>
            <w:tcW w:w="1436"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收入合计</w:t>
            </w:r>
          </w:p>
        </w:tc>
        <w:tc>
          <w:tcPr>
            <w:tcW w:w="115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5,632,942.40</w:t>
            </w:r>
          </w:p>
        </w:tc>
        <w:tc>
          <w:tcPr>
            <w:tcW w:w="11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11,503,701.95</w:t>
            </w:r>
          </w:p>
        </w:tc>
        <w:tc>
          <w:tcPr>
            <w:tcW w:w="1250"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15,822,416.64</w:t>
            </w:r>
          </w:p>
        </w:tc>
      </w:tr>
    </w:tbl>
    <w:p>
      <w:pPr>
        <w:ind w:firstLine="640"/>
      </w:pPr>
      <w:r>
        <w:rPr>
          <w:rFonts w:hint="eastAsia"/>
        </w:rPr>
        <w:t>2019年底疫情开始后，油脂单价持续走高导致2020年之后油脂收入出现较大幅度增长，预计2023年油脂收益会因为价格回落而有所降低。滤液处理设备为2021年开始投入使用，废水处理单价相对稳定，预计2023年之后在不改变废水处理能力的前提下不会出现较大波动。</w:t>
      </w:r>
    </w:p>
    <w:p>
      <w:pPr>
        <w:pStyle w:val="5"/>
        <w:ind w:firstLine="640"/>
      </w:pPr>
      <w:r>
        <w:rPr>
          <w:rFonts w:hint="eastAsia"/>
        </w:rPr>
        <w:t>2</w:t>
      </w:r>
      <w:r>
        <w:t>.</w:t>
      </w:r>
      <w:r>
        <w:rPr>
          <w:rFonts w:hint="eastAsia"/>
        </w:rPr>
        <w:t>社会效益</w:t>
      </w:r>
    </w:p>
    <w:p>
      <w:pPr>
        <w:ind w:firstLine="640"/>
        <w:rPr>
          <w:rFonts w:hAnsi="宋体"/>
          <w:color w:val="666666"/>
          <w:sz w:val="24"/>
        </w:rPr>
      </w:pPr>
      <w:r>
        <w:rPr>
          <w:rFonts w:hint="eastAsia"/>
        </w:rPr>
        <w:t>餐厨废弃物清运项目能够有效促进餐厨废弃物无害化处理和资源化利用。</w:t>
      </w:r>
      <w:r>
        <w:rPr>
          <w:rFonts w:hint="eastAsia"/>
          <w:shd w:val="clear" w:color="auto" w:fill="FFFFFF"/>
        </w:rPr>
        <w:t>杜绝了用餐厨垃圾喂猪、喂禽畜的源头，杜绝了用泔水喂的“垃圾猪、垃圾禽畜”流落到人们的餐桌上，同时，杜绝了地沟油的回用，保障了人们吃</w:t>
      </w:r>
      <w:r>
        <w:rPr>
          <w:rFonts w:hint="eastAsia"/>
          <w:shd w:val="clear" w:color="auto" w:fill="FFFFFF"/>
          <w:lang w:eastAsia="zh-CN"/>
        </w:rPr>
        <w:t>得</w:t>
      </w:r>
      <w:r>
        <w:rPr>
          <w:rFonts w:hint="eastAsia"/>
          <w:shd w:val="clear" w:color="auto" w:fill="FFFFFF"/>
        </w:rPr>
        <w:t>卫生、绿色，有益于人们的身体健康;优化了环卫部门对餐厨垃圾的管理，</w:t>
      </w:r>
      <w:r>
        <w:rPr>
          <w:rFonts w:hint="eastAsia"/>
          <w:shd w:val="clear" w:color="auto" w:fill="FFFFFF"/>
          <w:lang w:eastAsia="zh-CN"/>
        </w:rPr>
        <w:t>增强</w:t>
      </w:r>
      <w:r>
        <w:rPr>
          <w:rFonts w:hint="eastAsia"/>
          <w:shd w:val="clear" w:color="auto" w:fill="FFFFFF"/>
        </w:rPr>
        <w:t>了人们的环境保护意识。该项目将餐厨废弃物有效的转化为可</w:t>
      </w:r>
      <w:r>
        <w:rPr>
          <w:rFonts w:hint="eastAsia"/>
          <w:shd w:val="clear" w:color="auto" w:fill="FFFFFF"/>
          <w:lang w:eastAsia="zh-CN"/>
        </w:rPr>
        <w:t>再</w:t>
      </w:r>
      <w:r>
        <w:rPr>
          <w:rFonts w:hint="eastAsia"/>
          <w:shd w:val="clear" w:color="auto" w:fill="FFFFFF"/>
        </w:rPr>
        <w:t>使用的粗油脂，残渣用于发电及昆虫饲养，起到很好的社会效益。</w:t>
      </w:r>
    </w:p>
    <w:p>
      <w:pPr>
        <w:pStyle w:val="5"/>
        <w:ind w:firstLine="640"/>
      </w:pPr>
      <w:r>
        <w:rPr>
          <w:rFonts w:hint="eastAsia"/>
        </w:rPr>
        <w:t>3</w:t>
      </w:r>
      <w:r>
        <w:t>.生态效益</w:t>
      </w:r>
    </w:p>
    <w:p>
      <w:pPr>
        <w:ind w:firstLine="640"/>
      </w:pPr>
      <w:r>
        <w:rPr>
          <w:rFonts w:hint="eastAsia"/>
        </w:rPr>
        <w:t>该项目运营以来，有效</w:t>
      </w:r>
      <w:r>
        <w:rPr>
          <w:rFonts w:hint="eastAsia"/>
          <w:shd w:val="clear" w:color="auto" w:fill="FFFFFF"/>
        </w:rPr>
        <w:t>消除了餐厨垃圾产生单位对周边环境的污染，尤其在居住环境区域对生活环境的影响；消除了餐厨垃圾在收运过程中产生跑、冒、滴漏及异味等对环境造成的污染，尤其在夏天臭味对人们生活带来的影响；该项目</w:t>
      </w:r>
      <w:r>
        <w:rPr>
          <w:rFonts w:hint="eastAsia"/>
          <w:color w:val="000000"/>
          <w:szCs w:val="32"/>
        </w:rPr>
        <w:t>将餐饮单位及居民餐厨废弃物集中收集处理，解决了餐厨废弃物对环境的污染和破坏，改善了全市人民工作和生活的环境质量。</w:t>
      </w:r>
    </w:p>
    <w:p>
      <w:pPr>
        <w:pStyle w:val="5"/>
        <w:ind w:firstLine="640"/>
      </w:pPr>
      <w:r>
        <w:rPr>
          <w:rFonts w:hint="eastAsia"/>
        </w:rPr>
        <w:t>4</w:t>
      </w:r>
      <w:r>
        <w:t>.可持续影响</w:t>
      </w:r>
    </w:p>
    <w:p>
      <w:pPr>
        <w:ind w:firstLine="640"/>
        <w:rPr>
          <w:color w:val="000000"/>
          <w:szCs w:val="32"/>
        </w:rPr>
      </w:pPr>
      <w:r>
        <w:rPr>
          <w:rFonts w:hint="eastAsia"/>
        </w:rPr>
        <w:t>为保障项目的可持续运营，枣庄市政府出台制定了《枣庄市餐厨废弃物管理办法》，枣庄市高新区综合执法局制定了《餐厨垃圾收集、运输、处置监管考核办法》建立了权责明确的工作机制，同时构建了</w:t>
      </w:r>
      <w:r>
        <w:rPr>
          <w:rFonts w:hint="eastAsia"/>
          <w:color w:val="000000"/>
          <w:szCs w:val="32"/>
        </w:rPr>
        <w:t>餐厨废弃物常态化监管机制，有重点有计划的对餐厨废弃物清运及处理公司进行定期抽查，为餐厨废弃物的清运处理质量提供了长效的保障机制。</w:t>
      </w:r>
    </w:p>
    <w:p>
      <w:pPr>
        <w:ind w:firstLine="640"/>
      </w:pPr>
      <w:r>
        <w:rPr>
          <w:rFonts w:hint="eastAsia"/>
          <w:color w:val="000000"/>
          <w:szCs w:val="32"/>
        </w:rPr>
        <w:t>此外，根据</w:t>
      </w:r>
      <w:r>
        <w:rPr>
          <w:rFonts w:hint="eastAsia"/>
        </w:rPr>
        <w:t>《特许经营权协议》中科安佑公司经营期限为30年，到期后需在保证项目设施在正常运转的前提下移交枣庄市政府管理，保证了项目的可持续运营。</w:t>
      </w:r>
    </w:p>
    <w:p>
      <w:pPr>
        <w:pStyle w:val="5"/>
        <w:ind w:firstLine="640"/>
      </w:pPr>
      <w:r>
        <w:rPr>
          <w:rFonts w:hint="eastAsia"/>
        </w:rPr>
        <w:t>5</w:t>
      </w:r>
      <w:r>
        <w:t>.服务对象满意度</w:t>
      </w:r>
    </w:p>
    <w:p>
      <w:pPr>
        <w:ind w:firstLine="640"/>
        <w:rPr>
          <w:rFonts w:hAnsi="仿宋" w:cs="仿宋"/>
          <w:color w:val="000000"/>
          <w:szCs w:val="32"/>
        </w:rPr>
      </w:pPr>
      <w:r>
        <w:rPr>
          <w:rFonts w:hint="eastAsia" w:hAnsi="仿宋" w:cs="仿宋"/>
          <w:color w:val="000000"/>
          <w:szCs w:val="32"/>
        </w:rPr>
        <w:t>经电话访谈，相关签约单位对中科安佑公司的餐厨废弃物收运工作较为满意。废弃物收集点周边群众对项目的实施效果满意度较高。</w:t>
      </w:r>
    </w:p>
    <w:p>
      <w:pPr>
        <w:pStyle w:val="4"/>
        <w:ind w:firstLine="640"/>
      </w:pPr>
      <w:bookmarkStart w:id="27" w:name="_Toc137554202"/>
      <w:r>
        <w:t>（三）成本测算分析</w:t>
      </w:r>
      <w:bookmarkEnd w:id="27"/>
    </w:p>
    <w:p>
      <w:pPr>
        <w:pStyle w:val="5"/>
        <w:ind w:firstLine="640"/>
      </w:pPr>
      <w:r>
        <w:rPr>
          <w:rFonts w:hint="eastAsia"/>
        </w:rPr>
        <w:t>1</w:t>
      </w:r>
      <w:r>
        <w:t>.历史成本分析</w:t>
      </w:r>
    </w:p>
    <w:p>
      <w:pPr>
        <w:ind w:firstLine="640"/>
      </w:pPr>
      <w:r>
        <w:rPr>
          <w:rFonts w:hint="eastAsia"/>
        </w:rPr>
        <w:t>因为项目2017年试运营到2019年底未进入到正常运转阶段，因此评价小组选取2020年1月1日-2022年12月31日的数据作为样本数据进行成本分析。根据中科安佑公司的相关财务资料，近三年的成本数据如下表4-5所示：</w:t>
      </w:r>
    </w:p>
    <w:p>
      <w:pPr>
        <w:ind w:firstLine="640"/>
        <w:jc w:val="right"/>
        <w:rPr>
          <w:rFonts w:asciiTheme="minorEastAsia" w:hAnsiTheme="minorEastAsia" w:eastAsiaTheme="minorEastAsia"/>
        </w:rPr>
      </w:pPr>
      <w:r>
        <w:rPr>
          <w:rFonts w:hint="eastAsia" w:asciiTheme="minorEastAsia" w:hAnsiTheme="minorEastAsia" w:eastAsiaTheme="minorEastAsia"/>
        </w:rPr>
        <w:t xml:space="preserve">表4-5 餐厨清运处理历史成本分析表   </w:t>
      </w:r>
      <w:r>
        <w:rPr>
          <w:rFonts w:hint="eastAsia" w:asciiTheme="minorEastAsia" w:hAnsiTheme="minorEastAsia" w:eastAsiaTheme="minorEastAsia"/>
          <w:sz w:val="21"/>
          <w:szCs w:val="21"/>
        </w:rPr>
        <w:t>单位：元</w:t>
      </w:r>
    </w:p>
    <w:tbl>
      <w:tblPr>
        <w:tblStyle w:val="14"/>
        <w:tblW w:w="4998" w:type="pct"/>
        <w:jc w:val="center"/>
        <w:tblLayout w:type="autofit"/>
        <w:tblCellMar>
          <w:top w:w="0" w:type="dxa"/>
          <w:left w:w="108" w:type="dxa"/>
          <w:bottom w:w="0" w:type="dxa"/>
          <w:right w:w="108" w:type="dxa"/>
        </w:tblCellMar>
      </w:tblPr>
      <w:tblGrid>
        <w:gridCol w:w="3045"/>
        <w:gridCol w:w="1725"/>
        <w:gridCol w:w="1874"/>
        <w:gridCol w:w="1870"/>
      </w:tblGrid>
      <w:tr>
        <w:tblPrEx>
          <w:tblCellMar>
            <w:top w:w="0" w:type="dxa"/>
            <w:left w:w="108" w:type="dxa"/>
            <w:bottom w:w="0" w:type="dxa"/>
            <w:right w:w="108" w:type="dxa"/>
          </w:tblCellMar>
        </w:tblPrEx>
        <w:trPr>
          <w:trHeight w:val="299" w:hRule="atLeast"/>
          <w:tblHeader/>
          <w:jc w:val="center"/>
        </w:trPr>
        <w:tc>
          <w:tcPr>
            <w:tcW w:w="17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成本名称</w:t>
            </w:r>
          </w:p>
        </w:tc>
        <w:tc>
          <w:tcPr>
            <w:tcW w:w="101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2020年</w:t>
            </w:r>
          </w:p>
        </w:tc>
        <w:tc>
          <w:tcPr>
            <w:tcW w:w="110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2021年</w:t>
            </w:r>
          </w:p>
        </w:tc>
        <w:tc>
          <w:tcPr>
            <w:tcW w:w="109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2022年</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收运成本</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2675237.16</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2928781.04</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4066535.85</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药剂等材料费</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32226.00</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664504.46</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415611.84</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垃圾处理费</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275642.94</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2063069.13</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污水处理费</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38750.60</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26677.40</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职工薪酬</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1112215.90</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2449120.77</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2132741.22</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社保、公积金</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87855.13</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639651.26</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442536.60</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电费</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1029211.72</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1338544.62</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1316751.14</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水费</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112212.79</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103374.28</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累计折旧</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461317.11</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564086.82</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459446.60</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累计摊销</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2750882.76</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2326591.51</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1732583.76</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其他制造费用</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741675.29</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2821224.36</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7135366.59</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税金及附加</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131250.31</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176324.08</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190711.57</w:t>
            </w:r>
          </w:p>
        </w:tc>
      </w:tr>
      <w:tr>
        <w:tblPrEx>
          <w:tblCellMar>
            <w:top w:w="0" w:type="dxa"/>
            <w:left w:w="108" w:type="dxa"/>
            <w:bottom w:w="0" w:type="dxa"/>
            <w:right w:w="108" w:type="dxa"/>
          </w:tblCellMar>
        </w:tblPrEx>
        <w:trPr>
          <w:trHeight w:val="292" w:hRule="atLeast"/>
          <w:jc w:val="center"/>
        </w:trPr>
        <w:tc>
          <w:tcPr>
            <w:tcW w:w="1788" w:type="pct"/>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管理费用（不含应付职工薪酬、不含折旧费）</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329863.91</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1371146.31</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1384881.67</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财务费用</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3547.05</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207205.26</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78393.36</w:t>
            </w:r>
          </w:p>
        </w:tc>
      </w:tr>
      <w:tr>
        <w:tblPrEx>
          <w:tblCellMar>
            <w:top w:w="0" w:type="dxa"/>
            <w:left w:w="108" w:type="dxa"/>
            <w:bottom w:w="0" w:type="dxa"/>
            <w:right w:w="108" w:type="dxa"/>
          </w:tblCellMar>
        </w:tblPrEx>
        <w:trPr>
          <w:trHeight w:val="299"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成本、费用合计</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9355282.34</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15913786.82</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21548681.01</w:t>
            </w:r>
          </w:p>
        </w:tc>
      </w:tr>
      <w:tr>
        <w:tblPrEx>
          <w:tblCellMar>
            <w:top w:w="0" w:type="dxa"/>
            <w:left w:w="108" w:type="dxa"/>
            <w:bottom w:w="0" w:type="dxa"/>
            <w:right w:w="108" w:type="dxa"/>
          </w:tblCellMar>
        </w:tblPrEx>
        <w:trPr>
          <w:trHeight w:val="215"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餐厨垃圾处理量（T）</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29083.662</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41064.84</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36228.38 </w:t>
            </w:r>
          </w:p>
        </w:tc>
      </w:tr>
      <w:tr>
        <w:tblPrEx>
          <w:tblCellMar>
            <w:top w:w="0" w:type="dxa"/>
            <w:left w:w="108" w:type="dxa"/>
            <w:bottom w:w="0" w:type="dxa"/>
            <w:right w:w="108" w:type="dxa"/>
          </w:tblCellMar>
        </w:tblPrEx>
        <w:trPr>
          <w:trHeight w:val="215" w:hRule="atLeast"/>
          <w:jc w:val="center"/>
        </w:trPr>
        <w:tc>
          <w:tcPr>
            <w:tcW w:w="1788"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单位成本（元/吨）</w:t>
            </w:r>
          </w:p>
        </w:tc>
        <w:tc>
          <w:tcPr>
            <w:tcW w:w="1013"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321.67 </w:t>
            </w:r>
          </w:p>
        </w:tc>
        <w:tc>
          <w:tcPr>
            <w:tcW w:w="1100"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387.53 </w:t>
            </w:r>
          </w:p>
        </w:tc>
        <w:tc>
          <w:tcPr>
            <w:tcW w:w="1098" w:type="pct"/>
            <w:tcBorders>
              <w:top w:val="nil"/>
              <w:left w:val="nil"/>
              <w:bottom w:val="single" w:color="auto" w:sz="4" w:space="0"/>
              <w:right w:val="single" w:color="auto" w:sz="4" w:space="0"/>
            </w:tcBorders>
            <w:shd w:val="clear" w:color="000000" w:fill="FFFFFF"/>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594.80 </w:t>
            </w:r>
          </w:p>
        </w:tc>
      </w:tr>
    </w:tbl>
    <w:p>
      <w:pPr>
        <w:ind w:firstLine="640"/>
      </w:pPr>
      <w:r>
        <w:rPr>
          <w:rFonts w:hint="eastAsia"/>
        </w:rPr>
        <w:t>（1）成本因素分析</w:t>
      </w:r>
    </w:p>
    <w:p>
      <w:pPr>
        <w:ind w:firstLine="640"/>
        <w:rPr>
          <w:color w:val="FF0000"/>
          <w:szCs w:val="32"/>
        </w:rPr>
      </w:pPr>
      <w:r>
        <w:rPr>
          <w:rFonts w:hint="eastAsia"/>
        </w:rPr>
        <w:t>餐厨垃圾清运处理成本主要由收运成本和处理成本两部分构成。其中，收运成本主要包括收运人员成本（工资、社保、公积金、福利等）、收运车辆营运费（燃油费、维修保养费、车辆保险费、车辆折旧费）。2017年10月至2021年8月，该项目废弃物收运工作全部承包给山东省皖发生物科技有限公司，</w:t>
      </w:r>
      <w:r>
        <w:rPr>
          <w:rFonts w:hint="eastAsia"/>
          <w:color w:val="000000"/>
          <w:szCs w:val="32"/>
        </w:rPr>
        <w:t>中科安佑公司提供收运车辆，并负担车辆保险， 其他费用包括车辆油耗及维修保养、车辆违章处理、收运人员工资、人员保险均由承运方承担。近三年收运成本占总成本比重分别为25.6%、18.4%、18.9%，平均值为22%。</w:t>
      </w:r>
    </w:p>
    <w:p>
      <w:pPr>
        <w:ind w:firstLine="640"/>
        <w:rPr>
          <w:color w:val="000000"/>
          <w:szCs w:val="32"/>
        </w:rPr>
      </w:pPr>
      <w:r>
        <w:rPr>
          <w:rFonts w:hint="eastAsia"/>
          <w:color w:val="000000"/>
          <w:szCs w:val="32"/>
        </w:rPr>
        <w:t>餐厨废弃物处理成本主要包括药剂等材料费、垃圾及污水处理费、职工薪酬及社保公积金支出、水费、电费、累计折旧及摊销、其他制造费用。其中，2020年因为历史原因中科安佑公司未与其原关联单位（枣庄中科环保电力有限公司）就垃圾及污水处理费、水费进行结算，且未来结算的可行性极低，故在成本核算时不考虑该数据。</w:t>
      </w:r>
    </w:p>
    <w:p>
      <w:pPr>
        <w:ind w:firstLine="640"/>
        <w:rPr>
          <w:color w:val="000000"/>
          <w:szCs w:val="32"/>
        </w:rPr>
      </w:pPr>
      <w:r>
        <w:rPr>
          <w:rFonts w:hint="eastAsia"/>
          <w:color w:val="000000"/>
          <w:szCs w:val="32"/>
        </w:rPr>
        <w:t>该项目属于全成本效益绩效评价，在成本核算过程中需反映对餐厨废弃物进行无害化、资源化处理的全部成本及支出，因此应将中科安佑公司为维持正常运转所发生的税金及附加、管理费用、财务费用等包括在内。上表中所列明数据均为中科安佑财务报表及成本核算资料所反映数据。</w:t>
      </w:r>
    </w:p>
    <w:p>
      <w:pPr>
        <w:ind w:firstLine="640"/>
        <w:rPr>
          <w:color w:val="000000"/>
          <w:szCs w:val="32"/>
        </w:rPr>
      </w:pPr>
      <w:r>
        <w:rPr>
          <w:rFonts w:hint="eastAsia"/>
          <w:color w:val="000000"/>
          <w:szCs w:val="32"/>
        </w:rPr>
        <w:t>（2）不合理成本调整</w:t>
      </w:r>
    </w:p>
    <w:p>
      <w:pPr>
        <w:ind w:firstLine="640"/>
        <w:rPr>
          <w:color w:val="000000"/>
          <w:szCs w:val="32"/>
        </w:rPr>
      </w:pPr>
      <w:r>
        <w:rPr>
          <w:rFonts w:hint="eastAsia"/>
          <w:color w:val="000000"/>
          <w:szCs w:val="32"/>
        </w:rPr>
        <w:t>①评价小组在实地调研过程中发现中科安佑公司实际清运的废弃物包括生活垃圾和餐厨废弃物两部分，且在后期处理过程中是将二者一并通过垃圾分类离心机将餐厨垃圾与生活垃圾做分类处理，因此在核算餐厨垃圾的清运处理成本时应将生活垃圾的成本合理扣除。考虑到中科安佑垃圾处理的实际情况，在成本调整过程中只对与生活垃圾量有关的变动成本进行合理剔除。主要调整的成本包括收运成本、药剂等材料费、垃圾处理成本、电费、水费。调整过程中按照生活垃圾所占收运废弃物总量的百分比进行剔除，其中垃圾处理成本全部为处理生活垃圾产生的成本，因此全部剔除。因为中科安佑公司2020年</w:t>
      </w:r>
      <w:r>
        <w:rPr>
          <w:rFonts w:hint="eastAsia"/>
          <w:color w:val="000000"/>
          <w:szCs w:val="32"/>
          <w:lang w:val="en-US" w:eastAsia="zh-CN"/>
        </w:rPr>
        <w:t>度</w:t>
      </w:r>
      <w:r>
        <w:rPr>
          <w:rFonts w:hint="eastAsia"/>
          <w:color w:val="000000"/>
          <w:szCs w:val="32"/>
        </w:rPr>
        <w:t>未对生活垃圾量进行统计，故参照2021-2022年中科安佑公司收运的生活垃圾与废弃物总量比值的平均值，确定与生活垃圾相关成本的剔除。经测算生活垃圾占废弃物收运总量比值的平均值为20.98%（考虑到餐厨垃圾的产生过程及主要成分构成，按2</w:t>
      </w:r>
      <w:r>
        <w:rPr>
          <w:color w:val="000000"/>
          <w:szCs w:val="32"/>
        </w:rPr>
        <w:t>0.98%的比率扣除存在偏高的可能</w:t>
      </w:r>
      <w:r>
        <w:rPr>
          <w:rFonts w:hint="eastAsia"/>
          <w:color w:val="000000"/>
          <w:szCs w:val="32"/>
        </w:rPr>
        <w:t>）。生活垃圾与废弃物总量的占比情况如下表4-6所示。</w:t>
      </w:r>
    </w:p>
    <w:p>
      <w:pPr>
        <w:ind w:firstLine="560"/>
        <w:jc w:val="center"/>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表4-6 2021-2022生活垃圾占收运总量比例</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823"/>
        <w:gridCol w:w="1622"/>
        <w:gridCol w:w="1637"/>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92"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年份</w:t>
            </w:r>
          </w:p>
        </w:tc>
        <w:tc>
          <w:tcPr>
            <w:tcW w:w="892"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生活垃圾量（吨）</w:t>
            </w:r>
          </w:p>
        </w:tc>
        <w:tc>
          <w:tcPr>
            <w:tcW w:w="892"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收运总量（吨）</w:t>
            </w:r>
          </w:p>
        </w:tc>
        <w:tc>
          <w:tcPr>
            <w:tcW w:w="104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占比（%）</w:t>
            </w:r>
          </w:p>
        </w:tc>
        <w:tc>
          <w:tcPr>
            <w:tcW w:w="1283"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92"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2021</w:t>
            </w:r>
          </w:p>
        </w:tc>
        <w:tc>
          <w:tcPr>
            <w:tcW w:w="892"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8570.27</w:t>
            </w:r>
          </w:p>
        </w:tc>
        <w:tc>
          <w:tcPr>
            <w:tcW w:w="892"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41064.84</w:t>
            </w:r>
          </w:p>
        </w:tc>
        <w:tc>
          <w:tcPr>
            <w:tcW w:w="104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20.9</w:t>
            </w:r>
          </w:p>
        </w:tc>
        <w:tc>
          <w:tcPr>
            <w:tcW w:w="1283" w:type="pct"/>
            <w:vMerge w:val="restar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92"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2022</w:t>
            </w:r>
          </w:p>
        </w:tc>
        <w:tc>
          <w:tcPr>
            <w:tcW w:w="892"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7504.27</w:t>
            </w:r>
          </w:p>
        </w:tc>
        <w:tc>
          <w:tcPr>
            <w:tcW w:w="892"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36228.378</w:t>
            </w:r>
          </w:p>
        </w:tc>
        <w:tc>
          <w:tcPr>
            <w:tcW w:w="1040"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20.7</w:t>
            </w:r>
          </w:p>
        </w:tc>
        <w:tc>
          <w:tcPr>
            <w:tcW w:w="1283" w:type="pct"/>
            <w:vMerge w:val="continue"/>
            <w:vAlign w:val="center"/>
          </w:tcPr>
          <w:p>
            <w:pPr>
              <w:widowControl/>
              <w:spacing w:line="240" w:lineRule="auto"/>
              <w:ind w:firstLine="0" w:firstLineChars="0"/>
              <w:jc w:val="left"/>
              <w:rPr>
                <w:rFonts w:cs="宋体" w:asciiTheme="minorEastAsia" w:hAnsiTheme="minorEastAsia" w:eastAsiaTheme="minorEastAsia"/>
                <w:kern w:val="0"/>
                <w:sz w:val="20"/>
                <w:szCs w:val="20"/>
              </w:rPr>
            </w:pPr>
          </w:p>
        </w:tc>
      </w:tr>
    </w:tbl>
    <w:p>
      <w:pPr>
        <w:ind w:firstLine="640"/>
        <w:rPr>
          <w:color w:val="000000"/>
          <w:szCs w:val="32"/>
        </w:rPr>
      </w:pPr>
      <w:r>
        <w:rPr>
          <w:rFonts w:hint="eastAsia"/>
          <w:color w:val="000000"/>
          <w:szCs w:val="32"/>
        </w:rPr>
        <w:t>②按照会计准则的要求对设备的大修理支出、厂区的路面硬化等支出，应计入固定资产原值或者计入长期待摊费用。评价小组在查阅其他制造费用明细账时发现部分设备的大修理支出、路面硬化等基建工程直接计入到当年的其他制造费用科目，没有进行合理分摊，造成当年成本虚高。因此，在成本核定过程中对其他制造费用中应做而未做摊销处理的成本进行调整。2020-2022年其他制造费用科目应做调整的金额分别为;26.36万元、170.74万元、622.84万元。</w:t>
      </w:r>
    </w:p>
    <w:p>
      <w:pPr>
        <w:ind w:firstLine="640"/>
        <w:rPr>
          <w:color w:val="000000"/>
          <w:szCs w:val="32"/>
        </w:rPr>
      </w:pPr>
      <w:r>
        <w:rPr>
          <w:rFonts w:hint="eastAsia"/>
          <w:color w:val="000000"/>
          <w:szCs w:val="32"/>
        </w:rPr>
        <w:t>③中科安佑公司的污水处理设备既用于本公司在处理餐厨废弃物过程中产生的污水，又对外承接新城区及峄城区的部分污水处理并收取相关费用，但考虑到对外承接的污水处理量较小对成本核算的影响可以忽略，因此与对外承接的污水处理相关的成本未做剔除调整。</w:t>
      </w:r>
    </w:p>
    <w:p>
      <w:pPr>
        <w:ind w:firstLine="640"/>
        <w:rPr>
          <w:color w:val="000000"/>
          <w:szCs w:val="32"/>
        </w:rPr>
      </w:pPr>
      <w:r>
        <w:rPr>
          <w:rFonts w:hint="eastAsia"/>
          <w:color w:val="000000"/>
          <w:szCs w:val="32"/>
        </w:rPr>
        <w:t>④中科安佑在经营过程中存在较高的管理费用、财务费用及营业税金及附件，在成本核算过程中参考枣庄市发展和改革委员会下发的《关于对枣庄中科安佑环保有限公司非居民厨余垃圾处理计量成本监审的初步意见告知书》中相关费用的核定金额进行调整。</w:t>
      </w:r>
    </w:p>
    <w:p>
      <w:pPr>
        <w:pStyle w:val="5"/>
        <w:ind w:firstLine="640"/>
      </w:pPr>
      <w:r>
        <w:t>2.定额成本制定</w:t>
      </w:r>
    </w:p>
    <w:p>
      <w:pPr>
        <w:ind w:firstLine="640"/>
      </w:pPr>
      <w:r>
        <w:rPr>
          <w:rFonts w:hint="eastAsia"/>
        </w:rPr>
        <w:t>（1）单位生产成本核定</w:t>
      </w:r>
    </w:p>
    <w:p>
      <w:pPr>
        <w:ind w:firstLine="640"/>
      </w:pPr>
      <w:r>
        <w:rPr>
          <w:rFonts w:hint="eastAsia"/>
        </w:rPr>
        <w:t>评价小组对历史数据进行了合理调整，根据2020-2022年调整后的成本数据，使用三年平均单位成本作为单位生产定额成本，具体计算过程见表4-7。</w:t>
      </w:r>
    </w:p>
    <w:p>
      <w:pPr>
        <w:ind w:firstLine="560"/>
        <w:jc w:val="right"/>
        <w:rPr>
          <w:rFonts w:asciiTheme="minorEastAsia" w:hAnsiTheme="minorEastAsia" w:eastAsiaTheme="minorEastAsia"/>
        </w:rPr>
      </w:pPr>
      <w:r>
        <w:rPr>
          <w:rFonts w:hint="eastAsia" w:asciiTheme="minorEastAsia" w:hAnsiTheme="minorEastAsia" w:eastAsiaTheme="minorEastAsia"/>
          <w:sz w:val="28"/>
          <w:szCs w:val="28"/>
        </w:rPr>
        <w:t>表4-7 单位定额成本核算表</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hint="eastAsia" w:asciiTheme="minorEastAsia" w:hAnsiTheme="minorEastAsia" w:eastAsiaTheme="minorEastAsia"/>
          <w:sz w:val="21"/>
          <w:szCs w:val="21"/>
        </w:rPr>
        <w:t>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469"/>
        <w:gridCol w:w="1503"/>
        <w:gridCol w:w="1397"/>
        <w:gridCol w:w="1632"/>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blHeader/>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成本名称</w:t>
            </w:r>
          </w:p>
        </w:tc>
        <w:tc>
          <w:tcPr>
            <w:tcW w:w="882" w:type="pct"/>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计算方法</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2020年</w:t>
            </w: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2021年</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收运成本</w:t>
            </w:r>
          </w:p>
        </w:tc>
        <w:tc>
          <w:tcPr>
            <w:tcW w:w="882" w:type="pct"/>
            <w:shd w:val="clear" w:color="auto" w:fill="FFFFFF" w:themeFill="background1"/>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按20.8%剔除</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2086684.98</w:t>
            </w: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2284449.21</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3171897.96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药剂等材料费</w:t>
            </w:r>
          </w:p>
        </w:tc>
        <w:tc>
          <w:tcPr>
            <w:tcW w:w="882" w:type="pct"/>
            <w:shd w:val="clear" w:color="auto" w:fill="FFFFFF" w:themeFill="background1"/>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按20.8%剔除</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25136.28</w:t>
            </w: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518313.48</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324177.24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垃圾处理费</w:t>
            </w:r>
          </w:p>
        </w:tc>
        <w:tc>
          <w:tcPr>
            <w:tcW w:w="882" w:type="pct"/>
            <w:shd w:val="clear" w:color="auto" w:fill="FFFFFF" w:themeFill="background1"/>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全部剔除</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-275642.94</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-2063069.13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污水处理费</w:t>
            </w:r>
          </w:p>
        </w:tc>
        <w:tc>
          <w:tcPr>
            <w:tcW w:w="882" w:type="pct"/>
            <w:shd w:val="clear" w:color="auto" w:fill="FFFFFF" w:themeFill="background1"/>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未调整</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38750.60</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26677.40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职工薪酬</w:t>
            </w:r>
          </w:p>
        </w:tc>
        <w:tc>
          <w:tcPr>
            <w:tcW w:w="882" w:type="pct"/>
            <w:shd w:val="clear" w:color="auto" w:fill="FFFFFF" w:themeFill="background1"/>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未调整</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1112215.90</w:t>
            </w: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2449120.77</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2132741.22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社保、公积金</w:t>
            </w:r>
          </w:p>
        </w:tc>
        <w:tc>
          <w:tcPr>
            <w:tcW w:w="882" w:type="pct"/>
            <w:shd w:val="clear" w:color="auto" w:fill="FFFFFF" w:themeFill="background1"/>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未调整</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87855.13</w:t>
            </w: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639651.26</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442536.60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电费</w:t>
            </w:r>
          </w:p>
        </w:tc>
        <w:tc>
          <w:tcPr>
            <w:tcW w:w="882" w:type="pct"/>
            <w:shd w:val="clear" w:color="auto" w:fill="FFFFFF" w:themeFill="background1"/>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按20.8%剔除</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802785.14</w:t>
            </w: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1044064.80</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1027065.89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水费</w:t>
            </w:r>
          </w:p>
        </w:tc>
        <w:tc>
          <w:tcPr>
            <w:tcW w:w="882" w:type="pct"/>
            <w:shd w:val="clear" w:color="auto" w:fill="FFFFFF" w:themeFill="background1"/>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按20.8%剔除</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0.00</w:t>
            </w: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87525.98</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80631.94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累计折旧</w:t>
            </w:r>
          </w:p>
        </w:tc>
        <w:tc>
          <w:tcPr>
            <w:tcW w:w="882" w:type="pct"/>
            <w:shd w:val="clear" w:color="auto" w:fill="FFFFFF" w:themeFill="background1"/>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未调整</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461317.11</w:t>
            </w: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564086.82</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459446.60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累计摊销</w:t>
            </w:r>
          </w:p>
        </w:tc>
        <w:tc>
          <w:tcPr>
            <w:tcW w:w="882" w:type="pct"/>
            <w:shd w:val="clear" w:color="auto" w:fill="FFFFFF" w:themeFill="background1"/>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未调整</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2750882.76</w:t>
            </w: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2,326,591.51</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1732583.76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其他制造费用</w:t>
            </w:r>
          </w:p>
        </w:tc>
        <w:tc>
          <w:tcPr>
            <w:tcW w:w="882" w:type="pct"/>
            <w:shd w:val="clear" w:color="auto" w:fill="FFFFFF" w:themeFill="background1"/>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按实际不合理费剔除</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488603.15</w:t>
            </w: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1182090.15</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1156133.50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生产成本总额</w:t>
            </w:r>
          </w:p>
        </w:tc>
        <w:tc>
          <w:tcPr>
            <w:tcW w:w="882" w:type="pct"/>
            <w:shd w:val="clear" w:color="auto" w:fill="FFFFFF" w:themeFill="background1"/>
          </w:tcPr>
          <w:p>
            <w:pPr>
              <w:widowControl/>
              <w:spacing w:line="240" w:lineRule="auto"/>
              <w:ind w:firstLine="0" w:firstLineChars="0"/>
              <w:jc w:val="righ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合理成本合计</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7815480.46</w:t>
            </w: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10859001.64</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8490822.98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餐厨垃圾处理量（吨）</w:t>
            </w:r>
          </w:p>
        </w:tc>
        <w:tc>
          <w:tcPr>
            <w:tcW w:w="882" w:type="pct"/>
            <w:shd w:val="clear" w:color="auto" w:fill="FFFFFF" w:themeFill="background1"/>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实际处理量</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36899.64</w:t>
            </w: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29083.66</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41064.84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单位成本（元/吨）</w:t>
            </w:r>
          </w:p>
        </w:tc>
        <w:tc>
          <w:tcPr>
            <w:tcW w:w="882" w:type="pct"/>
            <w:shd w:val="clear" w:color="auto" w:fill="FFFFFF" w:themeFill="background1"/>
          </w:tcPr>
          <w:p>
            <w:pPr>
              <w:widowControl/>
              <w:spacing w:line="240" w:lineRule="auto"/>
              <w:ind w:firstLine="0" w:firstLineChars="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生产成本总额/餐厨垃圾处理量</w:t>
            </w:r>
          </w:p>
        </w:tc>
        <w:tc>
          <w:tcPr>
            <w:tcW w:w="82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268.72</w:t>
            </w:r>
          </w:p>
        </w:tc>
        <w:tc>
          <w:tcPr>
            <w:tcW w:w="958"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264.44</w:t>
            </w:r>
          </w:p>
        </w:tc>
        <w:tc>
          <w:tcPr>
            <w:tcW w:w="890" w:type="pct"/>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0" w:hRule="atLeast"/>
        </w:trPr>
        <w:tc>
          <w:tcPr>
            <w:tcW w:w="1449" w:type="pct"/>
            <w:shd w:val="clear" w:color="auto" w:fill="FFFFFF" w:themeFill="background1"/>
            <w:noWrap/>
            <w:vAlign w:val="center"/>
          </w:tcPr>
          <w:p>
            <w:pPr>
              <w:widowControl/>
              <w:spacing w:line="240" w:lineRule="auto"/>
              <w:ind w:firstLine="0" w:firstLineChars="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单位生产成本定额（元/吨）</w:t>
            </w:r>
          </w:p>
        </w:tc>
        <w:tc>
          <w:tcPr>
            <w:tcW w:w="882" w:type="pct"/>
            <w:shd w:val="clear" w:color="auto" w:fill="FFFFFF" w:themeFill="background1"/>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单位成本平均值</w:t>
            </w:r>
          </w:p>
        </w:tc>
        <w:tc>
          <w:tcPr>
            <w:tcW w:w="2668" w:type="pct"/>
            <w:gridSpan w:val="3"/>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255.84</w:t>
            </w:r>
          </w:p>
        </w:tc>
      </w:tr>
    </w:tbl>
    <w:p>
      <w:pPr>
        <w:ind w:firstLine="640"/>
      </w:pPr>
      <w:r>
        <w:rPr>
          <w:rFonts w:hint="eastAsia"/>
        </w:rPr>
        <w:t>（2）单位餐厨垃圾清运补贴核定</w:t>
      </w:r>
    </w:p>
    <w:p>
      <w:pPr>
        <w:ind w:firstLine="640"/>
      </w:pPr>
      <w:r>
        <w:rPr>
          <w:rFonts w:hint="eastAsia"/>
        </w:rPr>
        <w:t>在单位生产成本定额的基础上考虑企业经营过程中产生的管理费用、财务费用、税金及附加以及企业的合理利润，扣除油脂收入和污水处理收入（污水处理收入虽然为对外承接污水处理所得，但在成本计算时未扣除污水处理成本），在不同的利润水平下单位餐厨废弃物收运补贴价格如下表4-8所示。</w:t>
      </w:r>
    </w:p>
    <w:p>
      <w:pPr>
        <w:ind w:left="0" w:leftChars="0"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 xml:space="preserve">表4-8单位补贴价格定额测算    </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1"/>
          <w:szCs w:val="21"/>
        </w:rPr>
        <w:t>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1817"/>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指标名称</w:t>
            </w:r>
          </w:p>
        </w:tc>
        <w:tc>
          <w:tcPr>
            <w:tcW w:w="1067"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定额标准</w:t>
            </w:r>
          </w:p>
        </w:tc>
        <w:tc>
          <w:tcPr>
            <w:tcW w:w="2624"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单位生产成本定额</w:t>
            </w:r>
          </w:p>
        </w:tc>
        <w:tc>
          <w:tcPr>
            <w:tcW w:w="1067"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255.84</w:t>
            </w:r>
          </w:p>
        </w:tc>
        <w:tc>
          <w:tcPr>
            <w:tcW w:w="2624" w:type="pct"/>
            <w:shd w:val="clear" w:color="auto" w:fill="auto"/>
            <w:noWrap/>
            <w:vAlign w:val="center"/>
          </w:tcPr>
          <w:p>
            <w:pPr>
              <w:widowControl/>
              <w:spacing w:line="240" w:lineRule="auto"/>
              <w:ind w:firstLine="0" w:firstLineChars="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调整后平均单位生产成本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单位管理费用</w:t>
            </w:r>
          </w:p>
        </w:tc>
        <w:tc>
          <w:tcPr>
            <w:tcW w:w="1067"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7.91</w:t>
            </w:r>
          </w:p>
        </w:tc>
        <w:tc>
          <w:tcPr>
            <w:tcW w:w="2624" w:type="pct"/>
            <w:vMerge w:val="restart"/>
            <w:shd w:val="clear" w:color="auto" w:fill="auto"/>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参考枣庄市发展和改革委员会下发的《关于对枣庄中科安佑环保有限公司非居民厨余垃圾处理计量成本监审的初步意见告知书》中核定金额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单位财务费用</w:t>
            </w:r>
          </w:p>
        </w:tc>
        <w:tc>
          <w:tcPr>
            <w:tcW w:w="1067"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0.25</w:t>
            </w:r>
          </w:p>
        </w:tc>
        <w:tc>
          <w:tcPr>
            <w:tcW w:w="2624" w:type="pct"/>
            <w:vMerge w:val="continue"/>
            <w:vAlign w:val="center"/>
          </w:tcPr>
          <w:p>
            <w:pPr>
              <w:widowControl/>
              <w:spacing w:line="240" w:lineRule="auto"/>
              <w:ind w:firstLine="0" w:firstLineChars="0"/>
              <w:jc w:val="left"/>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单位税金及附加</w:t>
            </w:r>
          </w:p>
        </w:tc>
        <w:tc>
          <w:tcPr>
            <w:tcW w:w="1067"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3.69</w:t>
            </w:r>
          </w:p>
        </w:tc>
        <w:tc>
          <w:tcPr>
            <w:tcW w:w="2624" w:type="pct"/>
            <w:vMerge w:val="continue"/>
            <w:vAlign w:val="center"/>
          </w:tcPr>
          <w:p>
            <w:pPr>
              <w:widowControl/>
              <w:spacing w:line="240" w:lineRule="auto"/>
              <w:ind w:firstLine="0" w:firstLineChars="0"/>
              <w:jc w:val="left"/>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单位油脂收入</w:t>
            </w:r>
          </w:p>
        </w:tc>
        <w:tc>
          <w:tcPr>
            <w:tcW w:w="1067"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145.29</w:t>
            </w:r>
          </w:p>
        </w:tc>
        <w:tc>
          <w:tcPr>
            <w:tcW w:w="2624" w:type="pct"/>
            <w:shd w:val="clear" w:color="auto" w:fill="auto"/>
            <w:noWrap/>
            <w:vAlign w:val="center"/>
          </w:tcPr>
          <w:p>
            <w:pPr>
              <w:widowControl/>
              <w:spacing w:line="240" w:lineRule="auto"/>
              <w:ind w:firstLine="0" w:firstLineChars="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取2020-2022年单位餐厨垃圾处理量油脂收入平均值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单位污水处理收入</w:t>
            </w:r>
          </w:p>
        </w:tc>
        <w:tc>
          <w:tcPr>
            <w:tcW w:w="1067"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27.41</w:t>
            </w:r>
          </w:p>
        </w:tc>
        <w:tc>
          <w:tcPr>
            <w:tcW w:w="2624" w:type="pct"/>
            <w:shd w:val="clear" w:color="auto" w:fill="auto"/>
            <w:noWrap/>
            <w:vAlign w:val="center"/>
          </w:tcPr>
          <w:p>
            <w:pPr>
              <w:widowControl/>
              <w:spacing w:line="240" w:lineRule="auto"/>
              <w:ind w:firstLine="0" w:firstLineChars="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2020年没有污水处理项目，取2021-2022单位餐厨垃圾处理量污水处理收入平均值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补贴单价（盈亏平衡点）</w:t>
            </w:r>
          </w:p>
        </w:tc>
        <w:tc>
          <w:tcPr>
            <w:tcW w:w="1067"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94.99</w:t>
            </w:r>
          </w:p>
        </w:tc>
        <w:tc>
          <w:tcPr>
            <w:tcW w:w="2624" w:type="pct"/>
            <w:vMerge w:val="restart"/>
            <w:shd w:val="clear" w:color="auto" w:fill="auto"/>
            <w:noWrap/>
            <w:vAlign w:val="center"/>
          </w:tcPr>
          <w:p>
            <w:pPr>
              <w:widowControl/>
              <w:spacing w:line="240" w:lineRule="auto"/>
              <w:ind w:right="240"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（单位生产成本定额+单位管理费用+单位财务费用+单位税金及附加）*（1+成本利润率）-单位油脂收入-单位污水处理收入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补贴单价（成本利润率10%）</w:t>
            </w:r>
          </w:p>
        </w:tc>
        <w:tc>
          <w:tcPr>
            <w:tcW w:w="1067"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121.76</w:t>
            </w:r>
          </w:p>
        </w:tc>
        <w:tc>
          <w:tcPr>
            <w:tcW w:w="2624" w:type="pct"/>
            <w:vMerge w:val="continue"/>
            <w:shd w:val="clear" w:color="auto" w:fill="auto"/>
            <w:noWrap/>
            <w:vAlign w:val="center"/>
          </w:tcPr>
          <w:p>
            <w:pPr>
              <w:widowControl/>
              <w:spacing w:line="240" w:lineRule="auto"/>
              <w:ind w:firstLine="0" w:firstLineChars="0"/>
              <w:jc w:val="right"/>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9"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补贴单价（成本利润率15%）</w:t>
            </w:r>
          </w:p>
        </w:tc>
        <w:tc>
          <w:tcPr>
            <w:tcW w:w="1067" w:type="pct"/>
            <w:shd w:val="clear" w:color="auto" w:fill="auto"/>
            <w:noWrap/>
            <w:vAlign w:val="center"/>
          </w:tcPr>
          <w:p>
            <w:pPr>
              <w:widowControl/>
              <w:spacing w:line="240" w:lineRule="auto"/>
              <w:ind w:firstLine="0" w:firstLineChars="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135.14</w:t>
            </w:r>
          </w:p>
        </w:tc>
        <w:tc>
          <w:tcPr>
            <w:tcW w:w="2624" w:type="pct"/>
            <w:vMerge w:val="continue"/>
            <w:shd w:val="clear" w:color="auto" w:fill="auto"/>
            <w:noWrap/>
            <w:vAlign w:val="center"/>
          </w:tcPr>
          <w:p>
            <w:pPr>
              <w:widowControl/>
              <w:spacing w:line="240" w:lineRule="auto"/>
              <w:ind w:firstLine="0" w:firstLineChars="0"/>
              <w:jc w:val="right"/>
              <w:rPr>
                <w:rFonts w:cs="宋体" w:asciiTheme="minorEastAsia" w:hAnsiTheme="minorEastAsia" w:eastAsiaTheme="minorEastAsia"/>
                <w:kern w:val="0"/>
                <w:sz w:val="20"/>
                <w:szCs w:val="20"/>
              </w:rPr>
            </w:pPr>
          </w:p>
        </w:tc>
      </w:tr>
    </w:tbl>
    <w:p>
      <w:pPr>
        <w:pStyle w:val="5"/>
        <w:ind w:firstLine="640"/>
      </w:pPr>
      <w:r>
        <w:rPr>
          <w:rFonts w:hint="eastAsia"/>
        </w:rPr>
        <w:t>3</w:t>
      </w:r>
      <w:r>
        <w:t>.财政实际结算金额与定额</w:t>
      </w:r>
      <w:r>
        <w:rPr>
          <w:rFonts w:hint="eastAsia"/>
        </w:rPr>
        <w:t>补贴</w:t>
      </w:r>
      <w:r>
        <w:t>比较</w:t>
      </w:r>
    </w:p>
    <w:p>
      <w:pPr>
        <w:ind w:firstLine="640"/>
        <w:rPr>
          <w:rFonts w:hint="eastAsia"/>
        </w:rPr>
      </w:pPr>
      <w:r>
        <w:t>表</w:t>
      </w:r>
      <w:r>
        <w:rPr>
          <w:rFonts w:hint="eastAsia"/>
        </w:rPr>
        <w:t>4</w:t>
      </w:r>
      <w:r>
        <w:t>-9中定额补贴单价按照</w:t>
      </w:r>
      <w:r>
        <w:rPr>
          <w:rFonts w:hint="eastAsia"/>
        </w:rPr>
        <w:t>1</w:t>
      </w:r>
      <w:r>
        <w:t>35.14元计算，根据中科安佑公司各区县保底量分配表，枣庄市高新区保底量为</w:t>
      </w:r>
      <w:r>
        <w:rPr>
          <w:rFonts w:hint="eastAsia"/>
        </w:rPr>
        <w:t>8吨/</w:t>
      </w:r>
      <w:r>
        <w:t>日，其中</w:t>
      </w:r>
      <w:r>
        <w:rPr>
          <w:rFonts w:hint="eastAsia"/>
        </w:rPr>
        <w:t>财政结算金额（</w:t>
      </w:r>
      <w:r>
        <w:t>2）</w:t>
      </w:r>
      <w:r>
        <w:rPr>
          <w:rFonts w:hint="eastAsia"/>
        </w:rPr>
        <w:t>=</w:t>
      </w:r>
      <w:r>
        <w:t>MAX（实际处理量，保底量）</w:t>
      </w:r>
      <w:r>
        <w:rPr>
          <w:rFonts w:hint="eastAsia"/>
        </w:rPr>
        <w:t>×</w:t>
      </w:r>
      <w:r>
        <w:t>168；</w:t>
      </w:r>
      <w:r>
        <w:rPr>
          <w:rFonts w:hint="eastAsia"/>
        </w:rPr>
        <w:t>无保底量定额补贴（</w:t>
      </w:r>
      <w:r>
        <w:t>3）</w:t>
      </w:r>
      <w:r>
        <w:rPr>
          <w:rFonts w:hint="eastAsia"/>
        </w:rPr>
        <w:t>=实际处理量×1</w:t>
      </w:r>
      <w:r>
        <w:t>35.14；无保底量差额（</w:t>
      </w:r>
      <w:r>
        <w:rPr>
          <w:rFonts w:hint="eastAsia"/>
        </w:rPr>
        <w:t>4</w:t>
      </w:r>
      <w:r>
        <w:t>）=财政实际结算金额（</w:t>
      </w:r>
      <w:r>
        <w:rPr>
          <w:rFonts w:hint="eastAsia"/>
        </w:rPr>
        <w:t>2</w:t>
      </w:r>
      <w:r>
        <w:t>）</w:t>
      </w:r>
      <w:r>
        <w:rPr>
          <w:rFonts w:hint="eastAsia"/>
        </w:rPr>
        <w:t>-无保底量定额补贴（</w:t>
      </w:r>
      <w:r>
        <w:t>3）；</w:t>
      </w:r>
      <w:r>
        <w:rPr>
          <w:rFonts w:hint="eastAsia"/>
        </w:rPr>
        <w:t>有保底量定额补贴（</w:t>
      </w:r>
      <w:r>
        <w:t>5）</w:t>
      </w:r>
      <w:r>
        <w:rPr>
          <w:rFonts w:hint="eastAsia"/>
        </w:rPr>
        <w:t>=</w:t>
      </w:r>
      <w:r>
        <w:t>MAX（实际处理量，保底量）</w:t>
      </w:r>
      <w:r>
        <w:rPr>
          <w:rFonts w:hint="eastAsia"/>
        </w:rPr>
        <w:t>×1</w:t>
      </w:r>
      <w:r>
        <w:t>35.14；</w:t>
      </w:r>
      <w:r>
        <w:rPr>
          <w:rFonts w:hint="eastAsia"/>
        </w:rPr>
        <w:t>有保底量差额（</w:t>
      </w:r>
      <w:r>
        <w:t>6）</w:t>
      </w:r>
      <w:r>
        <w:rPr>
          <w:rFonts w:hint="eastAsia"/>
        </w:rPr>
        <w:t>=</w:t>
      </w:r>
      <w:r>
        <w:t>财政实际结算金额（</w:t>
      </w:r>
      <w:r>
        <w:rPr>
          <w:rFonts w:hint="eastAsia"/>
        </w:rPr>
        <w:t>2</w:t>
      </w:r>
      <w:r>
        <w:t>）</w:t>
      </w:r>
      <w:r>
        <w:rPr>
          <w:rFonts w:hint="eastAsia"/>
        </w:rPr>
        <w:t>-有保底量定额补贴（</w:t>
      </w:r>
      <w:r>
        <w:t>5）。</w:t>
      </w:r>
      <w:r>
        <w:rPr>
          <w:rFonts w:hint="eastAsia"/>
        </w:rPr>
        <w:t>2</w:t>
      </w:r>
      <w:r>
        <w:t>020年</w:t>
      </w:r>
      <w:r>
        <w:rPr>
          <w:rFonts w:hint="eastAsia"/>
        </w:rPr>
        <w:t>1</w:t>
      </w:r>
      <w:r>
        <w:t>-6月，实际处理量虽然未达到保底量，但实际结算时按实际量进行结算</w:t>
      </w:r>
    </w:p>
    <w:p>
      <w:pPr>
        <w:ind w:firstLine="560"/>
        <w:jc w:val="right"/>
        <w:rPr>
          <w:rFonts w:hint="eastAsia" w:asciiTheme="minorEastAsia" w:hAnsiTheme="minorEastAsia" w:eastAsiaTheme="minorEastAsia"/>
          <w:sz w:val="28"/>
          <w:szCs w:val="28"/>
        </w:rPr>
      </w:pPr>
      <w:r>
        <w:rPr>
          <w:rFonts w:asciiTheme="minorEastAsia" w:hAnsiTheme="minorEastAsia" w:eastAsiaTheme="minorEastAsia"/>
          <w:sz w:val="28"/>
          <w:szCs w:val="28"/>
        </w:rPr>
        <w:t>表</w:t>
      </w:r>
      <w:r>
        <w:rPr>
          <w:rFonts w:hint="eastAsia" w:asciiTheme="minorEastAsia" w:hAnsiTheme="minorEastAsia" w:eastAsiaTheme="minorEastAsia"/>
          <w:sz w:val="28"/>
          <w:szCs w:val="28"/>
        </w:rPr>
        <w:t>4</w:t>
      </w:r>
      <w:r>
        <w:rPr>
          <w:rFonts w:asciiTheme="minorEastAsia" w:hAnsiTheme="minorEastAsia" w:eastAsiaTheme="minorEastAsia"/>
          <w:sz w:val="28"/>
          <w:szCs w:val="28"/>
        </w:rPr>
        <w:t>-9财政实际结算金额与定额成本比较</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hint="eastAsia" w:asciiTheme="minorEastAsia" w:hAnsiTheme="minorEastAsia" w:eastAsiaTheme="minorEastAsia"/>
          <w:sz w:val="24"/>
        </w:rPr>
        <w:t>单位：元</w:t>
      </w:r>
    </w:p>
    <w:tbl>
      <w:tblPr>
        <w:tblStyle w:val="14"/>
        <w:tblW w:w="47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728"/>
        <w:gridCol w:w="1020"/>
        <w:gridCol w:w="1164"/>
        <w:gridCol w:w="1165"/>
        <w:gridCol w:w="1164"/>
        <w:gridCol w:w="1311"/>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265" w:type="pct"/>
            <w:shd w:val="clear" w:color="auto" w:fill="auto"/>
            <w:noWrap/>
            <w:vAlign w:val="center"/>
          </w:tcPr>
          <w:p>
            <w:pPr>
              <w:widowControl/>
              <w:spacing w:line="240" w:lineRule="auto"/>
              <w:ind w:firstLine="0" w:firstLineChars="0"/>
              <w:jc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年</w:t>
            </w:r>
          </w:p>
        </w:tc>
        <w:tc>
          <w:tcPr>
            <w:tcW w:w="447" w:type="pct"/>
            <w:shd w:val="clear" w:color="auto" w:fill="auto"/>
            <w:noWrap/>
            <w:vAlign w:val="center"/>
          </w:tcPr>
          <w:p>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月</w:t>
            </w:r>
          </w:p>
        </w:tc>
        <w:tc>
          <w:tcPr>
            <w:tcW w:w="626" w:type="pct"/>
            <w:shd w:val="clear" w:color="auto" w:fill="auto"/>
            <w:noWrap/>
            <w:vAlign w:val="center"/>
          </w:tcPr>
          <w:p>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实际处理量（吨）（1）</w:t>
            </w:r>
          </w:p>
        </w:tc>
        <w:tc>
          <w:tcPr>
            <w:tcW w:w="714" w:type="pct"/>
            <w:shd w:val="clear" w:color="auto" w:fill="auto"/>
            <w:noWrap/>
            <w:vAlign w:val="center"/>
          </w:tcPr>
          <w:p>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财政结算金额（2）</w:t>
            </w:r>
          </w:p>
        </w:tc>
        <w:tc>
          <w:tcPr>
            <w:tcW w:w="715" w:type="pct"/>
            <w:shd w:val="clear" w:color="auto" w:fill="auto"/>
            <w:noWrap/>
            <w:vAlign w:val="center"/>
          </w:tcPr>
          <w:p>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无保底量定额补贴（3）</w:t>
            </w:r>
          </w:p>
        </w:tc>
        <w:tc>
          <w:tcPr>
            <w:tcW w:w="714" w:type="pct"/>
            <w:shd w:val="clear" w:color="auto" w:fill="auto"/>
            <w:noWrap/>
            <w:vAlign w:val="center"/>
          </w:tcPr>
          <w:p>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无保底量差额（4）</w:t>
            </w:r>
          </w:p>
        </w:tc>
        <w:tc>
          <w:tcPr>
            <w:tcW w:w="804" w:type="pct"/>
            <w:shd w:val="clear" w:color="auto" w:fill="auto"/>
            <w:noWrap/>
            <w:vAlign w:val="center"/>
          </w:tcPr>
          <w:p>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有保底量定额补贴（5）</w:t>
            </w:r>
          </w:p>
        </w:tc>
        <w:tc>
          <w:tcPr>
            <w:tcW w:w="715" w:type="pct"/>
            <w:shd w:val="clear" w:color="auto" w:fill="auto"/>
            <w:noWrap/>
            <w:vAlign w:val="center"/>
          </w:tcPr>
          <w:p>
            <w:pPr>
              <w:widowControl/>
              <w:spacing w:line="240" w:lineRule="auto"/>
              <w:ind w:firstLine="0" w:firstLineChars="0"/>
              <w:jc w:val="center"/>
              <w:rPr>
                <w:rFonts w:hint="eastAsia" w:ascii="宋体" w:hAnsi="宋体" w:eastAsia="宋体" w:cs="宋体"/>
                <w:b/>
                <w:color w:val="000000"/>
                <w:kern w:val="0"/>
                <w:sz w:val="22"/>
                <w:szCs w:val="22"/>
              </w:rPr>
            </w:pPr>
            <w:r>
              <w:rPr>
                <w:rFonts w:hint="eastAsia" w:ascii="宋体" w:hAnsi="宋体" w:eastAsia="宋体" w:cs="宋体"/>
                <w:b/>
                <w:color w:val="000000"/>
                <w:kern w:val="0"/>
                <w:sz w:val="22"/>
                <w:szCs w:val="22"/>
              </w:rPr>
              <w:t>有保底量差额（6）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restar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2020年</w:t>
            </w: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142.26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23899.68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19225.02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4674.66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p>
        </w:tc>
        <w:tc>
          <w:tcPr>
            <w:tcW w:w="715" w:type="pct"/>
            <w:shd w:val="clear" w:color="auto" w:fill="auto"/>
            <w:noWrap/>
            <w:vAlign w:val="bottom"/>
          </w:tcPr>
          <w:p>
            <w:pPr>
              <w:widowControl/>
              <w:spacing w:line="240" w:lineRule="auto"/>
              <w:ind w:firstLine="0" w:firstLineChars="0"/>
              <w:jc w:val="left"/>
              <w:rPr>
                <w:rFonts w:ascii="Times New Roman" w:hAns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2月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0.00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0.00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0.00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0.00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p>
        </w:tc>
        <w:tc>
          <w:tcPr>
            <w:tcW w:w="715" w:type="pct"/>
            <w:shd w:val="clear" w:color="auto" w:fill="auto"/>
            <w:noWrap/>
            <w:vAlign w:val="bottom"/>
          </w:tcPr>
          <w:p>
            <w:pPr>
              <w:widowControl/>
              <w:spacing w:line="240" w:lineRule="auto"/>
              <w:ind w:firstLine="0" w:firstLineChars="0"/>
              <w:jc w:val="left"/>
              <w:rPr>
                <w:rFonts w:ascii="Times New Roman" w:hAns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3月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23.02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3867.36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3110.92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756.44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p>
        </w:tc>
        <w:tc>
          <w:tcPr>
            <w:tcW w:w="715" w:type="pct"/>
            <w:shd w:val="clear" w:color="auto" w:fill="auto"/>
            <w:noWrap/>
            <w:vAlign w:val="bottom"/>
          </w:tcPr>
          <w:p>
            <w:pPr>
              <w:widowControl/>
              <w:spacing w:line="240" w:lineRule="auto"/>
              <w:ind w:firstLine="0" w:firstLineChars="0"/>
              <w:jc w:val="left"/>
              <w:rPr>
                <w:rFonts w:ascii="Times New Roman" w:hAns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4月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112.00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18816.00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15135.68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3680.32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p>
        </w:tc>
        <w:tc>
          <w:tcPr>
            <w:tcW w:w="715" w:type="pct"/>
            <w:shd w:val="clear" w:color="auto" w:fill="auto"/>
            <w:noWrap/>
            <w:vAlign w:val="bottom"/>
          </w:tcPr>
          <w:p>
            <w:pPr>
              <w:widowControl/>
              <w:spacing w:line="240" w:lineRule="auto"/>
              <w:ind w:firstLine="0" w:firstLineChars="0"/>
              <w:jc w:val="left"/>
              <w:rPr>
                <w:rFonts w:ascii="Times New Roman" w:hAns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5月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175.64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29507.52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23735.99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5771.53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p>
        </w:tc>
        <w:tc>
          <w:tcPr>
            <w:tcW w:w="715" w:type="pct"/>
            <w:shd w:val="clear" w:color="auto" w:fill="auto"/>
            <w:noWrap/>
            <w:vAlign w:val="bottom"/>
          </w:tcPr>
          <w:p>
            <w:pPr>
              <w:widowControl/>
              <w:spacing w:line="240" w:lineRule="auto"/>
              <w:ind w:firstLine="0" w:firstLineChars="0"/>
              <w:jc w:val="left"/>
              <w:rPr>
                <w:rFonts w:ascii="Times New Roman" w:hAns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6月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164.74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27676.32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22262.96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5413.36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p>
        </w:tc>
        <w:tc>
          <w:tcPr>
            <w:tcW w:w="715" w:type="pct"/>
            <w:shd w:val="clear" w:color="auto" w:fill="auto"/>
            <w:noWrap/>
            <w:vAlign w:val="bottom"/>
          </w:tcPr>
          <w:p>
            <w:pPr>
              <w:widowControl/>
              <w:spacing w:line="240" w:lineRule="auto"/>
              <w:ind w:firstLine="0" w:firstLineChars="0"/>
              <w:jc w:val="left"/>
              <w:rPr>
                <w:rFonts w:ascii="Times New Roman" w:hAns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7月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174.18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41664.00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23538.69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18125.31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33514.72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8149.28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149.78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41664.00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20241.27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21422.73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33514.72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8149.28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200.00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40320.00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27028.00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13292.00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32433.60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7886.40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193.70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41664.00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26176.62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15487.38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33514.72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8149.28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187.16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40320.00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25292.80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15027.20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32433.60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7886.40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162.50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41664.00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21960.25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19703.75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33514.72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8149.28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2" w:type="pct"/>
            <w:gridSpan w:val="2"/>
            <w:vAlign w:val="center"/>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年度合计</w:t>
            </w:r>
          </w:p>
        </w:tc>
        <w:tc>
          <w:tcPr>
            <w:tcW w:w="626"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1684 </w:t>
            </w:r>
          </w:p>
        </w:tc>
        <w:tc>
          <w:tcPr>
            <w:tcW w:w="714"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351062 </w:t>
            </w:r>
          </w:p>
        </w:tc>
        <w:tc>
          <w:tcPr>
            <w:tcW w:w="715"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227708 </w:t>
            </w:r>
          </w:p>
        </w:tc>
        <w:tc>
          <w:tcPr>
            <w:tcW w:w="714"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123354 </w:t>
            </w:r>
          </w:p>
        </w:tc>
        <w:tc>
          <w:tcPr>
            <w:tcW w:w="804"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198926 </w:t>
            </w:r>
          </w:p>
        </w:tc>
        <w:tc>
          <w:tcPr>
            <w:tcW w:w="715"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48369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restar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2021年</w:t>
            </w: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138.92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41664.00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18773.65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22890.35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33514.72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8149.28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114.40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37632.00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15460.02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22171.98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30271.36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7360.64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267.82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44993.76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36193.19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8800.57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36193.19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8800.57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258.78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43475.04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34971.53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8503.51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34971.53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8503.51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255.45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42915.60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34521.51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8394.09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34521.51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8394.09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265.68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44634.24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35904.00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8730.24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35904.00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8730.24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209.90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41664.00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28365.89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13298.11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33514.72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8149.28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166.14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41664.00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22452.16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19211.84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33514.72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8149.28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228.06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40320.00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30820.03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9499.97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32433.60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7886.40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189.06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41664.00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25549.57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16114.43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33514.72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8149.28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207.90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40320.00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28095.61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12224.39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32433.60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7886.40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12月</w:t>
            </w:r>
          </w:p>
        </w:tc>
        <w:tc>
          <w:tcPr>
            <w:tcW w:w="626" w:type="pct"/>
            <w:shd w:val="clear" w:color="auto" w:fill="FFFFFF" w:themeFill="background1"/>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1"/>
                <w:szCs w:val="21"/>
              </w:rPr>
              <w:t xml:space="preserve">209.28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41664.00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28282.47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13381.53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33514.72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8149.28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2" w:type="pct"/>
            <w:gridSpan w:val="2"/>
            <w:vAlign w:val="center"/>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年度合计</w:t>
            </w:r>
          </w:p>
        </w:tc>
        <w:tc>
          <w:tcPr>
            <w:tcW w:w="626" w:type="pct"/>
            <w:shd w:val="clear" w:color="auto" w:fill="FFFFFF" w:themeFill="background1"/>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2511</w:t>
            </w:r>
          </w:p>
        </w:tc>
        <w:tc>
          <w:tcPr>
            <w:tcW w:w="714"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502610 </w:t>
            </w:r>
          </w:p>
        </w:tc>
        <w:tc>
          <w:tcPr>
            <w:tcW w:w="715"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339389 </w:t>
            </w:r>
          </w:p>
        </w:tc>
        <w:tc>
          <w:tcPr>
            <w:tcW w:w="714"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163221 </w:t>
            </w:r>
          </w:p>
        </w:tc>
        <w:tc>
          <w:tcPr>
            <w:tcW w:w="804"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404302 </w:t>
            </w:r>
          </w:p>
        </w:tc>
        <w:tc>
          <w:tcPr>
            <w:tcW w:w="715"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98308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restart"/>
            <w:shd w:val="clear" w:color="auto" w:fill="auto"/>
            <w:noWrap/>
            <w:vAlign w:val="center"/>
          </w:tcPr>
          <w:p>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2022年</w:t>
            </w: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203.84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41664.00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27546.94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14117.06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33514.72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8149.28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170.98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37632.00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23106.24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14525.76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30271.36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7360.64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258.36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43404.48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34914.77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8489.71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34914.77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8489.71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171.11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40320.00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23123.81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17196.19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32433.60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7886.40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308.52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51831.36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41693.39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10137.97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41693.39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10137.97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297.10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49912.80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40150.09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9762.71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40150.09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9762.71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249.24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41872.32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33682.29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8190.03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33682.29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8190.03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243.68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41661.00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32930.92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8730.08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33514.72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8146.28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314.26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52795.68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42469.10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10326.58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42469.10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10326.58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233.18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41664.00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31511.95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10152.05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33514.72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8149.28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11月</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185.62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40320.00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25084.69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15235.31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32433.60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7886.40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65" w:type="pct"/>
            <w:vMerge w:val="continue"/>
            <w:vAlign w:val="center"/>
          </w:tcPr>
          <w:p>
            <w:pPr>
              <w:widowControl/>
              <w:spacing w:line="240" w:lineRule="auto"/>
              <w:ind w:firstLine="0" w:firstLineChars="0"/>
              <w:jc w:val="left"/>
              <w:rPr>
                <w:rFonts w:ascii="宋体" w:hAnsi="宋体" w:eastAsia="宋体" w:cs="宋体"/>
                <w:color w:val="000000"/>
                <w:kern w:val="0"/>
                <w:sz w:val="22"/>
                <w:szCs w:val="22"/>
              </w:rPr>
            </w:pPr>
          </w:p>
        </w:tc>
        <w:tc>
          <w:tcPr>
            <w:tcW w:w="447" w:type="pct"/>
            <w:shd w:val="clear" w:color="auto" w:fill="auto"/>
            <w:noWrap/>
            <w:vAlign w:val="bottom"/>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12月</w:t>
            </w:r>
          </w:p>
        </w:tc>
        <w:tc>
          <w:tcPr>
            <w:tcW w:w="626" w:type="pct"/>
            <w:shd w:val="clear" w:color="auto" w:fill="FFFFFF" w:themeFill="background1"/>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1"/>
                <w:szCs w:val="21"/>
              </w:rPr>
              <w:t>239.63</w:t>
            </w:r>
            <w:r>
              <w:rPr>
                <w:rFonts w:hint="eastAsia" w:ascii="宋体" w:hAnsi="宋体" w:eastAsia="宋体" w:cs="宋体"/>
                <w:color w:val="000000"/>
                <w:kern w:val="0"/>
                <w:sz w:val="22"/>
                <w:szCs w:val="22"/>
              </w:rPr>
              <w:t xml:space="preserve">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41664.00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32383.11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33514.72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8149.28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2" w:type="pct"/>
            <w:gridSpan w:val="2"/>
            <w:vAlign w:val="center"/>
          </w:tcPr>
          <w:p>
            <w:pPr>
              <w:widowControl/>
              <w:spacing w:line="240" w:lineRule="auto"/>
              <w:ind w:firstLine="0" w:firstLineChars="0"/>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年度合计</w:t>
            </w:r>
          </w:p>
        </w:tc>
        <w:tc>
          <w:tcPr>
            <w:tcW w:w="626" w:type="pct"/>
            <w:shd w:val="clear" w:color="auto" w:fill="FFFFFF" w:themeFill="background1"/>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2876 </w:t>
            </w:r>
          </w:p>
        </w:tc>
        <w:tc>
          <w:tcPr>
            <w:tcW w:w="714"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524742 </w:t>
            </w:r>
          </w:p>
        </w:tc>
        <w:tc>
          <w:tcPr>
            <w:tcW w:w="715"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388597 </w:t>
            </w:r>
          </w:p>
        </w:tc>
        <w:tc>
          <w:tcPr>
            <w:tcW w:w="714"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136144 </w:t>
            </w:r>
          </w:p>
        </w:tc>
        <w:tc>
          <w:tcPr>
            <w:tcW w:w="804"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422107 </w:t>
            </w:r>
          </w:p>
        </w:tc>
        <w:tc>
          <w:tcPr>
            <w:tcW w:w="715" w:type="pct"/>
            <w:shd w:val="clear" w:color="auto" w:fill="auto"/>
            <w:noWrap/>
          </w:tcPr>
          <w:p>
            <w:pPr>
              <w:widowControl/>
              <w:spacing w:line="240" w:lineRule="auto"/>
              <w:ind w:firstLine="0" w:firstLineChars="0"/>
              <w:jc w:val="right"/>
              <w:rPr>
                <w:rFonts w:ascii="宋体" w:hAnsi="宋体" w:eastAsia="宋体" w:cs="宋体"/>
                <w:color w:val="000000"/>
                <w:kern w:val="0"/>
                <w:sz w:val="21"/>
                <w:szCs w:val="21"/>
              </w:rPr>
            </w:pPr>
            <w:r>
              <w:rPr>
                <w:rFonts w:ascii="宋体" w:hAnsi="宋体" w:eastAsia="宋体" w:cs="宋体"/>
                <w:color w:val="000000"/>
                <w:kern w:val="0"/>
                <w:sz w:val="21"/>
                <w:szCs w:val="21"/>
              </w:rPr>
              <w:t xml:space="preserve">102635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12" w:type="pct"/>
            <w:gridSpan w:val="2"/>
            <w:shd w:val="clear" w:color="auto" w:fill="auto"/>
            <w:noWrap/>
            <w:vAlign w:val="bottom"/>
          </w:tcPr>
          <w:p>
            <w:pPr>
              <w:widowControl/>
              <w:spacing w:line="240" w:lineRule="auto"/>
              <w:ind w:firstLine="0" w:firstLineChars="0"/>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三年合计</w:t>
            </w:r>
          </w:p>
        </w:tc>
        <w:tc>
          <w:tcPr>
            <w:tcW w:w="626"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7071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1378415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955695 </w:t>
            </w:r>
          </w:p>
        </w:tc>
        <w:tc>
          <w:tcPr>
            <w:tcW w:w="71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422720 </w:t>
            </w:r>
          </w:p>
        </w:tc>
        <w:tc>
          <w:tcPr>
            <w:tcW w:w="804"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1025335 </w:t>
            </w:r>
          </w:p>
        </w:tc>
        <w:tc>
          <w:tcPr>
            <w:tcW w:w="715" w:type="pct"/>
            <w:shd w:val="clear" w:color="auto" w:fill="auto"/>
            <w:noWrap/>
            <w:vAlign w:val="bottom"/>
          </w:tcPr>
          <w:p>
            <w:pPr>
              <w:widowControl/>
              <w:spacing w:line="240" w:lineRule="auto"/>
              <w:ind w:firstLine="0" w:firstLineChars="0"/>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xml:space="preserve">249312 </w:t>
            </w:r>
          </w:p>
        </w:tc>
      </w:tr>
    </w:tbl>
    <w:p>
      <w:pPr>
        <w:ind w:firstLine="640"/>
        <w:rPr>
          <w:rFonts w:hint="eastAsia"/>
        </w:rPr>
      </w:pPr>
      <w:r>
        <w:drawing>
          <wp:anchor distT="0" distB="0" distL="114300" distR="114300" simplePos="0" relativeHeight="251659264" behindDoc="1" locked="0" layoutInCell="1" allowOverlap="1">
            <wp:simplePos x="0" y="0"/>
            <wp:positionH relativeFrom="column">
              <wp:posOffset>360045</wp:posOffset>
            </wp:positionH>
            <wp:positionV relativeFrom="paragraph">
              <wp:posOffset>1599565</wp:posOffset>
            </wp:positionV>
            <wp:extent cx="4152900" cy="2400300"/>
            <wp:effectExtent l="4445" t="4445" r="18415" b="1841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rPr>
        <w:t>考虑到《特许经营协议》的约定，评价小组对2</w:t>
      </w:r>
      <w:r>
        <w:t>020-2022年度</w:t>
      </w:r>
      <w:r>
        <w:rPr>
          <w:rFonts w:hint="eastAsia"/>
        </w:rPr>
        <w:t>财政实际结算金额与有保底量的定额补贴金额对比，2</w:t>
      </w:r>
      <w:r>
        <w:t>020年度只包括</w:t>
      </w:r>
      <w:r>
        <w:rPr>
          <w:rFonts w:hint="eastAsia"/>
        </w:rPr>
        <w:t>7</w:t>
      </w:r>
      <w:r>
        <w:t>-12月数据，</w:t>
      </w:r>
      <w:r>
        <w:rPr>
          <w:rFonts w:hint="eastAsia"/>
        </w:rPr>
        <w:t>2</w:t>
      </w:r>
      <w:r>
        <w:t>021-2022年均为全年数据。</w:t>
      </w:r>
      <w:r>
        <w:rPr>
          <w:rFonts w:hint="eastAsia"/>
        </w:rPr>
        <w:t>结果如图4</w:t>
      </w:r>
      <w:r>
        <w:t>-1所示（单位：元）。</w:t>
      </w:r>
    </w:p>
    <w:p>
      <w:pPr>
        <w:ind w:firstLine="560"/>
        <w:rPr>
          <w:rFonts w:asciiTheme="minorEastAsia" w:hAnsiTheme="minorEastAsia" w:eastAsiaTheme="minorEastAsia"/>
          <w:sz w:val="28"/>
          <w:szCs w:val="28"/>
        </w:rPr>
      </w:pPr>
      <w:bookmarkStart w:id="28" w:name="_Toc137554203"/>
      <w:r>
        <w:rPr>
          <w:rFonts w:asciiTheme="minorEastAsia" w:hAnsiTheme="minorEastAsia" w:eastAsiaTheme="minorEastAsia"/>
          <w:sz w:val="28"/>
          <w:szCs w:val="28"/>
        </w:rPr>
        <w:t>图</w:t>
      </w:r>
      <w:r>
        <w:rPr>
          <w:rFonts w:hint="eastAsia" w:asciiTheme="minorEastAsia" w:hAnsiTheme="minorEastAsia" w:eastAsiaTheme="minorEastAsia"/>
          <w:sz w:val="28"/>
          <w:szCs w:val="28"/>
        </w:rPr>
        <w:t>4</w:t>
      </w:r>
      <w:r>
        <w:rPr>
          <w:rFonts w:asciiTheme="minorEastAsia" w:hAnsiTheme="minorEastAsia" w:eastAsiaTheme="minorEastAsia"/>
          <w:sz w:val="28"/>
          <w:szCs w:val="28"/>
        </w:rPr>
        <w:t>-1 2020-2022财政结算金额与定额补贴标准额对比（元）</w:t>
      </w:r>
    </w:p>
    <w:p>
      <w:pPr>
        <w:pStyle w:val="3"/>
        <w:ind w:firstLine="640"/>
      </w:pPr>
      <w:r>
        <w:rPr>
          <w:rFonts w:hint="eastAsia"/>
        </w:rPr>
        <w:t>五</w:t>
      </w:r>
      <w:r>
        <w:t>、</w:t>
      </w:r>
      <w:r>
        <w:rPr>
          <w:rFonts w:hint="eastAsia"/>
        </w:rPr>
        <w:t>存在</w:t>
      </w:r>
      <w:r>
        <w:t>的问题及建议</w:t>
      </w:r>
      <w:bookmarkEnd w:id="28"/>
    </w:p>
    <w:p>
      <w:pPr>
        <w:pStyle w:val="4"/>
        <w:bidi w:val="0"/>
      </w:pPr>
      <w:r>
        <w:rPr>
          <w:rFonts w:hint="eastAsia"/>
          <w:lang w:eastAsia="zh-CN"/>
        </w:rPr>
        <w:t>（</w:t>
      </w:r>
      <w:r>
        <w:rPr>
          <w:rFonts w:hint="eastAsia"/>
          <w:lang w:val="en-US" w:eastAsia="zh-CN"/>
        </w:rPr>
        <w:t>一</w:t>
      </w:r>
      <w:r>
        <w:rPr>
          <w:rFonts w:hint="eastAsia"/>
          <w:lang w:eastAsia="zh-CN"/>
        </w:rPr>
        <w:t>）</w:t>
      </w:r>
      <w:r>
        <w:rPr>
          <w:rFonts w:hint="eastAsia"/>
        </w:rPr>
        <w:t>会计</w:t>
      </w:r>
      <w:r>
        <w:t>核算</w:t>
      </w:r>
      <w:r>
        <w:rPr>
          <w:rFonts w:hint="eastAsia"/>
        </w:rPr>
        <w:t>方式不规范导致</w:t>
      </w:r>
      <w:r>
        <w:t>成本</w:t>
      </w:r>
      <w:r>
        <w:rPr>
          <w:rFonts w:hint="eastAsia"/>
        </w:rPr>
        <w:t>偏高</w:t>
      </w:r>
    </w:p>
    <w:p>
      <w:pPr>
        <w:ind w:firstLine="640"/>
      </w:pPr>
      <w:r>
        <w:rPr>
          <w:rFonts w:hint="eastAsia"/>
        </w:rPr>
        <w:t>根据《企业会计准则》的要求，企业设备等固定资产的大修理支、厂区基建工程等支出</w:t>
      </w:r>
      <w:r>
        <w:rPr>
          <w:rFonts w:hint="eastAsia"/>
          <w:color w:val="000000" w:themeColor="text1"/>
          <w14:textFill>
            <w14:solidFill>
              <w14:schemeClr w14:val="tx1"/>
            </w14:solidFill>
          </w14:textFill>
        </w:rPr>
        <w:t>应增加企业固定资产原值或者计入长期待摊费用</w:t>
      </w:r>
      <w:r>
        <w:rPr>
          <w:rFonts w:hint="eastAsia"/>
        </w:rPr>
        <w:t>。若将该类支出直接计入当年费用会造成当年成本过大，后期成本偏小的问题。中科安佑公司在会计核算过程中存在部分该类现象，使得评价报告中所使用的样本数据所反映的餐厨废弃物处理成本偏大。建议根据《企业会计准则》的要求重新梳理相关历史成本，调整相关账簿的记账方式，合理分摊成本。</w:t>
      </w:r>
    </w:p>
    <w:p>
      <w:pPr>
        <w:pStyle w:val="4"/>
        <w:bidi w:val="0"/>
      </w:pPr>
      <w:r>
        <w:rPr>
          <w:rFonts w:hint="eastAsia"/>
          <w:lang w:eastAsia="zh-CN"/>
        </w:rPr>
        <w:t>（</w:t>
      </w:r>
      <w:r>
        <w:rPr>
          <w:rFonts w:hint="eastAsia"/>
          <w:lang w:val="en-US" w:eastAsia="zh-CN"/>
        </w:rPr>
        <w:t>二</w:t>
      </w:r>
      <w:r>
        <w:rPr>
          <w:rFonts w:hint="eastAsia"/>
          <w:lang w:eastAsia="zh-CN"/>
        </w:rPr>
        <w:t>）</w:t>
      </w:r>
      <w:r>
        <w:rPr>
          <w:rFonts w:hint="eastAsia"/>
        </w:rPr>
        <w:t>餐厨</w:t>
      </w:r>
      <w:r>
        <w:t>废弃物清运保底量偏高</w:t>
      </w:r>
    </w:p>
    <w:p>
      <w:pPr>
        <w:ind w:firstLine="320" w:firstLineChars="100"/>
        <w:rPr>
          <w:color w:val="000000"/>
          <w:szCs w:val="32"/>
        </w:rPr>
      </w:pPr>
      <w:r>
        <w:rPr>
          <w:rFonts w:hint="eastAsia"/>
        </w:rPr>
        <w:t>按照《特许经营权协议》</w:t>
      </w:r>
      <w:r>
        <w:rPr>
          <w:rFonts w:hint="eastAsia"/>
          <w:color w:val="000000"/>
          <w:szCs w:val="32"/>
        </w:rPr>
        <w:t>运营期前两年保底量按</w:t>
      </w:r>
      <w:r>
        <w:rPr>
          <w:rFonts w:hint="eastAsia" w:hAnsi="TimesNewRomanPSMT"/>
          <w:color w:val="000000"/>
          <w:szCs w:val="32"/>
        </w:rPr>
        <w:t>100</w:t>
      </w:r>
      <w:r>
        <w:rPr>
          <w:rFonts w:hint="eastAsia"/>
          <w:color w:val="000000"/>
          <w:szCs w:val="32"/>
        </w:rPr>
        <w:t>吨</w:t>
      </w:r>
      <w:r>
        <w:rPr>
          <w:rFonts w:hint="eastAsia" w:hAnsi="TimesNewRomanPSMT"/>
          <w:color w:val="000000"/>
          <w:szCs w:val="32"/>
        </w:rPr>
        <w:t>/</w:t>
      </w:r>
      <w:r>
        <w:rPr>
          <w:rFonts w:hint="eastAsia"/>
          <w:color w:val="000000"/>
          <w:szCs w:val="32"/>
        </w:rPr>
        <w:t>日计算，即不足</w:t>
      </w:r>
      <w:r>
        <w:rPr>
          <w:rFonts w:hint="eastAsia" w:hAnsi="TimesNewRomanPSMT"/>
          <w:color w:val="000000"/>
          <w:szCs w:val="32"/>
        </w:rPr>
        <w:t>100</w:t>
      </w:r>
      <w:r>
        <w:rPr>
          <w:rFonts w:hint="eastAsia"/>
          <w:color w:val="000000"/>
          <w:szCs w:val="32"/>
        </w:rPr>
        <w:t>按</w:t>
      </w:r>
      <w:r>
        <w:rPr>
          <w:rFonts w:hint="eastAsia" w:hAnsi="TimesNewRomanPSMT"/>
          <w:color w:val="000000"/>
          <w:szCs w:val="32"/>
        </w:rPr>
        <w:t>100</w:t>
      </w:r>
      <w:r>
        <w:rPr>
          <w:rFonts w:hint="eastAsia"/>
          <w:color w:val="000000"/>
          <w:szCs w:val="32"/>
        </w:rPr>
        <w:t>结算，超过</w:t>
      </w:r>
      <w:r>
        <w:rPr>
          <w:rFonts w:hint="eastAsia" w:hAnsi="TimesNewRomanPSMT"/>
          <w:color w:val="000000"/>
          <w:szCs w:val="32"/>
        </w:rPr>
        <w:t>100</w:t>
      </w:r>
      <w:r>
        <w:rPr>
          <w:rFonts w:hint="eastAsia"/>
          <w:color w:val="000000"/>
          <w:szCs w:val="32"/>
        </w:rPr>
        <w:t>吨</w:t>
      </w:r>
      <w:r>
        <w:rPr>
          <w:rFonts w:hint="eastAsia" w:hAnsi="TimesNewRomanPSMT"/>
          <w:color w:val="000000"/>
          <w:szCs w:val="32"/>
        </w:rPr>
        <w:t>/</w:t>
      </w:r>
      <w:r>
        <w:rPr>
          <w:rFonts w:hint="eastAsia"/>
          <w:color w:val="000000"/>
          <w:szCs w:val="32"/>
        </w:rPr>
        <w:t>日据实计算；第三年起按</w:t>
      </w:r>
      <w:r>
        <w:rPr>
          <w:rFonts w:hint="eastAsia" w:hAnsi="TimesNewRomanPSMT"/>
          <w:color w:val="000000"/>
          <w:szCs w:val="32"/>
        </w:rPr>
        <w:t>150</w:t>
      </w:r>
      <w:r>
        <w:rPr>
          <w:rFonts w:hint="eastAsia"/>
          <w:color w:val="000000"/>
          <w:szCs w:val="32"/>
        </w:rPr>
        <w:t>吨</w:t>
      </w:r>
      <w:r>
        <w:rPr>
          <w:rFonts w:hint="eastAsia" w:hAnsi="TimesNewRomanPSMT"/>
          <w:color w:val="000000"/>
          <w:szCs w:val="32"/>
        </w:rPr>
        <w:t>/</w:t>
      </w:r>
      <w:r>
        <w:rPr>
          <w:rFonts w:hint="eastAsia"/>
          <w:color w:val="000000"/>
          <w:szCs w:val="32"/>
        </w:rPr>
        <w:t>日计算，即不足则按</w:t>
      </w:r>
      <w:r>
        <w:rPr>
          <w:rFonts w:hint="eastAsia" w:hAnsi="TimesNewRomanPSMT"/>
          <w:color w:val="000000"/>
          <w:szCs w:val="32"/>
        </w:rPr>
        <w:t>150</w:t>
      </w:r>
      <w:r>
        <w:rPr>
          <w:rFonts w:hint="eastAsia"/>
          <w:color w:val="000000"/>
          <w:szCs w:val="32"/>
        </w:rPr>
        <w:t>吨</w:t>
      </w:r>
      <w:r>
        <w:rPr>
          <w:rFonts w:hint="eastAsia" w:hAnsi="TimesNewRomanPSMT"/>
          <w:color w:val="000000"/>
          <w:szCs w:val="32"/>
        </w:rPr>
        <w:t>/</w:t>
      </w:r>
      <w:r>
        <w:rPr>
          <w:rFonts w:hint="eastAsia"/>
          <w:color w:val="000000"/>
          <w:szCs w:val="32"/>
        </w:rPr>
        <w:t>日计算，超出部分据实结算。2020-2021年度日均餐厨废弃物清运量分别为79吨、112吨、99吨，虽然新冠疫情对近三年的餐厨废弃物产生量产生了部分影响，但2019年未受疫情影响的情况下日均量101吨依然明显低于150吨/日的保底量。建议主管部门引导、督促更多餐饮等餐厨废弃物生产单位签订《餐厨废弃物收运处置协议》，规范餐厨废弃物收运、处置行为，从源头上提高餐厨废弃物收运量。</w:t>
      </w:r>
      <w:bookmarkStart w:id="36" w:name="_GoBack"/>
      <w:bookmarkEnd w:id="36"/>
    </w:p>
    <w:p>
      <w:pPr>
        <w:pStyle w:val="4"/>
        <w:bidi w:val="0"/>
      </w:pPr>
      <w:r>
        <w:rPr>
          <w:rFonts w:hint="eastAsia"/>
          <w:lang w:eastAsia="zh-CN"/>
        </w:rPr>
        <w:t>（</w:t>
      </w:r>
      <w:r>
        <w:rPr>
          <w:rFonts w:hint="eastAsia"/>
          <w:lang w:val="en-US" w:eastAsia="zh-CN"/>
        </w:rPr>
        <w:t>三</w:t>
      </w:r>
      <w:r>
        <w:rPr>
          <w:rFonts w:hint="eastAsia"/>
          <w:lang w:eastAsia="zh-CN"/>
        </w:rPr>
        <w:t>）</w:t>
      </w:r>
      <w:r>
        <w:rPr>
          <w:rFonts w:hint="eastAsia"/>
        </w:rPr>
        <w:t>各签约</w:t>
      </w:r>
      <w:r>
        <w:t>单位垃圾分类意识不足</w:t>
      </w:r>
    </w:p>
    <w:p>
      <w:pPr>
        <w:ind w:firstLine="640"/>
      </w:pPr>
      <w:r>
        <w:rPr>
          <w:rFonts w:hint="eastAsia"/>
        </w:rPr>
        <w:t>由于各签约单位未能将生活垃圾与餐厨废弃物进行分类处理，从以下几个方面加大了餐厨废弃物的收运及处理成本。首先，中科安佑公司在废弃物收运环节需要对废弃物混装，加大了废弃物收运过程中车辆、燃油、人力等成本。其次，在后期的废弃物处理过程中需要对生活垃圾与餐厨废弃物进行专门的分离处理，加大了电力、水费、人力等相关成本。最后，生活垃圾与餐厨废弃物混装使餐厨废弃物中含水量较高，降低了餐厨废弃物处理过程中的出油量，影响了企业的粗油脂收入。建议从加大宣传力度、建立奖惩机制两个方面提高餐厨签约单位餐厨废弃物分类处理意识，在此基础上逐步实现全民垃圾分类的意识提高。</w:t>
      </w:r>
    </w:p>
    <w:p>
      <w:pPr>
        <w:pStyle w:val="4"/>
        <w:bidi w:val="0"/>
      </w:pPr>
      <w:r>
        <w:rPr>
          <w:rFonts w:hint="eastAsia"/>
          <w:lang w:eastAsia="zh-CN"/>
        </w:rPr>
        <w:t>（</w:t>
      </w:r>
      <w:r>
        <w:rPr>
          <w:rFonts w:hint="eastAsia"/>
          <w:lang w:val="en-US" w:eastAsia="zh-CN"/>
        </w:rPr>
        <w:t>四</w:t>
      </w:r>
      <w:r>
        <w:rPr>
          <w:rFonts w:hint="eastAsia"/>
          <w:lang w:eastAsia="zh-CN"/>
        </w:rPr>
        <w:t>）</w:t>
      </w:r>
      <w:r>
        <w:rPr>
          <w:rFonts w:hint="eastAsia"/>
        </w:rPr>
        <w:t>收入来源</w:t>
      </w:r>
      <w:r>
        <w:t>较少</w:t>
      </w:r>
    </w:p>
    <w:p>
      <w:pPr>
        <w:ind w:firstLine="640"/>
      </w:pPr>
      <w:r>
        <w:rPr>
          <w:rFonts w:hint="eastAsia"/>
        </w:rPr>
        <w:t>自项目运营以来政府补贴收入是公司收入的主要来源，餐厨废弃物处理过程中产生的沼气资源没有得到充分利用，处理后得到的细渣可作为肥料或者昆虫饲养养料，未形成公司的有效收益。建议项目单位借鉴行业内其他企业，制定沼气资源化利用方案，制定相关的餐厨垃圾处理残渣销售计划，合理利用餐厨废弃物处理后的残渣使其变废为宝，增加企业收入来源。</w:t>
      </w:r>
    </w:p>
    <w:p>
      <w:pPr>
        <w:pStyle w:val="4"/>
        <w:bidi w:val="0"/>
      </w:pPr>
      <w:r>
        <w:rPr>
          <w:rFonts w:hint="eastAsia"/>
          <w:lang w:eastAsia="zh-CN"/>
        </w:rPr>
        <w:t>（</w:t>
      </w:r>
      <w:r>
        <w:rPr>
          <w:rFonts w:hint="eastAsia"/>
          <w:lang w:val="en-US" w:eastAsia="zh-CN"/>
        </w:rPr>
        <w:t>五</w:t>
      </w:r>
      <w:r>
        <w:rPr>
          <w:rFonts w:hint="eastAsia"/>
          <w:lang w:eastAsia="zh-CN"/>
        </w:rPr>
        <w:t>）</w:t>
      </w:r>
      <w:r>
        <w:rPr>
          <w:rFonts w:hint="eastAsia"/>
        </w:rPr>
        <w:t>项目运营</w:t>
      </w:r>
      <w:r>
        <w:t>缺乏长期有效的</w:t>
      </w:r>
      <w:r>
        <w:rPr>
          <w:rFonts w:hint="eastAsia"/>
        </w:rPr>
        <w:t>规划</w:t>
      </w:r>
    </w:p>
    <w:p>
      <w:pPr>
        <w:ind w:firstLine="640"/>
      </w:pPr>
      <w:r>
        <w:rPr>
          <w:rFonts w:hint="eastAsia"/>
        </w:rPr>
        <w:t>枣庄市人民政府于2015年元月对枣庄市餐厨废弃物无害化处理工程BOT运作方式项目通过邀请招标的方式，最终由北京中科通用能源环保有限公司中标，根据招标文件的约定北京中科公司在枣庄市设立项目公司（即枣庄市中科安佑环保有限公司）负责以BOT方式投资建设枣庄餐厨废弃物处理项目。中科安佑公司2015年8月17日成立，餐厨废弃物收运处理作业自2017年试运营期结束后，出现公司股东及股权结构变动且伴随公司经营模式的变动；此外，截止到评价小组现场调研日，公司依然存在部分技术更新改造的情况。公司的非程序化的业务加大了企业的投资成本，最终导致餐厨废弃物处理成本加大。建议项目公司学习行业内先进企业的经营经验，制定长期的经营规划，根据规划尽快完善餐厨废弃物处理设施及工艺。</w:t>
      </w:r>
    </w:p>
    <w:p>
      <w:pPr>
        <w:pStyle w:val="3"/>
        <w:ind w:firstLine="640"/>
      </w:pPr>
      <w:bookmarkStart w:id="29" w:name="_Toc137554204"/>
      <w:r>
        <w:t>六、</w:t>
      </w:r>
      <w:r>
        <w:rPr>
          <w:rFonts w:hint="eastAsia"/>
        </w:rPr>
        <w:t>应急拆除违建项目成本绩效分析</w:t>
      </w:r>
      <w:bookmarkEnd w:id="29"/>
    </w:p>
    <w:p>
      <w:pPr>
        <w:pStyle w:val="4"/>
        <w:ind w:firstLine="640"/>
      </w:pPr>
      <w:bookmarkStart w:id="30" w:name="_Toc137554205"/>
      <w:r>
        <w:t>（一）项目概况</w:t>
      </w:r>
      <w:bookmarkEnd w:id="30"/>
    </w:p>
    <w:p>
      <w:pPr>
        <w:pStyle w:val="5"/>
        <w:ind w:firstLine="640"/>
      </w:pPr>
      <w:r>
        <w:rPr>
          <w:rFonts w:hint="eastAsia"/>
        </w:rPr>
        <w:t>1</w:t>
      </w:r>
      <w:r>
        <w:t>.项目立项背景</w:t>
      </w:r>
    </w:p>
    <w:p>
      <w:pPr>
        <w:ind w:firstLine="640"/>
      </w:pPr>
      <w:r>
        <w:rPr>
          <w:rFonts w:hint="eastAsia"/>
        </w:rPr>
        <w:t>拆除违章建筑意义重大，是优化人居环境、创建文明城市的迫切需要，拆除违章建筑提高了城市形象和城市面貌，强制规范了公民依法办事行为。违法建筑普遍存在着消防安全、居住安全、生产安全、环境安全等隐患，严重阻碍了基础设施、公共服务设施的建设和提升。违法建筑的存在，使得城市空间布局难以优化，环境难以美化。“拆”是为了更好的“建”，“破”是为了更好的“立”，只有拆改结合、拆用结合，才能消除视觉污染，美化城市环境，加快各地文明城市建设。2022年7月枣庄市高新区管理委员会办公室根据《全省自建房安全专项整治工作方案》《全市自建房安全专项整治实施方案》部署要求，结合高新区实际印发了《枣庄高新区自建房安全专项整治实施方案》。</w:t>
      </w:r>
    </w:p>
    <w:p>
      <w:pPr>
        <w:pStyle w:val="5"/>
        <w:ind w:firstLine="640"/>
      </w:pPr>
      <w:r>
        <w:rPr>
          <w:rFonts w:hint="eastAsia"/>
        </w:rPr>
        <w:t>2</w:t>
      </w:r>
      <w:r>
        <w:t>.项目主管部门及项目资金</w:t>
      </w:r>
    </w:p>
    <w:p>
      <w:pPr>
        <w:ind w:firstLine="640"/>
      </w:pPr>
      <w:r>
        <w:rPr>
          <w:rFonts w:hint="eastAsia"/>
        </w:rPr>
        <w:t>该项目的主管部门为枣庄国家高新技术产业开发区下设部门枣庄高新区综合执法局。应急拆除违建及铁路沿线整治</w:t>
      </w:r>
      <w:r>
        <w:rPr>
          <w:rStyle w:val="38"/>
          <w:rFonts w:hint="default"/>
        </w:rPr>
        <w:t>项目无专门的财政预算，资金来源于区综合整治资金。</w:t>
      </w:r>
    </w:p>
    <w:p>
      <w:pPr>
        <w:pStyle w:val="4"/>
        <w:ind w:firstLine="640"/>
      </w:pPr>
      <w:bookmarkStart w:id="31" w:name="_Toc137554206"/>
      <w:r>
        <w:rPr>
          <w:rFonts w:hint="eastAsia"/>
        </w:rPr>
        <w:t>（二）成本分析</w:t>
      </w:r>
      <w:bookmarkEnd w:id="31"/>
    </w:p>
    <w:p>
      <w:pPr>
        <w:ind w:firstLine="640"/>
      </w:pPr>
      <w:r>
        <w:rPr>
          <w:rFonts w:hint="eastAsia"/>
        </w:rPr>
        <w:t>应急拆除违建及铁路沿线整治项目属于临时性、非程序化项目， 2020-2022年违建拆除的项目名称及金额如下表6-1所示。</w:t>
      </w:r>
    </w:p>
    <w:p>
      <w:pPr>
        <w:ind w:firstLine="56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表6-1 2020-2022应急拆除违建及铁路沿线整治项目统计</w:t>
      </w:r>
    </w:p>
    <w:tbl>
      <w:tblPr>
        <w:tblStyle w:val="14"/>
        <w:tblW w:w="5000" w:type="pct"/>
        <w:jc w:val="center"/>
        <w:tblLayout w:type="autofit"/>
        <w:tblCellMar>
          <w:top w:w="0" w:type="dxa"/>
          <w:left w:w="108" w:type="dxa"/>
          <w:bottom w:w="0" w:type="dxa"/>
          <w:right w:w="108" w:type="dxa"/>
        </w:tblCellMar>
      </w:tblPr>
      <w:tblGrid>
        <w:gridCol w:w="1402"/>
        <w:gridCol w:w="5441"/>
        <w:gridCol w:w="1674"/>
      </w:tblGrid>
      <w:tr>
        <w:tblPrEx>
          <w:tblCellMar>
            <w:top w:w="0" w:type="dxa"/>
            <w:left w:w="108" w:type="dxa"/>
            <w:bottom w:w="0" w:type="dxa"/>
            <w:right w:w="108" w:type="dxa"/>
          </w:tblCellMar>
        </w:tblPrEx>
        <w:trPr>
          <w:trHeight w:val="702" w:hRule="atLeast"/>
          <w:tblHeader/>
          <w:jc w:val="center"/>
        </w:trPr>
        <w:tc>
          <w:tcPr>
            <w:tcW w:w="82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年份</w:t>
            </w:r>
          </w:p>
        </w:tc>
        <w:tc>
          <w:tcPr>
            <w:tcW w:w="3194" w:type="pct"/>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项目名称</w:t>
            </w:r>
          </w:p>
        </w:tc>
        <w:tc>
          <w:tcPr>
            <w:tcW w:w="983"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color w:val="000000"/>
                <w:kern w:val="0"/>
                <w:sz w:val="20"/>
                <w:szCs w:val="20"/>
              </w:rPr>
            </w:pPr>
            <w:r>
              <w:rPr>
                <w:rFonts w:hint="eastAsia" w:cs="宋体" w:asciiTheme="minorEastAsia" w:hAnsiTheme="minorEastAsia" w:eastAsiaTheme="minorEastAsia"/>
                <w:b/>
                <w:color w:val="000000"/>
                <w:kern w:val="0"/>
                <w:sz w:val="20"/>
                <w:szCs w:val="20"/>
              </w:rPr>
              <w:t>金额（元）</w:t>
            </w:r>
          </w:p>
        </w:tc>
      </w:tr>
      <w:tr>
        <w:tblPrEx>
          <w:tblCellMar>
            <w:top w:w="0" w:type="dxa"/>
            <w:left w:w="108" w:type="dxa"/>
            <w:bottom w:w="0" w:type="dxa"/>
            <w:right w:w="108" w:type="dxa"/>
          </w:tblCellMar>
        </w:tblPrEx>
        <w:trPr>
          <w:trHeight w:val="702" w:hRule="atLeast"/>
          <w:jc w:val="center"/>
        </w:trPr>
        <w:tc>
          <w:tcPr>
            <w:tcW w:w="823" w:type="pct"/>
            <w:vMerge w:val="restart"/>
            <w:tcBorders>
              <w:top w:val="single" w:color="000000" w:sz="4" w:space="0"/>
              <w:left w:val="single" w:color="auto" w:sz="4" w:space="0"/>
              <w:bottom w:val="single" w:color="000000" w:sz="8" w:space="0"/>
              <w:right w:val="single" w:color="000000" w:sz="4" w:space="0"/>
            </w:tcBorders>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2020年</w:t>
            </w:r>
          </w:p>
        </w:tc>
        <w:tc>
          <w:tcPr>
            <w:tcW w:w="3194" w:type="pct"/>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高速铁路沿线安全隐患整治费</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3980</w:t>
            </w:r>
          </w:p>
        </w:tc>
      </w:tr>
      <w:tr>
        <w:tblPrEx>
          <w:tblCellMar>
            <w:top w:w="0" w:type="dxa"/>
            <w:left w:w="108" w:type="dxa"/>
            <w:bottom w:w="0" w:type="dxa"/>
            <w:right w:w="108" w:type="dxa"/>
          </w:tblCellMar>
        </w:tblPrEx>
        <w:trPr>
          <w:trHeight w:val="702" w:hRule="atLeast"/>
          <w:jc w:val="center"/>
        </w:trPr>
        <w:tc>
          <w:tcPr>
            <w:tcW w:w="823" w:type="pct"/>
            <w:vMerge w:val="continue"/>
            <w:tcBorders>
              <w:top w:val="single" w:color="auto" w:sz="4" w:space="0"/>
              <w:left w:val="single" w:color="auto" w:sz="4" w:space="0"/>
              <w:bottom w:val="single" w:color="000000" w:sz="8"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single" w:color="000000"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拆除墙体灯箱广告</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2180</w:t>
            </w:r>
          </w:p>
        </w:tc>
      </w:tr>
      <w:tr>
        <w:tblPrEx>
          <w:tblCellMar>
            <w:top w:w="0" w:type="dxa"/>
            <w:left w:w="108" w:type="dxa"/>
            <w:bottom w:w="0" w:type="dxa"/>
            <w:right w:w="108" w:type="dxa"/>
          </w:tblCellMar>
        </w:tblPrEx>
        <w:trPr>
          <w:trHeight w:val="702" w:hRule="atLeast"/>
          <w:jc w:val="center"/>
        </w:trPr>
        <w:tc>
          <w:tcPr>
            <w:tcW w:w="823" w:type="pct"/>
            <w:vMerge w:val="continue"/>
            <w:tcBorders>
              <w:top w:val="single" w:color="auto" w:sz="4" w:space="0"/>
              <w:left w:val="single" w:color="auto" w:sz="4" w:space="0"/>
              <w:bottom w:val="single" w:color="000000" w:sz="8"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single" w:color="000000"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印刷《临时性户外广告设置审批表》</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1290</w:t>
            </w:r>
          </w:p>
        </w:tc>
      </w:tr>
      <w:tr>
        <w:tblPrEx>
          <w:tblCellMar>
            <w:top w:w="0" w:type="dxa"/>
            <w:left w:w="108" w:type="dxa"/>
            <w:bottom w:w="0" w:type="dxa"/>
            <w:right w:w="108" w:type="dxa"/>
          </w:tblCellMar>
        </w:tblPrEx>
        <w:trPr>
          <w:trHeight w:val="702" w:hRule="atLeast"/>
          <w:jc w:val="center"/>
        </w:trPr>
        <w:tc>
          <w:tcPr>
            <w:tcW w:w="823" w:type="pct"/>
            <w:vMerge w:val="continue"/>
            <w:tcBorders>
              <w:top w:val="single" w:color="auto" w:sz="4" w:space="0"/>
              <w:left w:val="single" w:color="auto" w:sz="4" w:space="0"/>
              <w:bottom w:val="single" w:color="000000" w:sz="8"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single" w:color="000000"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门前三包标识牌制作</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40000</w:t>
            </w:r>
          </w:p>
        </w:tc>
      </w:tr>
      <w:tr>
        <w:tblPrEx>
          <w:tblCellMar>
            <w:top w:w="0" w:type="dxa"/>
            <w:left w:w="108" w:type="dxa"/>
            <w:bottom w:w="0" w:type="dxa"/>
            <w:right w:w="108" w:type="dxa"/>
          </w:tblCellMar>
        </w:tblPrEx>
        <w:trPr>
          <w:trHeight w:val="702" w:hRule="atLeast"/>
          <w:jc w:val="center"/>
        </w:trPr>
        <w:tc>
          <w:tcPr>
            <w:tcW w:w="823" w:type="pct"/>
            <w:vMerge w:val="continue"/>
            <w:tcBorders>
              <w:top w:val="single" w:color="auto" w:sz="4" w:space="0"/>
              <w:left w:val="single" w:color="auto" w:sz="4" w:space="0"/>
              <w:bottom w:val="single" w:color="000000" w:sz="8"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single" w:color="000000"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高新区主次干道无规划大型广告牌拆除</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310300</w:t>
            </w:r>
          </w:p>
        </w:tc>
      </w:tr>
      <w:tr>
        <w:tblPrEx>
          <w:tblCellMar>
            <w:top w:w="0" w:type="dxa"/>
            <w:left w:w="108" w:type="dxa"/>
            <w:bottom w:w="0" w:type="dxa"/>
            <w:right w:w="108" w:type="dxa"/>
          </w:tblCellMar>
        </w:tblPrEx>
        <w:trPr>
          <w:trHeight w:val="702" w:hRule="atLeast"/>
          <w:jc w:val="center"/>
        </w:trPr>
        <w:tc>
          <w:tcPr>
            <w:tcW w:w="823" w:type="pct"/>
            <w:vMerge w:val="continue"/>
            <w:tcBorders>
              <w:top w:val="single" w:color="auto" w:sz="4" w:space="0"/>
              <w:left w:val="single" w:color="auto" w:sz="4" w:space="0"/>
              <w:bottom w:val="single" w:color="000000" w:sz="8" w:space="0"/>
              <w:right w:val="single" w:color="000000"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single" w:color="000000" w:sz="4" w:space="0"/>
              <w:bottom w:val="single" w:color="auto" w:sz="8"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合计金额：</w:t>
            </w:r>
          </w:p>
        </w:tc>
        <w:tc>
          <w:tcPr>
            <w:tcW w:w="983" w:type="pct"/>
            <w:tcBorders>
              <w:top w:val="nil"/>
              <w:left w:val="nil"/>
              <w:bottom w:val="single" w:color="auto" w:sz="8"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0"/>
                <w:szCs w:val="20"/>
              </w:rPr>
            </w:pPr>
            <w:r>
              <w:rPr>
                <w:rFonts w:hint="eastAsia" w:cs="宋体" w:asciiTheme="minorEastAsia" w:hAnsiTheme="minorEastAsia" w:eastAsiaTheme="minorEastAsia"/>
                <w:b/>
                <w:bCs/>
                <w:color w:val="000000"/>
                <w:kern w:val="0"/>
                <w:sz w:val="20"/>
                <w:szCs w:val="20"/>
              </w:rPr>
              <w:t>357750</w:t>
            </w:r>
          </w:p>
        </w:tc>
      </w:tr>
      <w:tr>
        <w:tblPrEx>
          <w:tblCellMar>
            <w:top w:w="0" w:type="dxa"/>
            <w:left w:w="108" w:type="dxa"/>
            <w:bottom w:w="0" w:type="dxa"/>
            <w:right w:w="108" w:type="dxa"/>
          </w:tblCellMar>
        </w:tblPrEx>
        <w:trPr>
          <w:trHeight w:val="702" w:hRule="atLeast"/>
          <w:jc w:val="center"/>
        </w:trPr>
        <w:tc>
          <w:tcPr>
            <w:tcW w:w="823" w:type="pct"/>
            <w:vMerge w:val="restart"/>
            <w:tcBorders>
              <w:top w:val="nil"/>
              <w:left w:val="single" w:color="auto" w:sz="4" w:space="0"/>
              <w:bottom w:val="single" w:color="000000" w:sz="8"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2021年</w:t>
            </w:r>
          </w:p>
        </w:tc>
        <w:tc>
          <w:tcPr>
            <w:tcW w:w="319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天衢物流城停车场荒山治理及覆盖防尘网项目</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28560</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镇域路域环境整治费用</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10720</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沿街商铺门头广告装饰</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418799</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清理拆除无规划广告牌</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88986</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nil"/>
              <w:bottom w:val="single" w:color="auto" w:sz="8"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合计金额：</w:t>
            </w:r>
          </w:p>
        </w:tc>
        <w:tc>
          <w:tcPr>
            <w:tcW w:w="983" w:type="pct"/>
            <w:tcBorders>
              <w:top w:val="nil"/>
              <w:left w:val="nil"/>
              <w:bottom w:val="single" w:color="auto" w:sz="8"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547065</w:t>
            </w:r>
          </w:p>
        </w:tc>
      </w:tr>
      <w:tr>
        <w:tblPrEx>
          <w:tblCellMar>
            <w:top w:w="0" w:type="dxa"/>
            <w:left w:w="108" w:type="dxa"/>
            <w:bottom w:w="0" w:type="dxa"/>
            <w:right w:w="108" w:type="dxa"/>
          </w:tblCellMar>
        </w:tblPrEx>
        <w:trPr>
          <w:trHeight w:val="702" w:hRule="atLeast"/>
          <w:jc w:val="center"/>
        </w:trPr>
        <w:tc>
          <w:tcPr>
            <w:tcW w:w="823" w:type="pct"/>
            <w:vMerge w:val="restart"/>
            <w:tcBorders>
              <w:top w:val="nil"/>
              <w:left w:val="single" w:color="auto" w:sz="4" w:space="0"/>
              <w:bottom w:val="single" w:color="000000" w:sz="8"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2022年</w:t>
            </w:r>
          </w:p>
        </w:tc>
        <w:tc>
          <w:tcPr>
            <w:tcW w:w="319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交通布控泰山北路高速临边广告牌拆除</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49500</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光明路广告宣传牌制作及违规广告牌拆除</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366460.03</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单车标识牌制作安装</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162800</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门前三包责任书及责任牌制作</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28400</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创建文明城治理清理费</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16600</w:t>
            </w:r>
          </w:p>
        </w:tc>
      </w:tr>
      <w:tr>
        <w:tblPrEx>
          <w:tblCellMar>
            <w:top w:w="0" w:type="dxa"/>
            <w:left w:w="108" w:type="dxa"/>
            <w:bottom w:w="0" w:type="dxa"/>
            <w:right w:w="108" w:type="dxa"/>
          </w:tblCellMar>
        </w:tblPrEx>
        <w:trPr>
          <w:trHeight w:val="702" w:hRule="atLeast"/>
          <w:jc w:val="center"/>
        </w:trPr>
        <w:tc>
          <w:tcPr>
            <w:tcW w:w="823" w:type="pct"/>
            <w:vMerge w:val="continue"/>
            <w:tcBorders>
              <w:top w:val="nil"/>
              <w:left w:val="single" w:color="auto" w:sz="4" w:space="0"/>
              <w:bottom w:val="single" w:color="000000" w:sz="8" w:space="0"/>
              <w:right w:val="single" w:color="auto" w:sz="4" w:space="0"/>
            </w:tcBorders>
            <w:vAlign w:val="center"/>
          </w:tcPr>
          <w:p>
            <w:pPr>
              <w:widowControl/>
              <w:spacing w:line="240" w:lineRule="auto"/>
              <w:ind w:firstLine="0" w:firstLineChars="0"/>
              <w:jc w:val="left"/>
              <w:rPr>
                <w:rFonts w:cs="宋体" w:asciiTheme="minorEastAsia" w:hAnsiTheme="minorEastAsia" w:eastAsiaTheme="minorEastAsia"/>
                <w:color w:val="000000"/>
                <w:kern w:val="0"/>
                <w:sz w:val="20"/>
                <w:szCs w:val="20"/>
              </w:rPr>
            </w:pPr>
          </w:p>
        </w:tc>
        <w:tc>
          <w:tcPr>
            <w:tcW w:w="3194" w:type="pct"/>
            <w:tcBorders>
              <w:top w:val="nil"/>
              <w:left w:val="nil"/>
              <w:bottom w:val="single" w:color="auto" w:sz="8"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合计金额：</w:t>
            </w:r>
          </w:p>
        </w:tc>
        <w:tc>
          <w:tcPr>
            <w:tcW w:w="983" w:type="pct"/>
            <w:tcBorders>
              <w:top w:val="nil"/>
              <w:left w:val="nil"/>
              <w:bottom w:val="single" w:color="auto" w:sz="8"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623760.03</w:t>
            </w:r>
          </w:p>
        </w:tc>
      </w:tr>
      <w:tr>
        <w:tblPrEx>
          <w:tblCellMar>
            <w:top w:w="0" w:type="dxa"/>
            <w:left w:w="108" w:type="dxa"/>
            <w:bottom w:w="0" w:type="dxa"/>
            <w:right w:w="108" w:type="dxa"/>
          </w:tblCellMar>
        </w:tblPrEx>
        <w:trPr>
          <w:trHeight w:val="702" w:hRule="atLeast"/>
          <w:jc w:val="center"/>
        </w:trPr>
        <w:tc>
          <w:tcPr>
            <w:tcW w:w="823"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p>
        </w:tc>
        <w:tc>
          <w:tcPr>
            <w:tcW w:w="3194"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总合计：</w:t>
            </w:r>
          </w:p>
        </w:tc>
        <w:tc>
          <w:tcPr>
            <w:tcW w:w="98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1528575.03</w:t>
            </w:r>
          </w:p>
        </w:tc>
      </w:tr>
    </w:tbl>
    <w:p>
      <w:pPr>
        <w:ind w:firstLine="640"/>
      </w:pPr>
      <w:r>
        <w:rPr>
          <w:rFonts w:hint="eastAsia"/>
        </w:rPr>
        <w:t>2020-2022年该项目共支出1528575.03元，涉及14项具体业务，其中既包括计划性违建拆除项目也包括应急行项目。评价小组在现场调研中发现，2022年光明路广告宣传牌制作及违规广告牌拆除业务拆除量较小但所涉及到资金较多，主要是因为该业务属于应急性业务需从外地临时租用大型拆除设备，租金成本较高所致。其他项目支出均在合理范围之内。</w:t>
      </w:r>
    </w:p>
    <w:p>
      <w:pPr>
        <w:pStyle w:val="4"/>
        <w:ind w:firstLine="640"/>
      </w:pPr>
      <w:bookmarkStart w:id="32" w:name="_Toc137554207"/>
      <w:r>
        <w:t>（三）</w:t>
      </w:r>
      <w:r>
        <w:rPr>
          <w:rFonts w:hint="eastAsia"/>
        </w:rPr>
        <w:t>存在的问题及建议</w:t>
      </w:r>
      <w:bookmarkEnd w:id="32"/>
    </w:p>
    <w:p>
      <w:pPr>
        <w:ind w:firstLine="640"/>
      </w:pPr>
      <w:r>
        <w:rPr>
          <w:rFonts w:hint="eastAsia"/>
        </w:rPr>
        <w:t>1.违建拆除费用标准化</w:t>
      </w:r>
    </w:p>
    <w:p>
      <w:pPr>
        <w:ind w:firstLine="640"/>
      </w:pPr>
      <w:r>
        <w:rPr>
          <w:rFonts w:hint="eastAsia"/>
        </w:rPr>
        <w:t>应急拆除违建及铁路沿线整治费用虽然属于非程序化项目，具有突发性、临时性的特征，但相关部门可以制定拆除过程中所使用人力、物力的定额支出，包括人员薪金、机械租金、相关补助等，项目结算时以定额标准作为最终结算的最高额。</w:t>
      </w:r>
    </w:p>
    <w:p>
      <w:pPr>
        <w:ind w:firstLine="640"/>
      </w:pPr>
      <w:r>
        <w:rPr>
          <w:rFonts w:hint="eastAsia"/>
        </w:rPr>
        <w:t>2.制定内部信息公开制度</w:t>
      </w:r>
    </w:p>
    <w:p>
      <w:pPr>
        <w:ind w:firstLine="640"/>
      </w:pPr>
      <w:r>
        <w:rPr>
          <w:rFonts w:hint="eastAsia"/>
        </w:rPr>
        <w:t>该项目在实施过程中缺乏必要的事后公开机制。阳光是最好的防腐剂，通过完善相关制度，确保透明度原则的贯彻。将应急拆除违建及铁路沿线整治所涉及到的项目及时公开，加强政府部门内部监督，保障每一项业务都是公开的、公正的。</w:t>
      </w:r>
    </w:p>
    <w:p>
      <w:pPr>
        <w:ind w:firstLine="640"/>
      </w:pPr>
      <w:r>
        <w:rPr>
          <w:rFonts w:hint="eastAsia"/>
        </w:rPr>
        <w:t>3.制定长期与短期相结合的违建拆除规划</w:t>
      </w:r>
    </w:p>
    <w:p>
      <w:pPr>
        <w:ind w:firstLine="640"/>
      </w:pPr>
      <w:r>
        <w:rPr>
          <w:rFonts w:hint="eastAsia"/>
        </w:rPr>
        <w:t>应急拆除违建及铁路沿线整治过程中应尽可能的对需要拆除的业务进行提前规划，能提前预知的项目做好长期规划，不能提前预知的项目做好短期规划，并定期发布相应的年度计划、月度计划、周计划。</w:t>
      </w:r>
    </w:p>
    <w:p>
      <w:pPr>
        <w:pStyle w:val="3"/>
        <w:ind w:firstLine="640"/>
      </w:pPr>
      <w:bookmarkStart w:id="33" w:name="_Toc137554208"/>
      <w:r>
        <w:t>七、其他需要说明的问题</w:t>
      </w:r>
      <w:bookmarkEnd w:id="33"/>
    </w:p>
    <w:p>
      <w:pPr>
        <w:pStyle w:val="4"/>
        <w:ind w:firstLine="640"/>
      </w:pPr>
      <w:bookmarkStart w:id="34" w:name="_Toc137554209"/>
      <w:r>
        <w:t>（一）报告的局限性</w:t>
      </w:r>
      <w:bookmarkEnd w:id="34"/>
    </w:p>
    <w:p>
      <w:pPr>
        <w:ind w:firstLine="640"/>
        <w:rPr>
          <w:color w:val="000000"/>
          <w:szCs w:val="32"/>
        </w:rPr>
      </w:pPr>
      <w:r>
        <w:rPr>
          <w:rFonts w:hint="eastAsia"/>
          <w:color w:val="000000"/>
          <w:szCs w:val="32"/>
        </w:rPr>
        <w:t>本报告所基于的数据具有一定的局限性，主要体现在以下两个个方面：</w:t>
      </w:r>
    </w:p>
    <w:p>
      <w:pPr>
        <w:ind w:firstLine="640"/>
        <w:rPr>
          <w:color w:val="000000"/>
          <w:szCs w:val="32"/>
        </w:rPr>
      </w:pPr>
      <w:r>
        <w:rPr>
          <w:rFonts w:hint="eastAsia"/>
          <w:color w:val="000000"/>
          <w:szCs w:val="32"/>
        </w:rPr>
        <w:t>首先，本报告所收集数据的可靠性是基于项目单位提供的资料的真实性，数据统计和分析工作是在假设所有信息都是在项目实施过程中实际发生的基础上进行的，所以成本分析结果可能存在一定偏差。</w:t>
      </w:r>
    </w:p>
    <w:p>
      <w:pPr>
        <w:ind w:firstLine="640"/>
        <w:rPr>
          <w:color w:val="000000"/>
          <w:szCs w:val="32"/>
        </w:rPr>
      </w:pPr>
      <w:r>
        <w:rPr>
          <w:rFonts w:hint="eastAsia"/>
          <w:color w:val="000000"/>
          <w:szCs w:val="32"/>
        </w:rPr>
        <w:t>其次，基于项目公司经营状况的实际，报告所分析的数据为2020-2022年度的数据。由于新冠疫情的影响，该时段内餐厨废弃物处理总量、处理成本可能与正常年份存在较大偏差，虽然分析过程中考虑了该因素，但分析结果依然存在偏差。</w:t>
      </w:r>
    </w:p>
    <w:p>
      <w:pPr>
        <w:pStyle w:val="4"/>
        <w:ind w:firstLine="640"/>
      </w:pPr>
      <w:bookmarkStart w:id="35" w:name="_Toc137554210"/>
      <w:r>
        <w:rPr>
          <w:rFonts w:ascii="仿宋_GB2312" w:eastAsia="仿宋_GB2312"/>
        </w:rPr>
        <w:t>（二）</w:t>
      </w:r>
      <w:r>
        <w:t>报告适用范围</w:t>
      </w:r>
      <w:bookmarkEnd w:id="35"/>
    </w:p>
    <w:p>
      <w:pPr>
        <w:ind w:firstLine="640"/>
      </w:pPr>
      <w:r>
        <w:rPr>
          <w:rFonts w:hint="eastAsia"/>
          <w:color w:val="000000"/>
          <w:szCs w:val="32"/>
        </w:rPr>
        <w:t>本报告中成本预算绩效分析结论仅为枣庄市高新区财政局对餐厨废弃物收运处理项目成本效益分析提供参考依据。</w:t>
      </w:r>
    </w:p>
    <w:sectPr>
      <w:footerReference r:id="rId11" w:type="default"/>
      <w:pgSz w:w="11906" w:h="16838"/>
      <w:pgMar w:top="1440" w:right="1802" w:bottom="1440" w:left="1803"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ArialMT">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jc w:val="center"/>
      <w:rPr>
        <w:sz w:val="28"/>
        <w:szCs w:val="28"/>
      </w:rPr>
    </w:pP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459594"/>
      <w:docPartObj>
        <w:docPartGallery w:val="autotext"/>
      </w:docPartObj>
    </w:sdtPr>
    <w:sdtEndPr>
      <w:rPr>
        <w:sz w:val="28"/>
        <w:szCs w:val="28"/>
      </w:rPr>
    </w:sdtEndPr>
    <w:sdtContent>
      <w:p>
        <w:pPr>
          <w:pStyle w:val="8"/>
          <w:keepNext w:val="0"/>
          <w:keepLines w:val="0"/>
          <w:pageBreakBefore w:val="0"/>
          <w:widowControl w:val="0"/>
          <w:kinsoku/>
          <w:wordWrap/>
          <w:overflowPunct/>
          <w:topLinePunct w:val="0"/>
          <w:autoSpaceDE/>
          <w:autoSpaceDN/>
          <w:bidi w:val="0"/>
          <w:adjustRightInd/>
          <w:snapToGrid w:val="0"/>
          <w:ind w:firstLine="0" w:firstLineChars="0"/>
          <w:jc w:val="center"/>
          <w:textAlignment w:val="auto"/>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43 -</w:t>
        </w:r>
        <w:r>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8B71F1"/>
    <w:rsid w:val="00015636"/>
    <w:rsid w:val="000237A7"/>
    <w:rsid w:val="00032B4D"/>
    <w:rsid w:val="000541FA"/>
    <w:rsid w:val="00057213"/>
    <w:rsid w:val="00083485"/>
    <w:rsid w:val="000865C0"/>
    <w:rsid w:val="00096587"/>
    <w:rsid w:val="000B3417"/>
    <w:rsid w:val="000C004F"/>
    <w:rsid w:val="000C7962"/>
    <w:rsid w:val="000D64ED"/>
    <w:rsid w:val="000F154A"/>
    <w:rsid w:val="00100C03"/>
    <w:rsid w:val="00133F8A"/>
    <w:rsid w:val="00140DA7"/>
    <w:rsid w:val="00146DDB"/>
    <w:rsid w:val="001819D4"/>
    <w:rsid w:val="00183711"/>
    <w:rsid w:val="00197B72"/>
    <w:rsid w:val="001B635F"/>
    <w:rsid w:val="001D1291"/>
    <w:rsid w:val="001F6FA2"/>
    <w:rsid w:val="00202BDB"/>
    <w:rsid w:val="0020626A"/>
    <w:rsid w:val="002152CE"/>
    <w:rsid w:val="00244AC5"/>
    <w:rsid w:val="002777FA"/>
    <w:rsid w:val="0028733C"/>
    <w:rsid w:val="002A60CC"/>
    <w:rsid w:val="002D0AC8"/>
    <w:rsid w:val="002E5E77"/>
    <w:rsid w:val="002F67DA"/>
    <w:rsid w:val="002F7BBA"/>
    <w:rsid w:val="00317ABB"/>
    <w:rsid w:val="003257F8"/>
    <w:rsid w:val="00333617"/>
    <w:rsid w:val="003729E2"/>
    <w:rsid w:val="00376F52"/>
    <w:rsid w:val="003952F5"/>
    <w:rsid w:val="003C7645"/>
    <w:rsid w:val="003E1D38"/>
    <w:rsid w:val="004258EC"/>
    <w:rsid w:val="00484A41"/>
    <w:rsid w:val="00495D3F"/>
    <w:rsid w:val="004E462C"/>
    <w:rsid w:val="004F1459"/>
    <w:rsid w:val="004F2D6F"/>
    <w:rsid w:val="00562690"/>
    <w:rsid w:val="0057107A"/>
    <w:rsid w:val="00573B74"/>
    <w:rsid w:val="00583C84"/>
    <w:rsid w:val="005958F0"/>
    <w:rsid w:val="005A3AB9"/>
    <w:rsid w:val="005D0D93"/>
    <w:rsid w:val="005D5B65"/>
    <w:rsid w:val="005F0A19"/>
    <w:rsid w:val="005F466A"/>
    <w:rsid w:val="006025DC"/>
    <w:rsid w:val="00610E55"/>
    <w:rsid w:val="00672FE9"/>
    <w:rsid w:val="006857CE"/>
    <w:rsid w:val="006905E6"/>
    <w:rsid w:val="00695F5F"/>
    <w:rsid w:val="006C2ED0"/>
    <w:rsid w:val="006C6425"/>
    <w:rsid w:val="006C72EE"/>
    <w:rsid w:val="006F3A52"/>
    <w:rsid w:val="006F3D24"/>
    <w:rsid w:val="00705BA5"/>
    <w:rsid w:val="007116B4"/>
    <w:rsid w:val="00722ADC"/>
    <w:rsid w:val="007317F9"/>
    <w:rsid w:val="007349A8"/>
    <w:rsid w:val="0074058A"/>
    <w:rsid w:val="007847F4"/>
    <w:rsid w:val="00786906"/>
    <w:rsid w:val="007A1207"/>
    <w:rsid w:val="007A2404"/>
    <w:rsid w:val="007A4246"/>
    <w:rsid w:val="007F5080"/>
    <w:rsid w:val="008251C2"/>
    <w:rsid w:val="00835DFD"/>
    <w:rsid w:val="008407FF"/>
    <w:rsid w:val="0086451C"/>
    <w:rsid w:val="00875FF2"/>
    <w:rsid w:val="00876D5E"/>
    <w:rsid w:val="00896F43"/>
    <w:rsid w:val="008A19E1"/>
    <w:rsid w:val="008B71F1"/>
    <w:rsid w:val="008E7BF7"/>
    <w:rsid w:val="008F20BA"/>
    <w:rsid w:val="00915FC3"/>
    <w:rsid w:val="00916D02"/>
    <w:rsid w:val="009414EF"/>
    <w:rsid w:val="00952375"/>
    <w:rsid w:val="00952671"/>
    <w:rsid w:val="00964CD1"/>
    <w:rsid w:val="00964CEC"/>
    <w:rsid w:val="00985B15"/>
    <w:rsid w:val="009916EA"/>
    <w:rsid w:val="00997EF1"/>
    <w:rsid w:val="009A12DD"/>
    <w:rsid w:val="009A75B4"/>
    <w:rsid w:val="009D18D2"/>
    <w:rsid w:val="00A21D6B"/>
    <w:rsid w:val="00A278BD"/>
    <w:rsid w:val="00A46EC4"/>
    <w:rsid w:val="00AA0458"/>
    <w:rsid w:val="00AA4986"/>
    <w:rsid w:val="00AB6BAD"/>
    <w:rsid w:val="00B021A9"/>
    <w:rsid w:val="00B16973"/>
    <w:rsid w:val="00B245B6"/>
    <w:rsid w:val="00B43100"/>
    <w:rsid w:val="00B53213"/>
    <w:rsid w:val="00B651A2"/>
    <w:rsid w:val="00B70084"/>
    <w:rsid w:val="00B71285"/>
    <w:rsid w:val="00B816BA"/>
    <w:rsid w:val="00B81D22"/>
    <w:rsid w:val="00B90DB3"/>
    <w:rsid w:val="00BA0EE0"/>
    <w:rsid w:val="00BB7B33"/>
    <w:rsid w:val="00BE29AC"/>
    <w:rsid w:val="00BF181A"/>
    <w:rsid w:val="00C32A21"/>
    <w:rsid w:val="00C9538B"/>
    <w:rsid w:val="00D038E9"/>
    <w:rsid w:val="00D16A7F"/>
    <w:rsid w:val="00D42E78"/>
    <w:rsid w:val="00D564EB"/>
    <w:rsid w:val="00D73CB7"/>
    <w:rsid w:val="00DB210A"/>
    <w:rsid w:val="00DD3B7E"/>
    <w:rsid w:val="00DE6075"/>
    <w:rsid w:val="00DF16F5"/>
    <w:rsid w:val="00E24E4C"/>
    <w:rsid w:val="00E30116"/>
    <w:rsid w:val="00E634AA"/>
    <w:rsid w:val="00E71ABE"/>
    <w:rsid w:val="00E71EEF"/>
    <w:rsid w:val="00E93811"/>
    <w:rsid w:val="00E976D4"/>
    <w:rsid w:val="00EA04B1"/>
    <w:rsid w:val="00EB403F"/>
    <w:rsid w:val="00EC293F"/>
    <w:rsid w:val="00EC4E13"/>
    <w:rsid w:val="00EC51A7"/>
    <w:rsid w:val="00EC699C"/>
    <w:rsid w:val="00F12D39"/>
    <w:rsid w:val="00F1570C"/>
    <w:rsid w:val="00F15E49"/>
    <w:rsid w:val="00F26B30"/>
    <w:rsid w:val="00F31895"/>
    <w:rsid w:val="00F36030"/>
    <w:rsid w:val="00FC1534"/>
    <w:rsid w:val="00FE753F"/>
    <w:rsid w:val="00FF07AE"/>
    <w:rsid w:val="00FF55F1"/>
    <w:rsid w:val="0F5947D7"/>
    <w:rsid w:val="181141F9"/>
    <w:rsid w:val="280E3822"/>
    <w:rsid w:val="28983091"/>
    <w:rsid w:val="3E826A30"/>
    <w:rsid w:val="5A865DA5"/>
    <w:rsid w:val="5DC5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jc w:val="both"/>
    </w:pPr>
    <w:rPr>
      <w:rFonts w:ascii="仿宋_GB2312" w:hAnsi="微软雅黑" w:eastAsia="仿宋_GB2312" w:cs="Times New Roman"/>
      <w:kern w:val="2"/>
      <w:sz w:val="32"/>
      <w:szCs w:val="24"/>
      <w:lang w:val="en-US" w:eastAsia="zh-CN" w:bidi="ar-SA"/>
    </w:rPr>
  </w:style>
  <w:style w:type="paragraph" w:styleId="3">
    <w:name w:val="heading 1"/>
    <w:basedOn w:val="1"/>
    <w:next w:val="1"/>
    <w:link w:val="20"/>
    <w:qFormat/>
    <w:uiPriority w:val="0"/>
    <w:pPr>
      <w:keepNext/>
      <w:keepLines/>
      <w:outlineLvl w:val="0"/>
    </w:pPr>
    <w:rPr>
      <w:rFonts w:eastAsia="黑体"/>
      <w:kern w:val="44"/>
    </w:rPr>
  </w:style>
  <w:style w:type="paragraph" w:styleId="4">
    <w:name w:val="heading 2"/>
    <w:basedOn w:val="1"/>
    <w:next w:val="1"/>
    <w:link w:val="21"/>
    <w:unhideWhenUsed/>
    <w:qFormat/>
    <w:uiPriority w:val="0"/>
    <w:pPr>
      <w:keepNext/>
      <w:keepLines/>
      <w:jc w:val="left"/>
      <w:outlineLvl w:val="1"/>
    </w:pPr>
    <w:rPr>
      <w:rFonts w:ascii="Arial" w:hAnsi="Arial" w:eastAsia="楷体"/>
    </w:rPr>
  </w:style>
  <w:style w:type="paragraph" w:styleId="5">
    <w:name w:val="heading 3"/>
    <w:basedOn w:val="1"/>
    <w:next w:val="1"/>
    <w:link w:val="34"/>
    <w:unhideWhenUsed/>
    <w:qFormat/>
    <w:uiPriority w:val="0"/>
    <w:pPr>
      <w:keepNext/>
      <w:keepLines/>
      <w:outlineLvl w:val="2"/>
    </w:p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6">
    <w:name w:val="annotation text"/>
    <w:basedOn w:val="1"/>
    <w:semiHidden/>
    <w:unhideWhenUsed/>
    <w:qFormat/>
    <w:uiPriority w:val="99"/>
    <w:pPr>
      <w:jc w:val="left"/>
    </w:pPr>
  </w:style>
  <w:style w:type="paragraph" w:styleId="7">
    <w:name w:val="Balloon Text"/>
    <w:basedOn w:val="1"/>
    <w:link w:val="44"/>
    <w:semiHidden/>
    <w:unhideWhenUsed/>
    <w:uiPriority w:val="99"/>
    <w:pPr>
      <w:spacing w:line="240" w:lineRule="auto"/>
    </w:pPr>
    <w:rPr>
      <w:sz w:val="18"/>
      <w:szCs w:val="18"/>
    </w:rPr>
  </w:style>
  <w:style w:type="paragraph" w:styleId="8">
    <w:name w:val="footer"/>
    <w:basedOn w:val="1"/>
    <w:link w:val="35"/>
    <w:qFormat/>
    <w:uiPriority w:val="99"/>
    <w:pPr>
      <w:tabs>
        <w:tab w:val="center" w:pos="4153"/>
        <w:tab w:val="right" w:pos="8306"/>
      </w:tabs>
      <w:snapToGrid w:val="0"/>
      <w:jc w:val="left"/>
    </w:pPr>
    <w:rPr>
      <w:sz w:val="18"/>
    </w:rPr>
  </w:style>
  <w:style w:type="paragraph" w:styleId="9">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99"/>
    <w:pPr>
      <w:spacing w:before="100" w:beforeAutospacing="1" w:after="100" w:afterAutospacing="1"/>
      <w:jc w:val="left"/>
    </w:pPr>
    <w:rPr>
      <w:kern w:val="0"/>
      <w:sz w:val="24"/>
    </w:rPr>
  </w:style>
  <w:style w:type="paragraph" w:styleId="13">
    <w:name w:val="Title"/>
    <w:basedOn w:val="1"/>
    <w:next w:val="1"/>
    <w:link w:val="37"/>
    <w:qFormat/>
    <w:uiPriority w:val="10"/>
    <w:pPr>
      <w:spacing w:before="240" w:after="60"/>
      <w:jc w:val="center"/>
      <w:outlineLvl w:val="0"/>
    </w:pPr>
    <w:rPr>
      <w:rFonts w:eastAsia="宋体" w:asciiTheme="majorHAnsi" w:hAnsiTheme="majorHAnsi" w:cstheme="majorBidi"/>
      <w:b/>
      <w:bCs/>
      <w:szCs w:val="32"/>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uiPriority w:val="99"/>
    <w:rPr>
      <w:color w:val="0000FF"/>
      <w:u w:val="single"/>
    </w:rPr>
  </w:style>
  <w:style w:type="character" w:styleId="19">
    <w:name w:val="annotation reference"/>
    <w:basedOn w:val="16"/>
    <w:semiHidden/>
    <w:unhideWhenUsed/>
    <w:uiPriority w:val="99"/>
    <w:rPr>
      <w:sz w:val="21"/>
      <w:szCs w:val="21"/>
    </w:rPr>
  </w:style>
  <w:style w:type="character" w:customStyle="1" w:styleId="20">
    <w:name w:val="标题 1 Char"/>
    <w:basedOn w:val="16"/>
    <w:link w:val="3"/>
    <w:qFormat/>
    <w:uiPriority w:val="0"/>
    <w:rPr>
      <w:rFonts w:ascii="Calibri" w:hAnsi="Calibri" w:eastAsia="黑体" w:cs="Times New Roman"/>
      <w:kern w:val="44"/>
      <w:sz w:val="32"/>
      <w:szCs w:val="24"/>
    </w:rPr>
  </w:style>
  <w:style w:type="character" w:customStyle="1" w:styleId="21">
    <w:name w:val="标题 2 Char"/>
    <w:link w:val="4"/>
    <w:qFormat/>
    <w:uiPriority w:val="0"/>
    <w:rPr>
      <w:rFonts w:ascii="Arial" w:hAnsi="Arial" w:eastAsia="楷体" w:cs="Times New Roman"/>
      <w:sz w:val="32"/>
      <w:szCs w:val="24"/>
    </w:rPr>
  </w:style>
  <w:style w:type="paragraph" w:customStyle="1" w:styleId="22">
    <w:name w:val="Body text|1"/>
    <w:basedOn w:val="1"/>
    <w:qFormat/>
    <w:uiPriority w:val="0"/>
    <w:pPr>
      <w:spacing w:after="240"/>
    </w:pPr>
    <w:rPr>
      <w:rFonts w:ascii="宋体" w:hAnsi="宋体" w:eastAsia="宋体" w:cs="宋体"/>
      <w:sz w:val="26"/>
      <w:szCs w:val="26"/>
      <w:lang w:val="zh-TW" w:eastAsia="zh-TW" w:bidi="zh-TW"/>
    </w:rPr>
  </w:style>
  <w:style w:type="paragraph" w:customStyle="1" w:styleId="23">
    <w:name w:val="Char Char Char1 Char"/>
    <w:basedOn w:val="1"/>
    <w:next w:val="1"/>
    <w:semiHidden/>
    <w:qFormat/>
    <w:uiPriority w:val="0"/>
    <w:rPr>
      <w:rFonts w:ascii="宋体" w:eastAsia="宋体"/>
      <w:sz w:val="24"/>
    </w:rPr>
  </w:style>
  <w:style w:type="character" w:customStyle="1" w:styleId="24">
    <w:name w:val="font01"/>
    <w:basedOn w:val="16"/>
    <w:qFormat/>
    <w:uiPriority w:val="0"/>
    <w:rPr>
      <w:rFonts w:hint="default" w:ascii="Arial" w:hAnsi="Arial" w:cs="Arial"/>
      <w:color w:val="000000"/>
      <w:sz w:val="20"/>
      <w:szCs w:val="20"/>
      <w:u w:val="none"/>
    </w:rPr>
  </w:style>
  <w:style w:type="character" w:customStyle="1" w:styleId="25">
    <w:name w:val="font11"/>
    <w:basedOn w:val="16"/>
    <w:qFormat/>
    <w:uiPriority w:val="0"/>
    <w:rPr>
      <w:rFonts w:ascii="微软雅黑" w:hAnsi="微软雅黑" w:eastAsia="微软雅黑" w:cs="微软雅黑"/>
      <w:color w:val="000000"/>
      <w:sz w:val="20"/>
      <w:szCs w:val="20"/>
      <w:u w:val="none"/>
    </w:rPr>
  </w:style>
  <w:style w:type="character" w:customStyle="1" w:styleId="26">
    <w:name w:val="font21"/>
    <w:basedOn w:val="16"/>
    <w:qFormat/>
    <w:uiPriority w:val="0"/>
    <w:rPr>
      <w:rFonts w:hint="eastAsia" w:ascii="仿宋_GB2312" w:eastAsia="仿宋_GB2312" w:cs="仿宋_GB2312"/>
      <w:color w:val="000000"/>
      <w:sz w:val="21"/>
      <w:szCs w:val="21"/>
      <w:u w:val="none"/>
    </w:rPr>
  </w:style>
  <w:style w:type="character" w:customStyle="1" w:styleId="27">
    <w:name w:val="font41"/>
    <w:basedOn w:val="16"/>
    <w:qFormat/>
    <w:uiPriority w:val="0"/>
    <w:rPr>
      <w:rFonts w:hint="eastAsia" w:ascii="楷体" w:hAnsi="楷体" w:eastAsia="楷体" w:cs="楷体"/>
      <w:color w:val="000000"/>
      <w:sz w:val="20"/>
      <w:szCs w:val="20"/>
      <w:u w:val="none"/>
    </w:rPr>
  </w:style>
  <w:style w:type="character" w:customStyle="1" w:styleId="28">
    <w:name w:val="font61"/>
    <w:basedOn w:val="16"/>
    <w:qFormat/>
    <w:uiPriority w:val="0"/>
    <w:rPr>
      <w:rFonts w:hint="eastAsia" w:ascii="楷体" w:hAnsi="楷体" w:eastAsia="楷体" w:cs="楷体"/>
      <w:color w:val="000000"/>
      <w:sz w:val="20"/>
      <w:szCs w:val="20"/>
      <w:u w:val="none"/>
    </w:rPr>
  </w:style>
  <w:style w:type="character" w:customStyle="1" w:styleId="29">
    <w:name w:val="font81"/>
    <w:basedOn w:val="16"/>
    <w:qFormat/>
    <w:uiPriority w:val="0"/>
    <w:rPr>
      <w:rFonts w:ascii="微软雅黑" w:hAnsi="微软雅黑" w:eastAsia="微软雅黑" w:cs="微软雅黑"/>
      <w:color w:val="000000"/>
      <w:sz w:val="20"/>
      <w:szCs w:val="20"/>
      <w:u w:val="none"/>
    </w:rPr>
  </w:style>
  <w:style w:type="paragraph" w:customStyle="1" w:styleId="30">
    <w:name w:val="Other|1"/>
    <w:basedOn w:val="1"/>
    <w:qFormat/>
    <w:uiPriority w:val="0"/>
    <w:pPr>
      <w:spacing w:after="240"/>
    </w:pPr>
    <w:rPr>
      <w:rFonts w:ascii="宋体" w:hAnsi="宋体" w:eastAsia="宋体" w:cs="宋体"/>
      <w:sz w:val="26"/>
      <w:szCs w:val="26"/>
      <w:lang w:val="zh-TW" w:eastAsia="zh-TW" w:bidi="zh-TW"/>
    </w:rPr>
  </w:style>
  <w:style w:type="table" w:customStyle="1" w:styleId="31">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标题 3 Char"/>
    <w:basedOn w:val="16"/>
    <w:link w:val="5"/>
    <w:uiPriority w:val="0"/>
    <w:rPr>
      <w:rFonts w:ascii="仿宋_GB2312" w:hAnsi="微软雅黑" w:eastAsia="仿宋_GB2312" w:cs="Times New Roman"/>
      <w:sz w:val="32"/>
      <w:szCs w:val="24"/>
    </w:rPr>
  </w:style>
  <w:style w:type="character" w:customStyle="1" w:styleId="35">
    <w:name w:val="页脚 Char"/>
    <w:basedOn w:val="16"/>
    <w:link w:val="8"/>
    <w:qFormat/>
    <w:uiPriority w:val="99"/>
    <w:rPr>
      <w:rFonts w:ascii="Calibri" w:hAnsi="Calibri" w:eastAsia="仿宋" w:cs="Times New Roman"/>
      <w:sz w:val="18"/>
      <w:szCs w:val="24"/>
    </w:rPr>
  </w:style>
  <w:style w:type="character" w:customStyle="1" w:styleId="36">
    <w:name w:val="页眉 Char"/>
    <w:basedOn w:val="16"/>
    <w:link w:val="9"/>
    <w:uiPriority w:val="0"/>
    <w:rPr>
      <w:rFonts w:ascii="Calibri" w:hAnsi="Calibri" w:eastAsia="仿宋" w:cs="Times New Roman"/>
      <w:sz w:val="18"/>
      <w:szCs w:val="24"/>
    </w:rPr>
  </w:style>
  <w:style w:type="character" w:customStyle="1" w:styleId="37">
    <w:name w:val="标题 Char"/>
    <w:basedOn w:val="16"/>
    <w:link w:val="13"/>
    <w:uiPriority w:val="10"/>
    <w:rPr>
      <w:rFonts w:eastAsia="宋体" w:asciiTheme="majorHAnsi" w:hAnsiTheme="majorHAnsi" w:cstheme="majorBidi"/>
      <w:b/>
      <w:bCs/>
      <w:sz w:val="32"/>
      <w:szCs w:val="32"/>
    </w:rPr>
  </w:style>
  <w:style w:type="character" w:customStyle="1" w:styleId="38">
    <w:name w:val="fontstyle01"/>
    <w:basedOn w:val="16"/>
    <w:uiPriority w:val="0"/>
    <w:rPr>
      <w:rFonts w:hint="eastAsia" w:ascii="仿宋_GB2312" w:eastAsia="仿宋_GB2312"/>
      <w:color w:val="000000"/>
      <w:sz w:val="32"/>
      <w:szCs w:val="32"/>
    </w:rPr>
  </w:style>
  <w:style w:type="character" w:customStyle="1" w:styleId="39">
    <w:name w:val="fontstyle21"/>
    <w:basedOn w:val="16"/>
    <w:uiPriority w:val="0"/>
    <w:rPr>
      <w:rFonts w:hint="default" w:ascii="TimesNewRomanPSMT" w:hAnsi="TimesNewRomanPSMT"/>
      <w:color w:val="000000"/>
      <w:sz w:val="32"/>
      <w:szCs w:val="32"/>
    </w:rPr>
  </w:style>
  <w:style w:type="character" w:customStyle="1" w:styleId="40">
    <w:name w:val="fontstyle31"/>
    <w:basedOn w:val="16"/>
    <w:uiPriority w:val="0"/>
    <w:rPr>
      <w:rFonts w:hint="default" w:ascii="ArialMT" w:hAnsi="ArialMT"/>
      <w:color w:val="000000"/>
      <w:sz w:val="32"/>
      <w:szCs w:val="32"/>
    </w:rPr>
  </w:style>
  <w:style w:type="character" w:customStyle="1" w:styleId="41">
    <w:name w:val="fontstyle11"/>
    <w:basedOn w:val="16"/>
    <w:uiPriority w:val="0"/>
    <w:rPr>
      <w:rFonts w:hint="default" w:ascii="TimesNewRomanPSMT" w:hAnsi="TimesNewRomanPSMT"/>
      <w:color w:val="000000"/>
      <w:sz w:val="32"/>
      <w:szCs w:val="32"/>
    </w:rPr>
  </w:style>
  <w:style w:type="paragraph" w:customStyle="1" w:styleId="42">
    <w:name w:val="列出段落1"/>
    <w:basedOn w:val="1"/>
    <w:next w:val="1"/>
    <w:qFormat/>
    <w:uiPriority w:val="0"/>
    <w:pPr>
      <w:kinsoku w:val="0"/>
      <w:autoSpaceDE w:val="0"/>
      <w:autoSpaceDN w:val="0"/>
      <w:ind w:firstLine="420"/>
      <w:textAlignment w:val="baseline"/>
    </w:pPr>
    <w:rPr>
      <w:rFonts w:eastAsia="宋体"/>
      <w:snapToGrid w:val="0"/>
      <w:color w:val="000000"/>
      <w:sz w:val="21"/>
      <w:szCs w:val="32"/>
    </w:rPr>
  </w:style>
  <w:style w:type="character" w:styleId="43">
    <w:name w:val="Placeholder Text"/>
    <w:basedOn w:val="16"/>
    <w:semiHidden/>
    <w:uiPriority w:val="99"/>
    <w:rPr>
      <w:color w:val="808080"/>
    </w:rPr>
  </w:style>
  <w:style w:type="character" w:customStyle="1" w:styleId="44">
    <w:name w:val="批注框文本 Char"/>
    <w:basedOn w:val="16"/>
    <w:link w:val="7"/>
    <w:semiHidden/>
    <w:uiPriority w:val="99"/>
    <w:rPr>
      <w:rFonts w:ascii="仿宋_GB2312" w:hAnsi="微软雅黑"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Sheet2!$M$1</c:f>
              <c:strCache>
                <c:ptCount val="1"/>
                <c:pt idx="0">
                  <c:v>财政结算金额</c:v>
                </c:pt>
              </c:strCache>
            </c:strRef>
          </c:tx>
          <c:spPr>
            <a:solidFill>
              <a:schemeClr val="accent1"/>
            </a:solidFill>
            <a:ln>
              <a:noFill/>
            </a:ln>
            <a:effectLst/>
          </c:spPr>
          <c:invertIfNegative val="0"/>
          <c:dLbls>
            <c:delete val="1"/>
          </c:dLbls>
          <c:cat>
            <c:numRef>
              <c:f>Sheet2!$K$2:$K$4</c:f>
              <c:numCache>
                <c:formatCode>General</c:formatCode>
                <c:ptCount val="3"/>
                <c:pt idx="0">
                  <c:v>2020</c:v>
                </c:pt>
                <c:pt idx="1">
                  <c:v>2021</c:v>
                </c:pt>
                <c:pt idx="2">
                  <c:v>2022</c:v>
                </c:pt>
              </c:numCache>
            </c:numRef>
          </c:cat>
          <c:val>
            <c:numRef>
              <c:f>Sheet2!$M$2:$M$4</c:f>
              <c:numCache>
                <c:formatCode>0.00_ </c:formatCode>
                <c:ptCount val="3"/>
                <c:pt idx="0">
                  <c:v>351062.88</c:v>
                </c:pt>
                <c:pt idx="1">
                  <c:v>502610.64</c:v>
                </c:pt>
                <c:pt idx="2" c:formatCode="0_ ">
                  <c:v>524741.64</c:v>
                </c:pt>
              </c:numCache>
            </c:numRef>
          </c:val>
        </c:ser>
        <c:ser>
          <c:idx val="1"/>
          <c:order val="1"/>
          <c:tx>
            <c:strRef>
              <c:f>Sheet2!$P$1</c:f>
              <c:strCache>
                <c:ptCount val="1"/>
                <c:pt idx="0">
                  <c:v>有保底量定额补贴</c:v>
                </c:pt>
              </c:strCache>
            </c:strRef>
          </c:tx>
          <c:spPr>
            <a:solidFill>
              <a:schemeClr val="accent2"/>
            </a:solidFill>
            <a:ln>
              <a:noFill/>
            </a:ln>
            <a:effectLst/>
          </c:spPr>
          <c:invertIfNegative val="0"/>
          <c:dLbls>
            <c:delete val="1"/>
          </c:dLbls>
          <c:cat>
            <c:numRef>
              <c:f>Sheet2!$K$2:$K$4</c:f>
              <c:numCache>
                <c:formatCode>General</c:formatCode>
                <c:ptCount val="3"/>
                <c:pt idx="0">
                  <c:v>2020</c:v>
                </c:pt>
                <c:pt idx="1">
                  <c:v>2021</c:v>
                </c:pt>
                <c:pt idx="2">
                  <c:v>2022</c:v>
                </c:pt>
              </c:numCache>
            </c:numRef>
          </c:cat>
          <c:val>
            <c:numRef>
              <c:f>Sheet2!$P$2:$P$4</c:f>
              <c:numCache>
                <c:formatCode>0.00_ </c:formatCode>
                <c:ptCount val="3"/>
                <c:pt idx="0">
                  <c:v>198926.08</c:v>
                </c:pt>
                <c:pt idx="1">
                  <c:v>404302.3922</c:v>
                </c:pt>
                <c:pt idx="2" c:formatCode="0_ ">
                  <c:v>422107.0872</c:v>
                </c:pt>
              </c:numCache>
            </c:numRef>
          </c:val>
        </c:ser>
        <c:dLbls>
          <c:showLegendKey val="0"/>
          <c:showVal val="0"/>
          <c:showCatName val="0"/>
          <c:showSerName val="0"/>
          <c:showPercent val="0"/>
          <c:showBubbleSize val="0"/>
        </c:dLbls>
        <c:gapWidth val="219"/>
        <c:overlap val="-27"/>
        <c:axId val="886483696"/>
        <c:axId val="886484088"/>
      </c:barChart>
      <c:lineChart>
        <c:grouping val="stacked"/>
        <c:varyColors val="0"/>
        <c:ser>
          <c:idx val="2"/>
          <c:order val="2"/>
          <c:tx>
            <c:strRef>
              <c:f>Sheet2!$Q$1</c:f>
              <c:strCache>
                <c:ptCount val="1"/>
                <c:pt idx="0">
                  <c:v>有保底量差额</c:v>
                </c:pt>
              </c:strCache>
            </c:strRef>
          </c:tx>
          <c:spPr>
            <a:ln w="28575" cap="rnd">
              <a:noFill/>
              <a:round/>
            </a:ln>
            <a:effectLst>
              <a:outerShdw blurRad="50800" dist="38100" dir="5400000" algn="ctr" rotWithShape="0">
                <a:schemeClr val="bg1">
                  <a:alpha val="43000"/>
                </a:schemeClr>
              </a:outerShdw>
            </a:effectLst>
          </c:spPr>
          <c:marker>
            <c:symbol val="circle"/>
            <c:size val="5"/>
            <c:spPr>
              <a:solidFill>
                <a:schemeClr val="bg1"/>
              </a:solidFill>
              <a:ln w="9525">
                <a:noFill/>
              </a:ln>
              <a:effectLst>
                <a:outerShdw blurRad="50800" dist="38100" dir="5400000" algn="ctr" rotWithShape="0">
                  <a:schemeClr val="bg1">
                    <a:alpha val="43000"/>
                  </a:schemeClr>
                </a:outerShdw>
              </a:effectLst>
            </c:spPr>
          </c:marker>
          <c:dLbls>
            <c:dLbl>
              <c:idx val="0"/>
              <c:layout>
                <c:manualLayout>
                  <c:x val="-0.0888888888888889"/>
                  <c:y val="-0.412037037037037"/>
                </c:manualLayout>
              </c:layout>
              <c:tx>
                <c:rich>
                  <a:bodyPr rot="0" spcFirstLastPara="1" vertOverflow="ellipsis" vert="horz" wrap="square" lIns="38100" tIns="19050" rIns="38100" bIns="19050" anchor="ctr" anchorCtr="1"/>
                  <a:lstStyle/>
                  <a:p>
                    <a:fld id="{cad393b9-484c-4249-b429-1d2dead5f112}"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05555555555556"/>
                  <c:y val="-0.527865631379411"/>
                </c:manualLayout>
              </c:layout>
              <c:tx>
                <c:rich>
                  <a:bodyPr rot="0" spcFirstLastPara="1" vertOverflow="ellipsis" vert="horz" wrap="square" lIns="38100" tIns="19050" rIns="38100" bIns="19050" anchor="ctr" anchorCtr="1"/>
                  <a:lstStyle/>
                  <a:p>
                    <a:fld id="{116a6773-537c-47f7-9ead-93471e2134db}"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5"/>
                  <c:y val="-0.54754593175853"/>
                </c:manualLayout>
              </c:layout>
              <c:tx>
                <c:rich>
                  <a:bodyPr rot="0" spcFirstLastPara="1" vertOverflow="ellipsis" vert="horz" wrap="square" lIns="38100" tIns="19050" rIns="38100" bIns="19050" anchor="ctr" anchorCtr="1"/>
                  <a:lstStyle/>
                  <a:p>
                    <a:fld id="{aa638261-cce4-443b-aeb8-13583106b234}"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Sheet2!$K$2:$K$4</c:f>
              <c:numCache>
                <c:formatCode>General</c:formatCode>
                <c:ptCount val="3"/>
                <c:pt idx="0">
                  <c:v>2020</c:v>
                </c:pt>
                <c:pt idx="1">
                  <c:v>2021</c:v>
                </c:pt>
                <c:pt idx="2">
                  <c:v>2022</c:v>
                </c:pt>
              </c:numCache>
            </c:numRef>
          </c:cat>
          <c:val>
            <c:numRef>
              <c:f>Sheet2!$Q$2:$Q$4</c:f>
              <c:numCache>
                <c:formatCode>0.00_ </c:formatCode>
                <c:ptCount val="3"/>
                <c:pt idx="0">
                  <c:v>48369.92</c:v>
                </c:pt>
                <c:pt idx="1">
                  <c:v>98308.2478</c:v>
                </c:pt>
                <c:pt idx="2" c:formatCode="0_ ">
                  <c:v>102634.5528</c:v>
                </c:pt>
              </c:numCache>
            </c:numRef>
          </c:val>
          <c:smooth val="0"/>
        </c:ser>
        <c:dLbls>
          <c:showLegendKey val="0"/>
          <c:showVal val="0"/>
          <c:showCatName val="0"/>
          <c:showSerName val="0"/>
          <c:showPercent val="0"/>
          <c:showBubbleSize val="0"/>
        </c:dLbls>
        <c:marker val="1"/>
        <c:smooth val="0"/>
        <c:axId val="886485264"/>
        <c:axId val="886484872"/>
      </c:lineChart>
      <c:catAx>
        <c:axId val="88648369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484088"/>
        <c:crosses val="autoZero"/>
        <c:auto val="1"/>
        <c:lblAlgn val="ctr"/>
        <c:lblOffset val="100"/>
        <c:noMultiLvlLbl val="0"/>
      </c:catAx>
      <c:valAx>
        <c:axId val="886484088"/>
        <c:scaling>
          <c:orientation val="minMax"/>
        </c:scaling>
        <c:delete val="0"/>
        <c:axPos val="l"/>
        <c:majorGridlines>
          <c:spPr>
            <a:ln w="9525" cap="flat" cmpd="sng" algn="ctr">
              <a:noFill/>
              <a:round/>
            </a:ln>
            <a:effectLst/>
          </c:spPr>
        </c:majorGridlines>
        <c:numFmt formatCode="0_ " sourceLinked="0"/>
        <c:majorTickMark val="in"/>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483696"/>
        <c:crosses val="autoZero"/>
        <c:crossBetween val="between"/>
      </c:valAx>
      <c:catAx>
        <c:axId val="886485264"/>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484872"/>
        <c:crosses val="autoZero"/>
        <c:auto val="1"/>
        <c:lblAlgn val="ctr"/>
        <c:lblOffset val="100"/>
        <c:noMultiLvlLbl val="0"/>
      </c:catAx>
      <c:valAx>
        <c:axId val="886484872"/>
        <c:scaling>
          <c:orientation val="minMax"/>
        </c:scaling>
        <c:delete val="1"/>
        <c:axPos val="r"/>
        <c:numFmt formatCode="0.00_ "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485264"/>
        <c:crosses val="max"/>
        <c:crossBetween val="between"/>
      </c:valAx>
      <c:spPr>
        <a:noFill/>
        <a:ln>
          <a:noFill/>
        </a:ln>
        <a:effectLst/>
      </c:spPr>
    </c:plotArea>
    <c:legend>
      <c:legendPos val="b"/>
      <c:legendEntry>
        <c:idx val="2"/>
        <c:delete val="1"/>
      </c:legendEntry>
      <c:layout>
        <c:manualLayout>
          <c:xMode val="edge"/>
          <c:yMode val="edge"/>
          <c:x val="0.25982261592301"/>
          <c:y val="0.880207786526684"/>
          <c:w val="0.485910104986877"/>
          <c:h val="0.078125546806649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1135-A1DE-4454-A168-19CB4423D6B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3762</Words>
  <Characters>21450</Characters>
  <Lines>178</Lines>
  <Paragraphs>50</Paragraphs>
  <TotalTime>1</TotalTime>
  <ScaleCrop>false</ScaleCrop>
  <LinksUpToDate>false</LinksUpToDate>
  <CharactersWithSpaces>25162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2023-05-25T00:45:00Z</dcterms:created>
  <dc:creator>User</dc:creator>
  <cp:lastModifiedBy>墨墨</cp:lastModifiedBy>
  <dcterms:modified xsi:type="dcterms:W3CDTF">2023-07-10T15:19:23Z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E962B36A45454F83821AA6AC5E4BE5D3_12</vt:lpwstr>
  </property>
</Properties>
</file>