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700" w:lineRule="exact"/>
        <w:ind w:firstLine="0" w:firstLineChars="0"/>
        <w:jc w:val="center"/>
        <w:rPr>
          <w:rFonts w:ascii="Arial" w:hAnsi="Arial" w:eastAsia="方正小标宋简体" w:cs="Arial"/>
          <w:kern w:val="2"/>
          <w:sz w:val="44"/>
          <w:szCs w:val="44"/>
          <w:highlight w:val="none"/>
        </w:rPr>
      </w:pPr>
    </w:p>
    <w:p>
      <w:pPr>
        <w:adjustRightInd/>
        <w:snapToGrid/>
        <w:spacing w:line="700" w:lineRule="exact"/>
        <w:ind w:firstLine="0" w:firstLineChars="0"/>
        <w:jc w:val="center"/>
        <w:rPr>
          <w:rFonts w:ascii="Arial" w:hAnsi="Arial" w:eastAsia="方正小标宋简体" w:cs="Arial"/>
          <w:kern w:val="2"/>
          <w:sz w:val="44"/>
          <w:szCs w:val="44"/>
          <w:highlight w:val="none"/>
        </w:rPr>
      </w:pPr>
    </w:p>
    <w:p>
      <w:pPr>
        <w:adjustRightInd/>
        <w:snapToGrid/>
        <w:spacing w:line="700" w:lineRule="exact"/>
        <w:ind w:firstLine="0" w:firstLineChars="0"/>
        <w:jc w:val="center"/>
        <w:rPr>
          <w:rFonts w:hint="eastAsia" w:ascii="方正小标宋简体" w:hAnsi="方正小标宋简体" w:eastAsia="方正小标宋简体" w:cs="方正小标宋简体"/>
          <w:kern w:val="2"/>
          <w:sz w:val="48"/>
          <w:szCs w:val="48"/>
          <w:highlight w:val="none"/>
        </w:rPr>
      </w:pPr>
      <w:r>
        <w:rPr>
          <w:rFonts w:hint="eastAsia" w:ascii="方正小标宋简体" w:hAnsi="方正小标宋简体" w:eastAsia="方正小标宋简体" w:cs="方正小标宋简体"/>
          <w:kern w:val="2"/>
          <w:sz w:val="48"/>
          <w:szCs w:val="48"/>
          <w:highlight w:val="none"/>
        </w:rPr>
        <w:t>2022年度枣庄高新区英才计划项目</w:t>
      </w:r>
    </w:p>
    <w:p>
      <w:pPr>
        <w:adjustRightInd/>
        <w:snapToGrid/>
        <w:spacing w:line="700" w:lineRule="exact"/>
        <w:ind w:firstLine="0" w:firstLineChars="0"/>
        <w:jc w:val="center"/>
        <w:rPr>
          <w:rFonts w:hint="eastAsia" w:ascii="方正小标宋简体" w:hAnsi="方正小标宋简体" w:eastAsia="方正小标宋简体" w:cs="方正小标宋简体"/>
          <w:kern w:val="2"/>
          <w:sz w:val="48"/>
          <w:szCs w:val="48"/>
          <w:highlight w:val="none"/>
        </w:rPr>
      </w:pPr>
      <w:r>
        <w:rPr>
          <w:rFonts w:hint="eastAsia" w:ascii="方正小标宋简体" w:hAnsi="方正小标宋简体" w:eastAsia="方正小标宋简体" w:cs="方正小标宋简体"/>
          <w:kern w:val="2"/>
          <w:sz w:val="48"/>
          <w:szCs w:val="48"/>
          <w:highlight w:val="none"/>
        </w:rPr>
        <w:t>绩效评价报告</w:t>
      </w:r>
    </w:p>
    <w:p>
      <w:pPr>
        <w:adjustRightInd/>
        <w:snapToGrid/>
        <w:spacing w:before="156" w:beforeLines="50" w:after="156" w:afterLines="50" w:line="360" w:lineRule="auto"/>
        <w:ind w:firstLine="640"/>
        <w:rPr>
          <w:rFonts w:ascii="黑体" w:hAnsi="黑体" w:eastAsia="黑体"/>
          <w:kern w:val="2"/>
          <w:highlight w:val="none"/>
          <w:lang w:bidi="zh-CN"/>
        </w:rPr>
      </w:pPr>
    </w:p>
    <w:p>
      <w:pPr>
        <w:adjustRightInd/>
        <w:snapToGrid/>
        <w:spacing w:before="156" w:beforeLines="50" w:after="156" w:afterLines="50" w:line="360" w:lineRule="auto"/>
        <w:ind w:firstLine="640"/>
        <w:rPr>
          <w:rFonts w:ascii="黑体" w:hAnsi="黑体" w:eastAsia="黑体"/>
          <w:kern w:val="2"/>
          <w:highlight w:val="none"/>
          <w:lang w:bidi="zh-CN"/>
        </w:rPr>
      </w:pPr>
    </w:p>
    <w:p>
      <w:pPr>
        <w:adjustRightInd/>
        <w:snapToGrid/>
        <w:spacing w:before="156" w:beforeLines="50" w:after="156" w:afterLines="50" w:line="360" w:lineRule="auto"/>
        <w:ind w:firstLine="640"/>
        <w:rPr>
          <w:rFonts w:ascii="黑体" w:hAnsi="黑体" w:eastAsia="黑体"/>
          <w:kern w:val="2"/>
          <w:highlight w:val="none"/>
          <w:lang w:bidi="zh-CN"/>
        </w:rPr>
      </w:pPr>
    </w:p>
    <w:p>
      <w:pPr>
        <w:spacing w:after="120"/>
        <w:ind w:left="640" w:leftChars="200" w:firstLine="420"/>
        <w:rPr>
          <w:rFonts w:ascii="Calibri" w:hAnsi="Calibri" w:eastAsia="宋体" w:cs="Times New Roman"/>
          <w:kern w:val="2"/>
          <w:sz w:val="21"/>
          <w:szCs w:val="24"/>
          <w:highlight w:val="none"/>
        </w:rPr>
      </w:pPr>
    </w:p>
    <w:p>
      <w:pPr>
        <w:adjustRightInd/>
        <w:snapToGrid/>
        <w:spacing w:before="156" w:beforeLines="50" w:after="156" w:afterLines="50" w:line="360" w:lineRule="auto"/>
        <w:ind w:firstLine="640"/>
        <w:rPr>
          <w:rFonts w:ascii="黑体" w:hAnsi="黑体" w:eastAsia="黑体"/>
          <w:kern w:val="2"/>
          <w:highlight w:val="none"/>
          <w:lang w:bidi="zh-CN"/>
        </w:rPr>
      </w:pPr>
      <w:bookmarkStart w:id="532" w:name="_GoBack"/>
      <w:bookmarkEnd w:id="532"/>
    </w:p>
    <w:p>
      <w:pPr>
        <w:adjustRightInd/>
        <w:snapToGrid/>
        <w:spacing w:before="156" w:beforeLines="50" w:after="156" w:afterLines="50" w:line="360" w:lineRule="auto"/>
        <w:ind w:firstLine="640"/>
        <w:rPr>
          <w:rFonts w:ascii="黑体" w:hAnsi="黑体" w:eastAsia="黑体"/>
          <w:kern w:val="2"/>
          <w:highlight w:val="none"/>
          <w:lang w:bidi="zh-CN"/>
        </w:rPr>
      </w:pPr>
    </w:p>
    <w:p>
      <w:pPr>
        <w:adjustRightInd/>
        <w:snapToGrid/>
        <w:ind w:left="640" w:leftChars="200" w:firstLine="640"/>
        <w:rPr>
          <w:rFonts w:ascii="仿宋" w:hAnsi="仿宋" w:eastAsia="仿宋" w:cs="仿宋"/>
          <w:kern w:val="2"/>
          <w:szCs w:val="24"/>
          <w:highlight w:val="none"/>
          <w:lang w:bidi="zh-CN"/>
        </w:rPr>
      </w:pPr>
    </w:p>
    <w:p>
      <w:pPr>
        <w:adjustRightInd/>
        <w:snapToGrid/>
        <w:ind w:left="640" w:leftChars="200" w:firstLine="640"/>
        <w:rPr>
          <w:rFonts w:ascii="仿宋" w:hAnsi="仿宋" w:eastAsia="仿宋" w:cs="仿宋"/>
          <w:kern w:val="2"/>
          <w:szCs w:val="24"/>
          <w:highlight w:val="none"/>
          <w:lang w:bidi="zh-CN"/>
        </w:rPr>
      </w:pPr>
    </w:p>
    <w:p>
      <w:pPr>
        <w:pStyle w:val="2"/>
        <w:ind w:firstLine="0" w:firstLineChars="0"/>
        <w:rPr>
          <w:rFonts w:hint="eastAsia" w:eastAsia="仿宋_GB2312"/>
          <w:highlight w:val="none"/>
          <w:lang w:eastAsia="zh-CN"/>
        </w:rPr>
      </w:pPr>
    </w:p>
    <w:p>
      <w:pPr>
        <w:adjustRightInd/>
        <w:snapToGrid/>
        <w:spacing w:line="600" w:lineRule="exact"/>
        <w:ind w:firstLine="960" w:firstLineChars="300"/>
        <w:rPr>
          <w:rFonts w:hint="eastAsia" w:ascii="黑体" w:hAnsi="黑体" w:eastAsia="黑体" w:cs="黑体"/>
          <w:kern w:val="2"/>
          <w:highlight w:val="none"/>
          <w:lang w:eastAsia="zh-CN"/>
        </w:rPr>
      </w:pPr>
      <w:r>
        <w:rPr>
          <w:rFonts w:hint="eastAsia" w:ascii="黑体" w:hAnsi="黑体" w:eastAsia="黑体" w:cs="黑体"/>
          <w:bCs/>
          <w:color w:val="000000"/>
          <w:kern w:val="2"/>
          <w:highlight w:val="none"/>
        </w:rPr>
        <w:t>主管部门：</w:t>
      </w:r>
      <w:r>
        <w:rPr>
          <w:rFonts w:hint="eastAsia" w:ascii="黑体" w:hAnsi="黑体" w:eastAsia="黑体" w:cs="黑体"/>
          <w:kern w:val="2"/>
          <w:highlight w:val="none"/>
          <w:lang w:eastAsia="zh-CN"/>
        </w:rPr>
        <w:t>枣庄高新区党群工作部</w:t>
      </w:r>
    </w:p>
    <w:p>
      <w:pPr>
        <w:adjustRightInd/>
        <w:snapToGrid/>
        <w:spacing w:line="600" w:lineRule="exact"/>
        <w:ind w:firstLine="960" w:firstLineChars="300"/>
        <w:rPr>
          <w:rFonts w:ascii="黑体" w:hAnsi="黑体" w:eastAsia="黑体" w:cs="黑体"/>
          <w:kern w:val="2"/>
          <w:highlight w:val="none"/>
        </w:rPr>
      </w:pPr>
      <w:r>
        <w:rPr>
          <w:rFonts w:hint="eastAsia" w:ascii="黑体" w:hAnsi="黑体" w:eastAsia="黑体" w:cs="黑体"/>
          <w:bCs/>
          <w:color w:val="000000"/>
          <w:kern w:val="2"/>
          <w:highlight w:val="none"/>
        </w:rPr>
        <w:t>委托单位：</w:t>
      </w:r>
      <w:r>
        <w:rPr>
          <w:rFonts w:hint="eastAsia" w:ascii="黑体" w:hAnsi="黑体" w:eastAsia="黑体" w:cs="黑体"/>
          <w:kern w:val="2"/>
          <w:highlight w:val="none"/>
          <w:lang w:val="en-US" w:eastAsia="zh-CN"/>
        </w:rPr>
        <w:t>枣庄高新区</w:t>
      </w:r>
      <w:r>
        <w:rPr>
          <w:rFonts w:hint="eastAsia" w:ascii="黑体" w:hAnsi="黑体" w:eastAsia="黑体" w:cs="黑体"/>
          <w:kern w:val="2"/>
          <w:highlight w:val="none"/>
        </w:rPr>
        <w:t>财政</w:t>
      </w:r>
      <w:r>
        <w:rPr>
          <w:rFonts w:hint="eastAsia" w:ascii="黑体" w:hAnsi="黑体" w:eastAsia="黑体" w:cs="黑体"/>
          <w:kern w:val="2"/>
          <w:highlight w:val="none"/>
          <w:lang w:val="en-US" w:eastAsia="zh-CN"/>
        </w:rPr>
        <w:t>金融</w:t>
      </w:r>
      <w:r>
        <w:rPr>
          <w:rFonts w:hint="eastAsia" w:ascii="黑体" w:hAnsi="黑体" w:eastAsia="黑体" w:cs="黑体"/>
          <w:kern w:val="2"/>
          <w:highlight w:val="none"/>
        </w:rPr>
        <w:t>局</w:t>
      </w:r>
    </w:p>
    <w:p>
      <w:pPr>
        <w:adjustRightInd/>
        <w:snapToGrid/>
        <w:spacing w:line="600" w:lineRule="exact"/>
        <w:ind w:firstLine="960" w:firstLineChars="300"/>
        <w:rPr>
          <w:rFonts w:ascii="黑体" w:hAnsi="黑体" w:eastAsia="黑体" w:cs="黑体"/>
          <w:bCs/>
          <w:color w:val="000000"/>
          <w:kern w:val="2"/>
          <w:highlight w:val="none"/>
        </w:rPr>
      </w:pPr>
      <w:r>
        <w:rPr>
          <w:rFonts w:hint="eastAsia" w:ascii="黑体" w:hAnsi="黑体" w:eastAsia="黑体" w:cs="黑体"/>
          <w:bCs/>
          <w:color w:val="000000"/>
          <w:kern w:val="2"/>
          <w:highlight w:val="none"/>
        </w:rPr>
        <w:t>评价机构：华富鲁融（山东）工程技术咨询有限公司</w:t>
      </w:r>
    </w:p>
    <w:p>
      <w:pPr>
        <w:adjustRightInd/>
        <w:snapToGrid/>
        <w:spacing w:line="600" w:lineRule="exact"/>
        <w:ind w:firstLine="960" w:firstLineChars="300"/>
        <w:rPr>
          <w:rFonts w:hint="eastAsia" w:ascii="黑体" w:hAnsi="黑体" w:eastAsia="黑体" w:cs="黑体"/>
          <w:bCs/>
          <w:color w:val="000000"/>
          <w:kern w:val="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74" w:gutter="0"/>
          <w:pgNumType w:start="1"/>
          <w:cols w:space="0" w:num="1"/>
          <w:titlePg/>
          <w:rtlGutter w:val="0"/>
          <w:docGrid w:type="lines" w:linePitch="440" w:charSpace="0"/>
        </w:sectPr>
      </w:pPr>
      <w:r>
        <w:rPr>
          <w:rFonts w:hint="eastAsia" w:ascii="黑体" w:hAnsi="黑体" w:eastAsia="黑体" w:cs="黑体"/>
          <w:bCs/>
          <w:color w:val="000000"/>
          <w:kern w:val="2"/>
          <w:highlight w:val="none"/>
        </w:rPr>
        <w:t>评价时间：202</w:t>
      </w:r>
      <w:r>
        <w:rPr>
          <w:rFonts w:hint="eastAsia" w:ascii="黑体" w:hAnsi="黑体" w:eastAsia="黑体" w:cs="黑体"/>
          <w:bCs/>
          <w:color w:val="000000"/>
          <w:kern w:val="2"/>
          <w:highlight w:val="none"/>
          <w:lang w:val="en-US" w:eastAsia="zh-CN"/>
        </w:rPr>
        <w:t>3</w:t>
      </w:r>
      <w:r>
        <w:rPr>
          <w:rFonts w:hint="eastAsia" w:ascii="黑体" w:hAnsi="黑体" w:eastAsia="黑体" w:cs="黑体"/>
          <w:bCs/>
          <w:color w:val="000000"/>
          <w:kern w:val="2"/>
          <w:highlight w:val="none"/>
        </w:rPr>
        <w:t>年</w:t>
      </w:r>
      <w:r>
        <w:rPr>
          <w:rFonts w:hint="eastAsia" w:ascii="黑体" w:hAnsi="黑体" w:eastAsia="黑体" w:cs="黑体"/>
          <w:bCs/>
          <w:color w:val="000000"/>
          <w:kern w:val="2"/>
          <w:highlight w:val="none"/>
          <w:lang w:val="en-US" w:eastAsia="zh-CN"/>
        </w:rPr>
        <w:t>5</w:t>
      </w:r>
      <w:r>
        <w:rPr>
          <w:rFonts w:hint="eastAsia" w:ascii="黑体" w:hAnsi="黑体" w:eastAsia="黑体" w:cs="黑体"/>
          <w:bCs/>
          <w:color w:val="000000"/>
          <w:kern w:val="2"/>
          <w:highlight w:val="none"/>
        </w:rPr>
        <w:t>月</w:t>
      </w:r>
    </w:p>
    <w:p>
      <w:pPr>
        <w:pStyle w:val="82"/>
        <w:keepNext w:val="0"/>
        <w:keepLines w:val="0"/>
        <w:pageBreakBefore w:val="0"/>
        <w:widowControl w:val="0"/>
        <w:kinsoku/>
        <w:wordWrap/>
        <w:overflowPunct/>
        <w:topLinePunct w:val="0"/>
        <w:autoSpaceDE/>
        <w:autoSpaceDN/>
        <w:bidi w:val="0"/>
        <w:spacing w:before="50" w:line="580" w:lineRule="exact"/>
        <w:ind w:left="0" w:leftChars="0" w:firstLine="0" w:firstLineChars="0"/>
        <w:jc w:val="both"/>
        <w:outlineLvl w:val="0"/>
        <w:rPr>
          <w:rFonts w:ascii="Times New Roman" w:hAnsi="Times New Roman"/>
          <w:sz w:val="24"/>
          <w:highlight w:val="none"/>
        </w:rPr>
      </w:pPr>
      <w:bookmarkStart w:id="0" w:name="_Toc15513"/>
      <w:bookmarkStart w:id="1" w:name="_Toc13432"/>
      <w:bookmarkStart w:id="2" w:name="_Toc4890"/>
      <w:r>
        <w:rPr>
          <w:rFonts w:ascii="Times New Roman" w:hAnsi="Times New Roman"/>
          <w:sz w:val="44"/>
          <w:szCs w:val="36"/>
          <w:highlight w:val="none"/>
        </w:rPr>
        <w:t>报告撰写说明</w:t>
      </w:r>
      <w:bookmarkEnd w:id="0"/>
      <w:bookmarkEnd w:id="1"/>
      <w:bookmarkEnd w:id="2"/>
    </w:p>
    <w:p>
      <w:pPr>
        <w:keepNext w:val="0"/>
        <w:keepLines w:val="0"/>
        <w:pageBreakBefore w:val="0"/>
        <w:widowControl w:val="0"/>
        <w:kinsoku/>
        <w:wordWrap/>
        <w:overflowPunct/>
        <w:topLinePunct w:val="0"/>
        <w:autoSpaceDE/>
        <w:autoSpaceDN/>
        <w:bidi w:val="0"/>
        <w:spacing w:line="580" w:lineRule="exact"/>
        <w:ind w:firstLine="640"/>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54610</wp:posOffset>
                </wp:positionV>
                <wp:extent cx="1722120" cy="1587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722120" cy="15875"/>
                        </a:xfrm>
                        <a:prstGeom prst="line">
                          <a:avLst/>
                        </a:prstGeom>
                        <a:ln w="2540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1pt;margin-top:4.3pt;height:1.25pt;width:135.6pt;z-index:251676672;mso-width-relative:page;mso-height-relative:page;" filled="f" stroked="t" coordsize="21600,21600" o:gfxdata="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&#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XlUw1gAAAAYBAAAPAAAAAAAAAAEAIAAAACIAAABk&#10;cnMvZG93bnJldi54bWxQSwECFAAUAAAACACHTuJAYrEshQgCAAALBAAADgAAAAAAAAABACAAAAAl&#10;AQAAZHJzL2Uyb0RvYy54bWxQSwUGAAAAAAYABgBZAQAAnwUAAAAA&#10;">
                <v:fill on="f" focussize="0,0"/>
                <v:stroke weight="2pt" color="#000000" joinstyle="miter"/>
                <v:imagedata o:title=""/>
                <o:lock v:ext="edit" aspectratio="f"/>
              </v:line>
            </w:pict>
          </mc:Fallback>
        </mc:AlternateConten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ascii="Times New Roman" w:hAnsi="Times New Roman"/>
          <w:sz w:val="32"/>
          <w:szCs w:val="32"/>
          <w:highlight w:val="none"/>
        </w:rPr>
      </w:pPr>
      <w:r>
        <w:rPr>
          <w:rFonts w:ascii="Times New Roman" w:hAnsi="Times New Roman"/>
          <w:sz w:val="32"/>
          <w:szCs w:val="32"/>
          <w:highlight w:val="none"/>
        </w:rPr>
        <w:t>本报告</w:t>
      </w:r>
      <w:r>
        <w:rPr>
          <w:rFonts w:hint="eastAsia" w:ascii="Times New Roman" w:hAnsi="Times New Roman"/>
          <w:sz w:val="32"/>
          <w:szCs w:val="32"/>
          <w:highlight w:val="none"/>
          <w:lang w:val="en-US" w:eastAsia="zh-CN"/>
        </w:rPr>
        <w:t>中的</w:t>
      </w:r>
      <w:r>
        <w:rPr>
          <w:rFonts w:ascii="Times New Roman" w:hAnsi="Times New Roman"/>
          <w:sz w:val="32"/>
          <w:szCs w:val="32"/>
          <w:highlight w:val="none"/>
        </w:rPr>
        <w:t>数据来自</w:t>
      </w:r>
      <w:r>
        <w:rPr>
          <w:rFonts w:hint="eastAsia" w:ascii="Times New Roman" w:hAnsi="Times New Roman"/>
          <w:sz w:val="32"/>
          <w:szCs w:val="32"/>
          <w:highlight w:val="none"/>
          <w:lang w:val="en-US" w:eastAsia="zh-CN"/>
        </w:rPr>
        <w:t>枣庄高新区党群工作部和枣庄高新区财政金融局等</w:t>
      </w:r>
      <w:r>
        <w:rPr>
          <w:rFonts w:ascii="Times New Roman" w:hAnsi="Times New Roman"/>
          <w:sz w:val="32"/>
          <w:szCs w:val="32"/>
          <w:highlight w:val="none"/>
        </w:rPr>
        <w:t>提供的资料和其他官方渠道公开的信息，资料提供方对所提供资料的真实性、准确性负责。我公司秉承客观、公正、科学的原则，运用科学合理的工作思路和工作方法，在对</w:t>
      </w:r>
      <w:r>
        <w:rPr>
          <w:rFonts w:hint="eastAsia" w:ascii="Times New Roman" w:hAnsi="Times New Roman"/>
          <w:sz w:val="32"/>
          <w:szCs w:val="32"/>
          <w:highlight w:val="none"/>
          <w:lang w:eastAsia="zh-CN"/>
        </w:rPr>
        <w:t>2022年度枣庄高新区英才计划项目</w:t>
      </w:r>
      <w:r>
        <w:rPr>
          <w:rFonts w:ascii="Times New Roman" w:hAnsi="Times New Roman"/>
          <w:sz w:val="32"/>
          <w:szCs w:val="32"/>
          <w:highlight w:val="none"/>
        </w:rPr>
        <w:t>情况进行深入调研、勘查的基础上，按照现行预算绩效管理有关规定撰写本报告，报告内容真实完整、可追溯。</w:t>
      </w:r>
    </w:p>
    <w:p>
      <w:pPr>
        <w:keepNext w:val="0"/>
        <w:keepLines w:val="0"/>
        <w:pageBreakBefore w:val="0"/>
        <w:widowControl w:val="0"/>
        <w:kinsoku/>
        <w:wordWrap/>
        <w:overflowPunct/>
        <w:topLinePunct w:val="0"/>
        <w:autoSpaceDE/>
        <w:autoSpaceDN/>
        <w:bidi w:val="0"/>
        <w:spacing w:line="580" w:lineRule="exact"/>
        <w:ind w:firstLine="641"/>
        <w:rPr>
          <w:rFonts w:ascii="Times New Roman" w:hAnsi="Times New Roman"/>
          <w:sz w:val="32"/>
          <w:szCs w:val="32"/>
          <w:highlight w:val="none"/>
        </w:rPr>
      </w:pPr>
      <w:r>
        <w:rPr>
          <w:rFonts w:ascii="Times New Roman" w:hAnsi="Times New Roman"/>
          <w:sz w:val="32"/>
          <w:szCs w:val="32"/>
          <w:highlight w:val="none"/>
        </w:rPr>
        <w:t>本报告以纸质印刷版和电子版向</w:t>
      </w:r>
      <w:r>
        <w:rPr>
          <w:rFonts w:hint="eastAsia" w:ascii="Times New Roman" w:hAnsi="Times New Roman"/>
          <w:sz w:val="32"/>
          <w:szCs w:val="32"/>
          <w:highlight w:val="none"/>
          <w:lang w:val="en-US" w:eastAsia="zh-CN"/>
        </w:rPr>
        <w:t>枣庄高新区</w:t>
      </w:r>
      <w:r>
        <w:rPr>
          <w:rFonts w:hint="eastAsia" w:ascii="Times New Roman" w:hAnsi="Times New Roman"/>
          <w:sz w:val="32"/>
          <w:szCs w:val="32"/>
          <w:highlight w:val="none"/>
          <w:lang w:eastAsia="zh-CN"/>
        </w:rPr>
        <w:t>财政</w:t>
      </w:r>
      <w:r>
        <w:rPr>
          <w:rFonts w:hint="eastAsia" w:ascii="Times New Roman" w:hAnsi="Times New Roman"/>
          <w:sz w:val="32"/>
          <w:szCs w:val="32"/>
          <w:highlight w:val="none"/>
          <w:lang w:val="en-US" w:eastAsia="zh-CN"/>
        </w:rPr>
        <w:t>金融</w:t>
      </w:r>
      <w:r>
        <w:rPr>
          <w:rFonts w:hint="eastAsia" w:ascii="Times New Roman" w:hAnsi="Times New Roman"/>
          <w:sz w:val="32"/>
          <w:szCs w:val="32"/>
          <w:highlight w:val="none"/>
          <w:lang w:eastAsia="zh-CN"/>
        </w:rPr>
        <w:t>局</w:t>
      </w:r>
      <w:r>
        <w:rPr>
          <w:rFonts w:ascii="Times New Roman" w:hAnsi="Times New Roman"/>
          <w:sz w:val="32"/>
          <w:szCs w:val="32"/>
          <w:highlight w:val="none"/>
        </w:rPr>
        <w:t>报送。未经</w:t>
      </w:r>
      <w:r>
        <w:rPr>
          <w:rFonts w:hint="eastAsia" w:ascii="Times New Roman" w:hAnsi="Times New Roman"/>
          <w:sz w:val="32"/>
          <w:szCs w:val="32"/>
          <w:highlight w:val="none"/>
          <w:lang w:val="en-US" w:eastAsia="zh-CN"/>
        </w:rPr>
        <w:t>枣庄高新区</w:t>
      </w:r>
      <w:r>
        <w:rPr>
          <w:rFonts w:hint="eastAsia" w:ascii="Times New Roman" w:hAnsi="Times New Roman"/>
          <w:sz w:val="32"/>
          <w:szCs w:val="32"/>
          <w:highlight w:val="none"/>
          <w:lang w:eastAsia="zh-CN"/>
        </w:rPr>
        <w:t>财政</w:t>
      </w:r>
      <w:r>
        <w:rPr>
          <w:rFonts w:hint="eastAsia" w:ascii="Times New Roman" w:hAnsi="Times New Roman"/>
          <w:sz w:val="32"/>
          <w:szCs w:val="32"/>
          <w:highlight w:val="none"/>
          <w:lang w:val="en-US" w:eastAsia="zh-CN"/>
        </w:rPr>
        <w:t>金融</w:t>
      </w:r>
      <w:r>
        <w:rPr>
          <w:rFonts w:hint="eastAsia" w:ascii="Times New Roman" w:hAnsi="Times New Roman"/>
          <w:sz w:val="32"/>
          <w:szCs w:val="32"/>
          <w:highlight w:val="none"/>
          <w:lang w:eastAsia="zh-CN"/>
        </w:rPr>
        <w:t>局</w:t>
      </w:r>
      <w:r>
        <w:rPr>
          <w:rFonts w:ascii="Times New Roman" w:hAnsi="Times New Roman"/>
          <w:sz w:val="32"/>
          <w:szCs w:val="32"/>
          <w:highlight w:val="none"/>
        </w:rPr>
        <w:t>书面允许，不得随意翻印、发布、扩散。</w:t>
      </w:r>
    </w:p>
    <w:p>
      <w:pPr>
        <w:keepNext w:val="0"/>
        <w:keepLines w:val="0"/>
        <w:pageBreakBefore w:val="0"/>
        <w:widowControl w:val="0"/>
        <w:kinsoku/>
        <w:wordWrap/>
        <w:overflowPunct/>
        <w:topLinePunct w:val="0"/>
        <w:autoSpaceDE/>
        <w:autoSpaceDN/>
        <w:bidi w:val="0"/>
        <w:spacing w:line="580" w:lineRule="exact"/>
        <w:rPr>
          <w:rFonts w:ascii="Times New Roman" w:hAnsi="Times New Roman" w:eastAsia="黑体"/>
          <w:sz w:val="28"/>
          <w:szCs w:val="28"/>
          <w:highlight w:val="none"/>
          <w:u w:val="single"/>
        </w:rPr>
      </w:pPr>
    </w:p>
    <w:p>
      <w:pPr>
        <w:pStyle w:val="3"/>
        <w:keepNext w:val="0"/>
        <w:keepLines w:val="0"/>
        <w:pageBreakBefore w:val="0"/>
        <w:widowControl w:val="0"/>
        <w:kinsoku/>
        <w:wordWrap/>
        <w:overflowPunct/>
        <w:topLinePunct w:val="0"/>
        <w:autoSpaceDE/>
        <w:autoSpaceDN/>
        <w:bidi w:val="0"/>
        <w:rPr>
          <w:rFonts w:ascii="Times New Roman" w:hAnsi="Times New Roman" w:eastAsia="黑体"/>
          <w:sz w:val="28"/>
          <w:szCs w:val="28"/>
          <w:highlight w:val="none"/>
          <w:u w:val="single"/>
        </w:rPr>
      </w:pPr>
    </w:p>
    <w:p>
      <w:pPr>
        <w:keepNext w:val="0"/>
        <w:keepLines w:val="0"/>
        <w:pageBreakBefore w:val="0"/>
        <w:widowControl w:val="0"/>
        <w:kinsoku/>
        <w:wordWrap/>
        <w:overflowPunct/>
        <w:topLinePunct w:val="0"/>
        <w:autoSpaceDE/>
        <w:autoSpaceDN/>
        <w:bidi w:val="0"/>
        <w:spacing w:line="580" w:lineRule="exact"/>
        <w:rPr>
          <w:rFonts w:ascii="Times New Roman" w:hAnsi="Times New Roman" w:eastAsia="黑体"/>
          <w:sz w:val="28"/>
          <w:szCs w:val="28"/>
          <w:highlight w:val="none"/>
          <w:u w:val="single"/>
        </w:rPr>
      </w:pPr>
    </w:p>
    <w:p>
      <w:pPr>
        <w:keepNext w:val="0"/>
        <w:keepLines w:val="0"/>
        <w:pageBreakBefore w:val="0"/>
        <w:widowControl w:val="0"/>
        <w:kinsoku/>
        <w:wordWrap/>
        <w:overflowPunct/>
        <w:topLinePunct w:val="0"/>
        <w:autoSpaceDE/>
        <w:autoSpaceDN/>
        <w:bidi w:val="0"/>
        <w:spacing w:line="580" w:lineRule="exact"/>
        <w:rPr>
          <w:rFonts w:ascii="Times New Roman" w:hAnsi="Times New Roman" w:eastAsia="黑体"/>
          <w:sz w:val="28"/>
          <w:szCs w:val="28"/>
          <w:highlight w:val="none"/>
          <w:u w:val="single"/>
        </w:rPr>
      </w:pPr>
    </w:p>
    <w:p>
      <w:pPr>
        <w:keepNext w:val="0"/>
        <w:keepLines w:val="0"/>
        <w:pageBreakBefore w:val="0"/>
        <w:widowControl w:val="0"/>
        <w:kinsoku/>
        <w:wordWrap/>
        <w:overflowPunct/>
        <w:topLinePunct w:val="0"/>
        <w:autoSpaceDE/>
        <w:autoSpaceDN/>
        <w:bidi w:val="0"/>
        <w:spacing w:line="580" w:lineRule="exact"/>
        <w:ind w:firstLine="560"/>
        <w:rPr>
          <w:rFonts w:hint="default" w:ascii="Times New Roman" w:hAnsi="Times New Roman" w:eastAsia="黑体"/>
          <w:color w:val="000000"/>
          <w:sz w:val="32"/>
          <w:szCs w:val="32"/>
          <w:highlight w:val="none"/>
          <w:lang w:val="en-US" w:eastAsia="zh-CN"/>
        </w:rPr>
      </w:pPr>
      <w:r>
        <w:rPr>
          <w:rFonts w:ascii="Times New Roman" w:hAnsi="Times New Roman" w:eastAsia="黑体"/>
          <w:color w:val="000000"/>
          <w:sz w:val="32"/>
          <w:szCs w:val="32"/>
          <w:highlight w:val="none"/>
        </w:rPr>
        <w:t>主评人</w:t>
      </w:r>
      <w:r>
        <w:rPr>
          <w:rFonts w:ascii="Times New Roman" w:hAnsi="Times New Roman" w:eastAsia="黑体"/>
          <w:sz w:val="32"/>
          <w:szCs w:val="32"/>
          <w:highlight w:val="none"/>
        </w:rPr>
        <w:t>：</w:t>
      </w:r>
      <w:r>
        <w:rPr>
          <w:rFonts w:hint="eastAsia" w:ascii="Times New Roman" w:hAnsi="Times New Roman" w:eastAsia="黑体"/>
          <w:sz w:val="32"/>
          <w:szCs w:val="32"/>
          <w:highlight w:val="none"/>
          <w:lang w:val="en-US" w:eastAsia="zh-CN"/>
        </w:rPr>
        <w:t>崔钰涵</w:t>
      </w:r>
    </w:p>
    <w:p>
      <w:pPr>
        <w:keepNext w:val="0"/>
        <w:keepLines w:val="0"/>
        <w:pageBreakBefore w:val="0"/>
        <w:widowControl w:val="0"/>
        <w:kinsoku/>
        <w:wordWrap/>
        <w:overflowPunct/>
        <w:topLinePunct w:val="0"/>
        <w:autoSpaceDE/>
        <w:autoSpaceDN/>
        <w:bidi w:val="0"/>
        <w:spacing w:line="580" w:lineRule="exact"/>
        <w:ind w:firstLine="560"/>
        <w:rPr>
          <w:rFonts w:hint="default" w:ascii="Times New Roman" w:hAnsi="Times New Roman" w:eastAsia="黑体"/>
          <w:sz w:val="32"/>
          <w:szCs w:val="32"/>
          <w:highlight w:val="none"/>
          <w:lang w:val="en-US"/>
        </w:rPr>
      </w:pPr>
      <w:r>
        <w:rPr>
          <w:rFonts w:ascii="Times New Roman" w:hAnsi="Times New Roman" w:eastAsia="黑体"/>
          <w:color w:val="000000"/>
          <w:sz w:val="32"/>
          <w:szCs w:val="32"/>
          <w:highlight w:val="none"/>
        </w:rPr>
        <w:t>参评人</w:t>
      </w:r>
      <w:r>
        <w:rPr>
          <w:rFonts w:ascii="Times New Roman" w:hAnsi="Times New Roman" w:eastAsia="黑体"/>
          <w:sz w:val="32"/>
          <w:szCs w:val="32"/>
          <w:highlight w:val="none"/>
        </w:rPr>
        <w:t>：</w:t>
      </w:r>
      <w:r>
        <w:rPr>
          <w:rFonts w:hint="eastAsia" w:ascii="Times New Roman" w:hAnsi="Times New Roman" w:eastAsia="黑体"/>
          <w:sz w:val="32"/>
          <w:szCs w:val="32"/>
          <w:highlight w:val="none"/>
          <w:lang w:val="en-US" w:eastAsia="zh-CN"/>
        </w:rPr>
        <w:t>钱广森、王冀鲁、王聪</w:t>
      </w:r>
    </w:p>
    <w:p>
      <w:pPr>
        <w:keepNext w:val="0"/>
        <w:keepLines w:val="0"/>
        <w:pageBreakBefore w:val="0"/>
        <w:widowControl w:val="0"/>
        <w:kinsoku/>
        <w:wordWrap/>
        <w:overflowPunct/>
        <w:topLinePunct w:val="0"/>
        <w:autoSpaceDE/>
        <w:autoSpaceDN/>
        <w:bidi w:val="0"/>
        <w:spacing w:line="580" w:lineRule="exact"/>
        <w:ind w:firstLine="560"/>
        <w:rPr>
          <w:rFonts w:hint="default" w:ascii="Times New Roman" w:hAnsi="Times New Roman" w:eastAsia="黑体"/>
          <w:sz w:val="32"/>
          <w:szCs w:val="32"/>
          <w:highlight w:val="none"/>
          <w:lang w:val="en-US" w:eastAsia="zh-CN"/>
        </w:rPr>
      </w:pPr>
      <w:r>
        <w:rPr>
          <w:rFonts w:ascii="Times New Roman" w:hAnsi="Times New Roman" w:eastAsia="黑体"/>
          <w:sz w:val="32"/>
          <w:szCs w:val="32"/>
          <w:highlight w:val="none"/>
        </w:rPr>
        <w:t>质量控制：一级审核：</w:t>
      </w:r>
      <w:r>
        <w:rPr>
          <w:rFonts w:hint="eastAsia" w:ascii="Times New Roman" w:hAnsi="Times New Roman" w:eastAsia="黑体"/>
          <w:sz w:val="32"/>
          <w:szCs w:val="32"/>
          <w:highlight w:val="none"/>
          <w:lang w:val="en-US" w:eastAsia="zh-CN"/>
        </w:rPr>
        <w:t>庄乾敏</w:t>
      </w:r>
    </w:p>
    <w:p>
      <w:pPr>
        <w:keepNext w:val="0"/>
        <w:keepLines w:val="0"/>
        <w:pageBreakBefore w:val="0"/>
        <w:widowControl w:val="0"/>
        <w:kinsoku/>
        <w:wordWrap/>
        <w:overflowPunct/>
        <w:topLinePunct w:val="0"/>
        <w:autoSpaceDE/>
        <w:autoSpaceDN/>
        <w:bidi w:val="0"/>
        <w:spacing w:line="580" w:lineRule="exact"/>
        <w:ind w:firstLine="560"/>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val="en-US" w:eastAsia="zh-CN"/>
        </w:rPr>
        <w:t xml:space="preserve">          </w:t>
      </w:r>
      <w:r>
        <w:rPr>
          <w:rFonts w:ascii="Times New Roman" w:hAnsi="Times New Roman" w:eastAsia="黑体"/>
          <w:sz w:val="32"/>
          <w:szCs w:val="32"/>
          <w:highlight w:val="none"/>
        </w:rPr>
        <w:t>二级审核：</w:t>
      </w:r>
      <w:r>
        <w:rPr>
          <w:rFonts w:hint="eastAsia" w:ascii="Times New Roman" w:hAnsi="Times New Roman" w:eastAsia="黑体"/>
          <w:sz w:val="32"/>
          <w:szCs w:val="32"/>
          <w:highlight w:val="none"/>
          <w:lang w:val="en-US" w:eastAsia="zh-CN"/>
        </w:rPr>
        <w:t>李昕阳</w:t>
      </w:r>
    </w:p>
    <w:p>
      <w:pPr>
        <w:widowControl w:val="0"/>
        <w:spacing w:before="120" w:line="600" w:lineRule="exact"/>
        <w:ind w:firstLine="2240" w:firstLineChars="700"/>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Times New Roman" w:hAnsi="Times New Roman" w:eastAsia="黑体"/>
          <w:sz w:val="32"/>
          <w:szCs w:val="32"/>
          <w:highlight w:val="none"/>
          <w:lang w:val="en-US" w:eastAsia="zh-CN"/>
        </w:rPr>
        <w:t>三级审核： 戴 珍</w:t>
      </w:r>
    </w:p>
    <w:p>
      <w:pPr>
        <w:widowControl w:val="0"/>
        <w:spacing w:before="120" w:line="600" w:lineRule="exact"/>
        <w:ind w:left="0" w:leftChars="0" w:firstLine="640" w:firstLineChars="200"/>
        <w:jc w:val="both"/>
        <w:rPr>
          <w:rFonts w:hint="eastAsia" w:ascii="仿宋_GB2312" w:hAnsi="仿宋_GB2312" w:eastAsia="仿宋_GB2312" w:cs="仿宋_GB2312"/>
          <w:b w:val="0"/>
          <w:bCs w:val="0"/>
          <w:color w:val="auto"/>
          <w:kern w:val="0"/>
          <w:sz w:val="32"/>
          <w:szCs w:val="32"/>
          <w:highlight w:val="none"/>
          <w:lang w:val="zh-CN" w:eastAsia="zh-CN" w:bidi="ar-SA"/>
        </w:rPr>
        <w:sectPr>
          <w:pgSz w:w="11906" w:h="16838"/>
          <w:pgMar w:top="2098" w:right="1474" w:bottom="1984" w:left="1587" w:header="851" w:footer="1474" w:gutter="0"/>
          <w:pgNumType w:start="1"/>
          <w:cols w:space="0" w:num="1"/>
          <w:titlePg/>
          <w:rtlGutter w:val="0"/>
          <w:docGrid w:type="lines" w:linePitch="440" w:charSpace="0"/>
        </w:sectPr>
      </w:pPr>
    </w:p>
    <w:sdt>
      <w:sdtPr>
        <w:rPr>
          <w:rFonts w:ascii="宋体" w:hAnsi="宋体" w:eastAsia="宋体" w:cs="仿宋_GB2312"/>
          <w:color w:val="000000" w:themeColor="text1"/>
          <w:sz w:val="21"/>
          <w:szCs w:val="32"/>
          <w:highlight w:val="none"/>
          <w:lang w:val="en-US" w:eastAsia="zh-CN" w:bidi="ar-SA"/>
          <w14:textFill>
            <w14:solidFill>
              <w14:schemeClr w14:val="tx1"/>
            </w14:solidFill>
          </w14:textFill>
        </w:rPr>
        <w:id w:val="147463245"/>
        <w15:color w:val="DBDBDB"/>
        <w:docPartObj>
          <w:docPartGallery w:val="Table of Contents"/>
          <w:docPartUnique/>
        </w:docPartObj>
      </w:sdtPr>
      <w:sdtEndPr>
        <w:rPr>
          <w:rFonts w:ascii="宋体" w:hAnsi="宋体" w:eastAsia="宋体" w:cs="仿宋_GB2312"/>
          <w:b/>
          <w:color w:val="000000" w:themeColor="text1"/>
          <w:sz w:val="21"/>
          <w:szCs w:val="32"/>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小标宋简体" w:cs="方正小标宋简体"/>
              <w:b w:val="0"/>
              <w:bCs w:val="0"/>
              <w:caps w:val="0"/>
              <w:kern w:val="2"/>
              <w:sz w:val="44"/>
              <w:szCs w:val="44"/>
              <w:highlight w:val="none"/>
              <w:lang w:val="en-US" w:eastAsia="zh-CN" w:bidi="ar-SA"/>
            </w:rPr>
          </w:pPr>
          <w:r>
            <w:rPr>
              <w:rFonts w:hint="eastAsia" w:ascii="Times New Roman" w:hAnsi="Times New Roman" w:eastAsia="方正小标宋简体" w:cs="方正小标宋简体"/>
              <w:b w:val="0"/>
              <w:bCs w:val="0"/>
              <w:caps w:val="0"/>
              <w:kern w:val="2"/>
              <w:sz w:val="44"/>
              <w:szCs w:val="44"/>
              <w:highlight w:val="none"/>
              <w:lang w:val="en-US" w:eastAsia="zh-CN" w:bidi="ar-SA"/>
            </w:rPr>
            <w:t>目录</w:t>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8"/>
              <w:szCs w:val="28"/>
              <w:highlight w:val="none"/>
              <w:lang w:eastAsia="en-US"/>
            </w:rPr>
            <w:fldChar w:fldCharType="begin"/>
          </w:r>
          <w:r>
            <w:rPr>
              <w:rFonts w:hint="eastAsia" w:ascii="宋体" w:hAnsi="宋体" w:eastAsia="宋体" w:cs="宋体"/>
              <w:bCs w:val="0"/>
              <w:caps w:val="0"/>
              <w:sz w:val="28"/>
              <w:szCs w:val="28"/>
              <w:highlight w:val="none"/>
              <w:lang w:eastAsia="en-US"/>
            </w:rPr>
            <w:instrText xml:space="preserve">TOC \o "1-2" \h \u </w:instrText>
          </w:r>
          <w:r>
            <w:rPr>
              <w:rFonts w:hint="eastAsia" w:ascii="宋体" w:hAnsi="宋体" w:eastAsia="宋体" w:cs="宋体"/>
              <w:bCs w:val="0"/>
              <w:caps w:val="0"/>
              <w:sz w:val="28"/>
              <w:szCs w:val="28"/>
              <w:highlight w:val="none"/>
              <w:lang w:eastAsia="en-US"/>
            </w:rPr>
            <w:fldChar w:fldCharType="separate"/>
          </w: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_Toc24678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摘 要</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_Toc28772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正 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_Toc12096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一、项目基本情况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_Toc12096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_Toc4271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（一）项目立项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_Toc14793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（二）项目预算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_Toc14793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_Toc8184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bCs w:val="0"/>
              <w:w w:val="100"/>
              <w:sz w:val="24"/>
              <w:szCs w:val="24"/>
              <w:highlight w:val="none"/>
              <w:lang w:val="en-US" w:eastAsia="zh-CN" w:bidi="ar-SA"/>
            </w:rPr>
            <w:t>（三）项目计划实施内容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_Toc8184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_Toc11240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（四）项目组织管理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_Toc11240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_Toc25554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二、项目绩效目标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_Toc9041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（一）项目总体目标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_Toc9041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_Toc32720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年阶段性绩效目标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_Toc32720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_Toc26451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三、评价基本情况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_Toc26451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_Toc4089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（一）绩效评价目的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_Toc4089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_Toc13797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（二）评价对象和范围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_Toc27703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（三）评价依据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_Toc31216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（四）评价原则、评价方法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_Toc1000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（五）绩效评价指标体系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_Toc15626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（六）评价人员组成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_Toc31536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（七）绩效评价工作过程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_Toc31536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_Toc30730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四、评价结论及分析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_Toc16331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（一）综合评价结论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_Toc16653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（二）非现场评价情况分析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_Toc14694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（三）现场评价情况分析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_Toc2799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五、绩效评价指标分析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_Toc6602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（一）项目决策情况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_Toc2373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（二）项目过程情况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_Toc13154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（三）项目产出情况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_Toc13154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_Toc9554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bidi="ar-SA"/>
            </w:rPr>
            <w:t>（四）项目效益情况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_Toc12509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、存在的问题及原因分析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_Toc5016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2022年应支付项目资金的50%作为项目启动资金，但已提前支付全部项目资金，不符合英才工作合同和政策规定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_Toc5016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_Toc22254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项目财权与事权不匹配，影响组织运作效率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_Toc482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枣庄英才项目按合同进度落地情况较差，该项目的动态监管制度缺失</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_Toc9536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审核流程资料丢</w:t>
          </w:r>
          <w:r>
            <w:rPr>
              <w:rFonts w:hint="eastAsia" w:ascii="宋体" w:hAnsi="宋体" w:eastAsia="宋体" w:cs="宋体"/>
              <w:sz w:val="24"/>
              <w:szCs w:val="24"/>
              <w:highlight w:val="none"/>
              <w:lang w:val="en-US" w:eastAsia="zh-CN"/>
            </w:rPr>
            <w:t>失，档案管理工作不规范，档案管理意识有待加强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_Toc14628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、意见建议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_Toc876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rPr>
            <w:t>（一）加强资金支付管理，并且在后续工作中严格执行，避免发生超前支付的情况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_Toc22735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rPr>
            <w:t>（二）增强财权和事权的匹配性，减少矛盾与分歧，提高组织运行效率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_Toc22735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_Toc11177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建立项目跟踪监督制度，强化日产管理，实行动态管理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_Toc11177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_Toc135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加强档案管理意识，规范档案管理工作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_Toc26847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、其他需要说明的事项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_Toc26847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_Toc19825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附件：</w:t>
          </w:r>
          <w:r>
            <w:rPr>
              <w:rFonts w:hint="eastAsia" w:ascii="宋体" w:hAnsi="宋体" w:eastAsia="宋体" w:cs="宋体"/>
              <w:bCs/>
              <w:sz w:val="24"/>
              <w:szCs w:val="24"/>
              <w:highlight w:val="none"/>
              <w:lang w:bidi="zh-CN"/>
            </w:rPr>
            <w:t>1.绩效评价得分表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_Toc3994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bCs/>
              <w:sz w:val="24"/>
              <w:szCs w:val="24"/>
              <w:highlight w:val="none"/>
              <w:lang w:bidi="zh-CN"/>
            </w:rPr>
            <w:t>2.</w:t>
          </w:r>
          <w:r>
            <w:rPr>
              <w:rFonts w:hint="eastAsia" w:ascii="宋体" w:hAnsi="宋体" w:eastAsia="宋体" w:cs="宋体"/>
              <w:sz w:val="24"/>
              <w:szCs w:val="24"/>
              <w:highlight w:val="none"/>
            </w:rPr>
            <w:t>调查问卷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_Toc3994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_Toc24430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附件一  绩效指标评分表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_Toc24430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2"/>
            <w:keepNext w:val="0"/>
            <w:keepLines w:val="0"/>
            <w:pageBreakBefore w:val="0"/>
            <w:widowControl w:val="0"/>
            <w:tabs>
              <w:tab w:val="right" w:leader="dot" w:pos="8845"/>
            </w:tabs>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bCs w:val="0"/>
              <w:caps w:val="0"/>
              <w:sz w:val="24"/>
              <w:szCs w:val="24"/>
              <w:highlight w:val="none"/>
              <w:lang w:eastAsia="en-US"/>
            </w:rPr>
            <w:fldChar w:fldCharType="begin"/>
          </w:r>
          <w:r>
            <w:rPr>
              <w:rFonts w:hint="eastAsia" w:ascii="宋体" w:hAnsi="宋体" w:eastAsia="宋体" w:cs="宋体"/>
              <w:bCs w:val="0"/>
              <w:caps w:val="0"/>
              <w:sz w:val="24"/>
              <w:szCs w:val="24"/>
              <w:highlight w:val="none"/>
              <w:lang w:eastAsia="en-US"/>
            </w:rPr>
            <w:instrText xml:space="preserve"> HYPERLINK \l _Toc23410 </w:instrText>
          </w:r>
          <w:r>
            <w:rPr>
              <w:rFonts w:hint="eastAsia" w:ascii="宋体" w:hAnsi="宋体" w:eastAsia="宋体" w:cs="宋体"/>
              <w:bCs w:val="0"/>
              <w:caps w:val="0"/>
              <w:sz w:val="24"/>
              <w:szCs w:val="24"/>
              <w:highlight w:val="none"/>
              <w:lang w:eastAsia="en-US"/>
            </w:rPr>
            <w:fldChar w:fldCharType="separate"/>
          </w:r>
          <w:r>
            <w:rPr>
              <w:rFonts w:hint="eastAsia" w:ascii="宋体" w:hAnsi="宋体" w:eastAsia="宋体" w:cs="宋体"/>
              <w:sz w:val="24"/>
              <w:szCs w:val="24"/>
              <w:highlight w:val="none"/>
            </w:rPr>
            <w:t>附件二  调查问卷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_Toc23410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bCs w:val="0"/>
              <w:caps w:val="0"/>
              <w:sz w:val="24"/>
              <w:szCs w:val="24"/>
              <w:highlight w:val="none"/>
              <w:lang w:eastAsia="en-US"/>
            </w:rPr>
            <w:fldChar w:fldCharType="end"/>
          </w:r>
        </w:p>
        <w:p>
          <w:pPr>
            <w:pStyle w:val="26"/>
            <w:tabs>
              <w:tab w:val="right" w:leader="dot" w:pos="8845"/>
            </w:tabs>
            <w:rPr>
              <w:highlight w:val="none"/>
            </w:rPr>
          </w:pPr>
        </w:p>
        <w:p>
          <w:pPr>
            <w:rPr>
              <w:highlight w:val="none"/>
            </w:rPr>
            <w:sectPr>
              <w:footerReference r:id="rId12" w:type="first"/>
              <w:footerReference r:id="rId11" w:type="default"/>
              <w:pgSz w:w="11906" w:h="16838"/>
              <w:pgMar w:top="2098" w:right="1474" w:bottom="1984" w:left="1587" w:header="851" w:footer="1474" w:gutter="0"/>
              <w:pgNumType w:start="1"/>
              <w:cols w:space="0" w:num="1"/>
              <w:titlePg/>
              <w:rtlGutter w:val="0"/>
              <w:docGrid w:type="lines" w:linePitch="440" w:charSpace="0"/>
            </w:sectPr>
          </w:pPr>
          <w:r>
            <w:rPr>
              <w:rFonts w:hint="eastAsia" w:ascii="宋体" w:hAnsi="宋体" w:eastAsia="宋体" w:cs="宋体"/>
              <w:bCs w:val="0"/>
              <w:caps w:val="0"/>
              <w:szCs w:val="28"/>
              <w:highlight w:val="none"/>
              <w:lang w:eastAsia="en-US"/>
            </w:rPr>
            <w:fldChar w:fldCharType="end"/>
          </w:r>
        </w:p>
      </w:sdtContent>
    </w:sdt>
    <w:p>
      <w:pPr>
        <w:pStyle w:val="7"/>
        <w:ind w:firstLine="0" w:firstLineChars="0"/>
        <w:jc w:val="center"/>
        <w:rPr>
          <w:rFonts w:ascii="方正小标宋简体" w:eastAsia="方正小标宋简体"/>
          <w:sz w:val="44"/>
          <w:highlight w:val="none"/>
        </w:rPr>
      </w:pPr>
      <w:bookmarkStart w:id="3" w:name="_Toc24678"/>
      <w:r>
        <w:rPr>
          <w:rFonts w:hint="eastAsia" w:ascii="方正小标宋简体" w:eastAsia="方正小标宋简体"/>
          <w:sz w:val="44"/>
          <w:highlight w:val="none"/>
        </w:rPr>
        <w:t>摘 要</w:t>
      </w:r>
      <w:bookmarkEnd w:id="3"/>
    </w:p>
    <w:p>
      <w:pPr>
        <w:spacing w:line="580" w:lineRule="exact"/>
        <w:ind w:firstLine="640"/>
        <w:rPr>
          <w:rFonts w:hint="eastAsia" w:ascii="仿宋_GB2312" w:hAnsi="仿宋_GB2312" w:eastAsia="仿宋_GB2312" w:cs="仿宋_GB2312"/>
          <w:szCs w:val="32"/>
          <w:highlight w:val="none"/>
          <w:lang w:val="en-US" w:eastAsia="zh-CN"/>
        </w:rPr>
      </w:pPr>
      <w:bookmarkStart w:id="4" w:name="_Toc12250"/>
      <w:bookmarkStart w:id="5" w:name="_Toc120282109"/>
      <w:bookmarkStart w:id="6" w:name="_Toc9529"/>
      <w:bookmarkStart w:id="7" w:name="_Toc120281531"/>
      <w:r>
        <w:rPr>
          <w:rFonts w:hint="eastAsia" w:cs="仿宋_GB2312"/>
          <w:szCs w:val="32"/>
          <w:highlight w:val="none"/>
          <w:lang w:val="en-US" w:eastAsia="zh-CN"/>
        </w:rPr>
        <w:t>枣庄高新区</w:t>
      </w:r>
      <w:r>
        <w:rPr>
          <w:rFonts w:hint="eastAsia" w:ascii="仿宋_GB2312" w:hAnsi="仿宋_GB2312" w:eastAsia="仿宋_GB2312" w:cs="仿宋_GB2312"/>
          <w:szCs w:val="32"/>
          <w:highlight w:val="none"/>
          <w:lang w:eastAsia="zh-CN"/>
        </w:rPr>
        <w:t>树立服务新旧动能转换重点产业发展导向</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将枣庄英才集聚工程与其他人才工程整合升级</w:t>
      </w:r>
      <w:r>
        <w:rPr>
          <w:rFonts w:hint="eastAsia" w:cs="仿宋_GB2312"/>
          <w:szCs w:val="32"/>
          <w:highlight w:val="none"/>
          <w:lang w:eastAsia="zh-CN"/>
        </w:rPr>
        <w:t>，</w:t>
      </w:r>
      <w:r>
        <w:rPr>
          <w:rFonts w:hint="eastAsia" w:cs="仿宋_GB2312"/>
          <w:szCs w:val="32"/>
          <w:highlight w:val="none"/>
          <w:lang w:val="en-US" w:eastAsia="zh-CN"/>
        </w:rPr>
        <w:t>实行</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枣庄英才计划</w:t>
      </w:r>
      <w:r>
        <w:rPr>
          <w:rFonts w:hint="eastAsia" w:cs="仿宋_GB2312"/>
          <w:szCs w:val="32"/>
          <w:highlight w:val="none"/>
          <w:lang w:eastAsia="zh-CN"/>
        </w:rPr>
        <w:t>”</w:t>
      </w:r>
      <w:r>
        <w:rPr>
          <w:rFonts w:hint="eastAsia" w:cs="仿宋_GB2312"/>
          <w:szCs w:val="32"/>
          <w:highlight w:val="none"/>
          <w:lang w:val="en-US" w:eastAsia="zh-CN"/>
        </w:rPr>
        <w:t>项目</w:t>
      </w:r>
      <w:r>
        <w:rPr>
          <w:rFonts w:hint="eastAsia" w:cs="仿宋_GB2312"/>
          <w:szCs w:val="32"/>
          <w:highlight w:val="none"/>
          <w:lang w:eastAsia="zh-CN"/>
        </w:rPr>
        <w:t>。</w:t>
      </w:r>
      <w:r>
        <w:rPr>
          <w:rFonts w:hint="eastAsia" w:cs="仿宋_GB2312"/>
          <w:szCs w:val="32"/>
          <w:highlight w:val="none"/>
          <w:lang w:val="en-US" w:eastAsia="zh-CN"/>
        </w:rPr>
        <w:t>该计划</w:t>
      </w:r>
      <w:r>
        <w:rPr>
          <w:rFonts w:hint="eastAsia" w:ascii="仿宋_GB2312" w:hAnsi="仿宋_GB2312" w:eastAsia="仿宋_GB2312" w:cs="仿宋_GB2312"/>
          <w:szCs w:val="32"/>
          <w:highlight w:val="none"/>
          <w:lang w:eastAsia="zh-CN"/>
        </w:rPr>
        <w:t>实行创新人才</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绩效评估</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、创业人才</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以赛代评</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评价机制</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对产业创新领军人才</w:t>
      </w:r>
      <w:r>
        <w:rPr>
          <w:rFonts w:hint="eastAsia" w:cs="仿宋_GB2312"/>
          <w:szCs w:val="32"/>
          <w:highlight w:val="none"/>
          <w:lang w:val="en-US" w:eastAsia="zh-CN"/>
        </w:rPr>
        <w:t>和</w:t>
      </w:r>
      <w:r>
        <w:rPr>
          <w:rFonts w:hint="eastAsia" w:ascii="仿宋_GB2312" w:hAnsi="仿宋_GB2312" w:eastAsia="仿宋_GB2312" w:cs="仿宋_GB2312"/>
          <w:szCs w:val="32"/>
          <w:highlight w:val="none"/>
          <w:lang w:eastAsia="zh-CN"/>
        </w:rPr>
        <w:t>科技创业领军人才，给予扶持资金。为全力做好各项工作部署，进一步规范</w:t>
      </w:r>
      <w:r>
        <w:rPr>
          <w:rFonts w:hint="eastAsia" w:cs="仿宋_GB2312"/>
          <w:szCs w:val="32"/>
          <w:highlight w:val="none"/>
          <w:lang w:val="en-US" w:eastAsia="zh-CN"/>
        </w:rPr>
        <w:t>项目绩效</w:t>
      </w:r>
      <w:r>
        <w:rPr>
          <w:rFonts w:hint="eastAsia" w:ascii="仿宋_GB2312" w:hAnsi="仿宋_GB2312" w:eastAsia="仿宋_GB2312" w:cs="仿宋_GB2312"/>
          <w:szCs w:val="32"/>
          <w:highlight w:val="none"/>
          <w:lang w:eastAsia="zh-CN"/>
        </w:rPr>
        <w:t>管理，提高</w:t>
      </w:r>
      <w:r>
        <w:rPr>
          <w:rFonts w:hint="eastAsia" w:cs="仿宋_GB2312"/>
          <w:szCs w:val="32"/>
          <w:highlight w:val="none"/>
          <w:lang w:val="en-US" w:eastAsia="zh-CN"/>
        </w:rPr>
        <w:t>项目的社会经济效益</w:t>
      </w:r>
      <w:r>
        <w:rPr>
          <w:rFonts w:hint="eastAsia" w:ascii="仿宋_GB2312" w:hAnsi="仿宋_GB2312" w:eastAsia="仿宋_GB2312" w:cs="仿宋_GB2312"/>
          <w:szCs w:val="32"/>
          <w:highlight w:val="none"/>
          <w:lang w:eastAsia="zh-CN"/>
        </w:rPr>
        <w:t>，受枣庄高新区财政金融局委托，我公司根据</w:t>
      </w:r>
      <w:r>
        <w:rPr>
          <w:rFonts w:hint="eastAsia"/>
          <w:highlight w:val="none"/>
        </w:rPr>
        <w:t>《山东省财政厅关于印发&lt;山东省省级项目支出绩效单位自评工作规程&gt;和&lt;山东省省级项目支出绩效财政评价和部门评价工作规程&gt;的通知》（鲁财绩〔2020〕4号）</w:t>
      </w:r>
      <w:r>
        <w:rPr>
          <w:rFonts w:hint="eastAsia"/>
          <w:highlight w:val="none"/>
          <w:lang w:eastAsia="zh-CN"/>
        </w:rPr>
        <w:t>，</w:t>
      </w:r>
      <w:r>
        <w:rPr>
          <w:rFonts w:hint="eastAsia" w:ascii="仿宋_GB2312" w:hAnsi="仿宋_GB2312" w:eastAsia="仿宋_GB2312" w:cs="仿宋_GB2312"/>
          <w:szCs w:val="32"/>
          <w:highlight w:val="none"/>
          <w:lang w:eastAsia="zh-CN"/>
        </w:rPr>
        <w:t>结合</w:t>
      </w:r>
      <w:r>
        <w:rPr>
          <w:rFonts w:hint="eastAsia" w:ascii="仿宋_GB2312" w:hAnsi="仿宋_GB2312" w:eastAsia="仿宋_GB2312" w:cs="仿宋_GB2312"/>
          <w:szCs w:val="32"/>
          <w:highlight w:val="none"/>
          <w:lang w:val="en-US" w:eastAsia="zh-CN"/>
        </w:rPr>
        <w:t>比较法</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公众评判法</w:t>
      </w:r>
      <w:r>
        <w:rPr>
          <w:rFonts w:hint="eastAsia" w:ascii="仿宋_GB2312" w:hAnsi="仿宋_GB2312" w:eastAsia="仿宋_GB2312" w:cs="仿宋_GB2312"/>
          <w:szCs w:val="32"/>
          <w:highlight w:val="none"/>
          <w:lang w:eastAsia="zh-CN"/>
        </w:rPr>
        <w:t>等绩效评价方法对枣庄高新区</w:t>
      </w:r>
      <w:r>
        <w:rPr>
          <w:rFonts w:hint="eastAsia" w:ascii="仿宋_GB2312" w:hAnsi="仿宋_GB2312" w:eastAsia="仿宋_GB2312" w:cs="仿宋_GB2312"/>
          <w:szCs w:val="32"/>
          <w:highlight w:val="none"/>
          <w:lang w:val="en-US" w:eastAsia="zh-CN"/>
        </w:rPr>
        <w:t>2022</w:t>
      </w:r>
      <w:r>
        <w:rPr>
          <w:rFonts w:hint="eastAsia" w:ascii="仿宋_GB2312" w:hAnsi="仿宋_GB2312" w:eastAsia="仿宋_GB2312" w:cs="仿宋_GB2312"/>
          <w:szCs w:val="32"/>
          <w:highlight w:val="none"/>
          <w:lang w:eastAsia="zh-CN"/>
        </w:rPr>
        <w:t>年度</w:t>
      </w:r>
      <w:r>
        <w:rPr>
          <w:rFonts w:hint="eastAsia" w:cs="仿宋_GB2312"/>
          <w:szCs w:val="32"/>
          <w:highlight w:val="none"/>
          <w:lang w:val="en-US" w:eastAsia="zh-CN"/>
        </w:rPr>
        <w:t>英才计划项目</w:t>
      </w:r>
      <w:r>
        <w:rPr>
          <w:rFonts w:hint="eastAsia" w:ascii="仿宋_GB2312" w:hAnsi="仿宋_GB2312" w:eastAsia="仿宋_GB2312" w:cs="仿宋_GB2312"/>
          <w:szCs w:val="32"/>
          <w:highlight w:val="none"/>
          <w:lang w:eastAsia="zh-CN"/>
        </w:rPr>
        <w:t>进行绩效评价。评价组从</w:t>
      </w:r>
      <w:r>
        <w:rPr>
          <w:rFonts w:hint="eastAsia" w:cs="仿宋_GB2312"/>
          <w:szCs w:val="32"/>
          <w:highlight w:val="none"/>
          <w:lang w:val="en-US" w:eastAsia="zh-CN"/>
        </w:rPr>
        <w:t>项目的决策</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过程</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产出</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效益四个</w:t>
      </w:r>
      <w:r>
        <w:rPr>
          <w:rFonts w:hint="eastAsia" w:ascii="仿宋_GB2312" w:hAnsi="仿宋_GB2312" w:eastAsia="仿宋_GB2312" w:cs="仿宋_GB2312"/>
          <w:szCs w:val="32"/>
          <w:highlight w:val="none"/>
          <w:lang w:eastAsia="zh-CN"/>
        </w:rPr>
        <w:t>方面进行绩效分析</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项目</w:t>
      </w:r>
      <w:r>
        <w:rPr>
          <w:rFonts w:hint="eastAsia" w:cs="仿宋_GB2312"/>
          <w:szCs w:val="32"/>
          <w:highlight w:val="none"/>
          <w:lang w:val="en-US" w:eastAsia="zh-CN"/>
        </w:rPr>
        <w:t>总预算</w:t>
      </w:r>
      <w:r>
        <w:rPr>
          <w:rFonts w:hint="eastAsia" w:ascii="仿宋_GB2312" w:hAnsi="仿宋_GB2312" w:eastAsia="仿宋_GB2312" w:cs="仿宋_GB2312"/>
          <w:szCs w:val="32"/>
          <w:highlight w:val="none"/>
          <w:lang w:eastAsia="zh-CN"/>
        </w:rPr>
        <w:t>250万元，</w:t>
      </w:r>
      <w:r>
        <w:rPr>
          <w:rFonts w:hint="eastAsia" w:cs="仿宋_GB2312"/>
          <w:szCs w:val="32"/>
          <w:highlight w:val="none"/>
          <w:lang w:val="en-US" w:eastAsia="zh-CN"/>
        </w:rPr>
        <w:t>预算执行率为100%。发现项目存在资金未按照合同约定支付、项目事权和财权不匹配、档案管理工作不规范和</w:t>
      </w:r>
      <w:r>
        <w:rPr>
          <w:rFonts w:hint="eastAsia" w:ascii="仿宋_GB2312" w:hAnsi="仿宋_GB2312" w:eastAsia="仿宋_GB2312" w:cs="仿宋_GB2312"/>
          <w:szCs w:val="32"/>
          <w:highlight w:val="none"/>
          <w:lang w:eastAsia="zh-CN"/>
        </w:rPr>
        <w:t>枣庄八度阳光新能源科技有限公司</w:t>
      </w:r>
      <w:r>
        <w:rPr>
          <w:rFonts w:hint="eastAsia" w:cs="仿宋_GB2312"/>
          <w:szCs w:val="32"/>
          <w:highlight w:val="none"/>
          <w:lang w:val="en-US" w:eastAsia="zh-CN"/>
        </w:rPr>
        <w:t>未</w:t>
      </w:r>
      <w:r>
        <w:rPr>
          <w:rFonts w:hint="eastAsia" w:ascii="仿宋_GB2312" w:hAnsi="仿宋_GB2312" w:eastAsia="仿宋_GB2312" w:cs="仿宋_GB2312"/>
          <w:szCs w:val="32"/>
          <w:highlight w:val="none"/>
          <w:lang w:eastAsia="zh-CN"/>
        </w:rPr>
        <w:t>按照合同落地</w:t>
      </w:r>
      <w:r>
        <w:rPr>
          <w:rFonts w:hint="eastAsia" w:cs="仿宋_GB2312"/>
          <w:szCs w:val="32"/>
          <w:highlight w:val="none"/>
          <w:lang w:val="en-US" w:eastAsia="zh-CN"/>
        </w:rPr>
        <w:t>等问题</w:t>
      </w:r>
      <w:r>
        <w:rPr>
          <w:rFonts w:hint="eastAsia" w:ascii="仿宋_GB2312" w:hAnsi="仿宋_GB2312" w:eastAsia="仿宋_GB2312" w:cs="仿宋_GB2312"/>
          <w:szCs w:val="32"/>
          <w:highlight w:val="none"/>
          <w:lang w:eastAsia="zh-CN"/>
        </w:rPr>
        <w:t>。</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Cs w:val="22"/>
          <w:highlight w:val="none"/>
          <w:lang w:eastAsia="zh-CN"/>
        </w:rPr>
      </w:pPr>
      <w:r>
        <w:rPr>
          <w:rFonts w:hint="eastAsia" w:ascii="仿宋_GB2312" w:hAnsi="仿宋_GB2312" w:eastAsia="仿宋_GB2312" w:cs="仿宋_GB2312"/>
          <w:szCs w:val="32"/>
          <w:highlight w:val="none"/>
          <w:lang w:val="en-US" w:eastAsia="zh-CN"/>
        </w:rPr>
        <w:t>经综合评价，2022</w:t>
      </w:r>
      <w:r>
        <w:rPr>
          <w:rFonts w:hint="eastAsia" w:ascii="仿宋_GB2312" w:hAnsi="仿宋_GB2312" w:eastAsia="仿宋_GB2312" w:cs="仿宋_GB2312"/>
          <w:szCs w:val="32"/>
          <w:highlight w:val="none"/>
          <w:lang w:eastAsia="zh-CN"/>
        </w:rPr>
        <w:t>年度枣庄高新区</w:t>
      </w:r>
      <w:r>
        <w:rPr>
          <w:rFonts w:hint="eastAsia" w:cs="仿宋_GB2312"/>
          <w:szCs w:val="32"/>
          <w:highlight w:val="none"/>
          <w:lang w:val="en-US" w:eastAsia="zh-CN"/>
        </w:rPr>
        <w:t>英才计划项目</w:t>
      </w:r>
      <w:r>
        <w:rPr>
          <w:rFonts w:hint="eastAsia" w:ascii="仿宋_GB2312" w:hAnsi="仿宋_GB2312" w:eastAsia="仿宋_GB2312" w:cs="仿宋_GB2312"/>
          <w:szCs w:val="32"/>
          <w:highlight w:val="none"/>
          <w:lang w:eastAsia="zh-CN"/>
        </w:rPr>
        <w:t>绩效评价综合得分</w:t>
      </w:r>
      <w:r>
        <w:rPr>
          <w:rFonts w:hint="eastAsia" w:cs="仿宋_GB2312"/>
          <w:szCs w:val="32"/>
          <w:highlight w:val="none"/>
          <w:lang w:eastAsia="zh-CN"/>
        </w:rPr>
        <w:t>79.96</w:t>
      </w:r>
      <w:r>
        <w:rPr>
          <w:rFonts w:hint="eastAsia" w:ascii="仿宋_GB2312" w:hAnsi="仿宋_GB2312" w:eastAsia="仿宋_GB2312" w:cs="仿宋_GB2312"/>
          <w:szCs w:val="32"/>
          <w:highlight w:val="none"/>
          <w:lang w:eastAsia="zh-CN"/>
        </w:rPr>
        <w:t>分，评价等级为“</w:t>
      </w:r>
      <w:r>
        <w:rPr>
          <w:rFonts w:hint="eastAsia" w:cs="仿宋_GB2312"/>
          <w:szCs w:val="32"/>
          <w:highlight w:val="none"/>
          <w:lang w:val="en-US" w:eastAsia="zh-CN"/>
        </w:rPr>
        <w:t>中</w:t>
      </w:r>
      <w:r>
        <w:rPr>
          <w:rFonts w:hint="eastAsia" w:ascii="仿宋_GB2312" w:hAnsi="仿宋_GB2312" w:eastAsia="仿宋_GB2312" w:cs="仿宋_GB2312"/>
          <w:szCs w:val="32"/>
          <w:highlight w:val="none"/>
          <w:lang w:eastAsia="zh-CN"/>
        </w:rPr>
        <w:t>”。撰写绩效评价报告如下：</w:t>
      </w:r>
    </w:p>
    <w:p>
      <w:pPr>
        <w:pStyle w:val="7"/>
        <w:keepNext w:val="0"/>
        <w:keepLines w:val="0"/>
        <w:pageBreakBefore w:val="0"/>
        <w:widowControl w:val="0"/>
        <w:kinsoku/>
        <w:wordWrap/>
        <w:overflowPunct/>
        <w:topLinePunct w:val="0"/>
        <w:autoSpaceDE/>
        <w:autoSpaceDN/>
        <w:bidi w:val="0"/>
        <w:adjustRightInd w:val="0"/>
        <w:snapToGrid w:val="0"/>
        <w:spacing w:line="640" w:lineRule="exact"/>
        <w:ind w:firstLine="605"/>
        <w:jc w:val="left"/>
        <w:textAlignment w:val="auto"/>
        <w:rPr>
          <w:rFonts w:ascii="黑体" w:hAnsi="黑体"/>
          <w:szCs w:val="32"/>
          <w:highlight w:val="none"/>
        </w:rPr>
      </w:pPr>
      <w:bookmarkStart w:id="8" w:name="_Toc11202"/>
      <w:bookmarkStart w:id="9" w:name="_Toc10025"/>
      <w:r>
        <w:rPr>
          <w:rFonts w:hint="eastAsia" w:ascii="黑体" w:hAnsi="黑体"/>
          <w:szCs w:val="32"/>
          <w:highlight w:val="none"/>
        </w:rPr>
        <w:t>一、项目基本情况</w:t>
      </w:r>
      <w:bookmarkEnd w:id="4"/>
      <w:bookmarkEnd w:id="5"/>
      <w:bookmarkEnd w:id="6"/>
      <w:bookmarkEnd w:id="7"/>
      <w:bookmarkEnd w:id="8"/>
      <w:bookmarkEnd w:id="9"/>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05"/>
        <w:jc w:val="left"/>
        <w:textAlignment w:val="auto"/>
        <w:outlineLvl w:val="1"/>
        <w:rPr>
          <w:rFonts w:ascii="黑体" w:hAnsi="黑体"/>
          <w:szCs w:val="32"/>
          <w:highlight w:val="none"/>
        </w:rPr>
      </w:pPr>
      <w:bookmarkStart w:id="10" w:name="_Toc5945"/>
      <w:bookmarkStart w:id="11" w:name="_Toc120282110"/>
      <w:bookmarkStart w:id="12" w:name="_Toc10610"/>
      <w:bookmarkStart w:id="13" w:name="_Toc9598"/>
      <w:bookmarkStart w:id="14" w:name="_Toc21094"/>
      <w:bookmarkStart w:id="15" w:name="_Toc120281532"/>
      <w:r>
        <w:rPr>
          <w:rFonts w:hint="eastAsia" w:ascii="楷体_GB2312" w:hAnsi="黑体" w:eastAsia="楷体_GB2312"/>
          <w:szCs w:val="32"/>
          <w:highlight w:val="none"/>
        </w:rPr>
        <w:t>（一）项</w:t>
      </w:r>
      <w:r>
        <w:rPr>
          <w:rFonts w:hint="eastAsia" w:ascii="楷体_GB2312" w:eastAsia="楷体_GB2312"/>
          <w:bCs w:val="0"/>
          <w:kern w:val="0"/>
          <w:szCs w:val="32"/>
          <w:highlight w:val="none"/>
        </w:rPr>
        <w:t>目立项背景及实施目的</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highlight w:val="none"/>
        </w:rPr>
      </w:pPr>
      <w:r>
        <w:rPr>
          <w:rFonts w:hint="eastAsia"/>
          <w:highlight w:val="none"/>
        </w:rPr>
        <w:t>当前，枣庄正处于城市转型和改革发展的关键时期，继续深入推进城市转型战略，促进经济快速隆起发展，关键在于破除人才瓶颈制约，集聚一批能够引领产业转型升级的创新创业领军人才。实施枣庄英才集聚工程，坚持政策引领、服务大局，坚持聚焦高端、引育结合，能够有效吸引高层次人才向枣庄聚集，更好地促进产业技术创新，推动科技成果转化，为加快城市转型、建设“幸福新枣庄”提供人才智力支撑。</w:t>
      </w:r>
    </w:p>
    <w:p>
      <w:pPr>
        <w:pStyle w:val="30"/>
        <w:spacing w:line="580" w:lineRule="exact"/>
        <w:ind w:firstLine="640"/>
        <w:rPr>
          <w:rFonts w:hint="eastAsia" w:eastAsia="仿宋_GB2312"/>
          <w:highlight w:val="none"/>
          <w:lang w:eastAsia="zh-CN"/>
        </w:rPr>
      </w:pPr>
      <w:bookmarkStart w:id="16" w:name="_Toc120282111"/>
      <w:bookmarkStart w:id="17" w:name="_Toc120281533"/>
      <w:bookmarkStart w:id="18" w:name="_Toc20513"/>
      <w:r>
        <w:rPr>
          <w:rFonts w:hint="eastAsia"/>
          <w:highlight w:val="none"/>
          <w:lang w:val="en-US" w:eastAsia="zh-CN"/>
        </w:rPr>
        <w:t>在</w:t>
      </w:r>
      <w:r>
        <w:rPr>
          <w:rFonts w:hint="eastAsia"/>
          <w:highlight w:val="none"/>
        </w:rPr>
        <w:t>重点产业和科技创新领域，树立服务新旧动能转换重点产业发展导向，将枣庄英才集聚工程与其他人才工程整合升级为</w:t>
      </w:r>
      <w:r>
        <w:rPr>
          <w:rFonts w:hint="eastAsia"/>
          <w:highlight w:val="none"/>
          <w:lang w:eastAsia="zh-CN"/>
        </w:rPr>
        <w:t>“</w:t>
      </w:r>
      <w:r>
        <w:rPr>
          <w:rFonts w:hint="eastAsia"/>
          <w:highlight w:val="none"/>
        </w:rPr>
        <w:t>枣庄英才计划</w:t>
      </w:r>
      <w:r>
        <w:rPr>
          <w:rFonts w:hint="eastAsia"/>
          <w:highlight w:val="none"/>
          <w:lang w:eastAsia="zh-CN"/>
        </w:rPr>
        <w:t>”</w:t>
      </w:r>
      <w:r>
        <w:rPr>
          <w:rFonts w:hint="eastAsia"/>
          <w:highlight w:val="none"/>
        </w:rPr>
        <w:t>，调整支持范围，加大支持力度，改进评价方式，实行创新人才</w:t>
      </w:r>
      <w:r>
        <w:rPr>
          <w:rFonts w:hint="eastAsia"/>
          <w:highlight w:val="none"/>
          <w:lang w:eastAsia="zh-CN"/>
        </w:rPr>
        <w:t>“</w:t>
      </w:r>
      <w:r>
        <w:rPr>
          <w:rFonts w:hint="eastAsia"/>
          <w:highlight w:val="none"/>
        </w:rPr>
        <w:t>绩效评估</w:t>
      </w:r>
      <w:r>
        <w:rPr>
          <w:rFonts w:hint="eastAsia"/>
          <w:highlight w:val="none"/>
          <w:lang w:eastAsia="zh-CN"/>
        </w:rPr>
        <w:t>”</w:t>
      </w:r>
      <w:r>
        <w:rPr>
          <w:rFonts w:hint="eastAsia"/>
          <w:highlight w:val="none"/>
        </w:rPr>
        <w:t>、创业人才</w:t>
      </w:r>
      <w:r>
        <w:rPr>
          <w:rFonts w:hint="eastAsia"/>
          <w:highlight w:val="none"/>
          <w:lang w:eastAsia="zh-CN"/>
        </w:rPr>
        <w:t>“</w:t>
      </w:r>
      <w:r>
        <w:rPr>
          <w:rFonts w:hint="eastAsia"/>
          <w:highlight w:val="none"/>
        </w:rPr>
        <w:t>以赛代评</w:t>
      </w:r>
      <w:r>
        <w:rPr>
          <w:rFonts w:hint="eastAsia"/>
          <w:highlight w:val="none"/>
          <w:lang w:eastAsia="zh-CN"/>
        </w:rPr>
        <w:t>”</w:t>
      </w:r>
      <w:r>
        <w:rPr>
          <w:rFonts w:hint="eastAsia"/>
          <w:highlight w:val="none"/>
        </w:rPr>
        <w:t>评价机制</w:t>
      </w:r>
      <w:r>
        <w:rPr>
          <w:rFonts w:hint="eastAsia"/>
          <w:highlight w:val="none"/>
          <w:lang w:eastAsia="zh-CN"/>
        </w:rPr>
        <w:t>，</w:t>
      </w:r>
      <w:r>
        <w:rPr>
          <w:rFonts w:hint="eastAsia"/>
          <w:highlight w:val="none"/>
          <w:lang w:val="en-US" w:eastAsia="zh-CN"/>
        </w:rPr>
        <w:t>吸引人才在当地发展项目，从而</w:t>
      </w:r>
      <w:r>
        <w:rPr>
          <w:rFonts w:hint="eastAsia"/>
          <w:highlight w:val="none"/>
        </w:rPr>
        <w:t>突破关键技术、发展高新技术产业、带动新兴产业和新兴学科的创新创业领军人才，使</w:t>
      </w:r>
      <w:r>
        <w:rPr>
          <w:rFonts w:hint="eastAsia"/>
          <w:highlight w:val="none"/>
          <w:lang w:val="en-US" w:eastAsia="zh-CN"/>
        </w:rPr>
        <w:t>枣庄市</w:t>
      </w:r>
      <w:r>
        <w:rPr>
          <w:rFonts w:hint="eastAsia"/>
          <w:highlight w:val="none"/>
        </w:rPr>
        <w:t>高层次人才规模不断扩大，人才创新创业能力不断提升，逐步形成枣庄人才竞争优势</w:t>
      </w:r>
      <w:r>
        <w:rPr>
          <w:rFonts w:hint="eastAsia"/>
          <w:highlight w:val="none"/>
          <w:lang w:eastAsia="zh-CN"/>
        </w:rPr>
        <w:t>。</w:t>
      </w:r>
    </w:p>
    <w:p>
      <w:pPr>
        <w:pStyle w:val="7"/>
        <w:spacing w:line="580" w:lineRule="exact"/>
        <w:ind w:firstLine="605"/>
        <w:jc w:val="left"/>
        <w:outlineLvl w:val="1"/>
        <w:rPr>
          <w:rFonts w:ascii="楷体_GB2312" w:hAnsi="黑体" w:eastAsia="楷体_GB2312"/>
          <w:szCs w:val="32"/>
          <w:highlight w:val="none"/>
        </w:rPr>
      </w:pPr>
      <w:bookmarkStart w:id="19" w:name="_Toc7810"/>
      <w:bookmarkStart w:id="20" w:name="_Toc18449"/>
      <w:bookmarkStart w:id="21" w:name="_Toc29838"/>
      <w:r>
        <w:rPr>
          <w:rFonts w:hint="eastAsia" w:ascii="楷体_GB2312" w:hAnsi="黑体" w:eastAsia="楷体_GB2312"/>
          <w:szCs w:val="32"/>
          <w:highlight w:val="none"/>
        </w:rPr>
        <w:t>（二）项目预算安排和支出情况</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highlight w:val="none"/>
          <w:lang w:val="en-US" w:eastAsia="zh-CN" w:bidi="ar-SA"/>
        </w:rPr>
      </w:pPr>
      <w:bookmarkStart w:id="22" w:name="_Toc27168"/>
      <w:r>
        <w:rPr>
          <w:rFonts w:hint="eastAsia"/>
          <w:highlight w:val="none"/>
        </w:rPr>
        <w:t>本项目资金</w:t>
      </w:r>
      <w:r>
        <w:rPr>
          <w:rFonts w:hint="eastAsia"/>
          <w:highlight w:val="none"/>
          <w:lang w:val="en-US" w:eastAsia="zh-CN"/>
        </w:rPr>
        <w:t>共250万元，</w:t>
      </w:r>
      <w:r>
        <w:rPr>
          <w:rFonts w:hint="eastAsia"/>
          <w:highlight w:val="none"/>
        </w:rPr>
        <w:t>来源</w:t>
      </w:r>
      <w:r>
        <w:rPr>
          <w:rFonts w:hint="eastAsia"/>
          <w:highlight w:val="none"/>
          <w:lang w:val="en-US" w:eastAsia="zh-CN"/>
        </w:rPr>
        <w:t>于枣庄市级财政资金125万元、枣庄高新区区级同比例配套奖补资金125万元。该项目三个获奖补企业项目的管理期3年，即</w:t>
      </w:r>
      <w:r>
        <w:rPr>
          <w:rFonts w:hint="eastAsia" w:ascii="仿宋" w:hAnsi="仿宋" w:eastAsia="仿宋" w:cs="仿宋"/>
          <w:kern w:val="2"/>
          <w:sz w:val="32"/>
          <w:szCs w:val="32"/>
          <w:highlight w:val="none"/>
          <w:lang w:val="en-US" w:eastAsia="zh-CN" w:bidi="ar-SA"/>
        </w:rPr>
        <w:t>自2022年1月1日起至2024年12月31日止。2022年实际应拨付项目启动资金50%，管理期验收达标后支付后50%作为绩效奖励资金。2022年该项目预算资金250万元，实际拨付250万元。</w:t>
      </w:r>
    </w:p>
    <w:p>
      <w:pPr>
        <w:spacing w:line="580" w:lineRule="exact"/>
        <w:ind w:firstLine="605"/>
        <w:outlineLvl w:val="1"/>
        <w:rPr>
          <w:rFonts w:ascii="楷体_GB2312" w:eastAsia="楷体_GB2312"/>
          <w:w w:val="95"/>
          <w:highlight w:val="none"/>
        </w:rPr>
      </w:pPr>
      <w:bookmarkStart w:id="23" w:name="_Toc3392"/>
      <w:bookmarkStart w:id="24" w:name="_Toc31530"/>
      <w:bookmarkStart w:id="25" w:name="_Toc12916"/>
      <w:r>
        <w:rPr>
          <w:rFonts w:hint="eastAsia" w:ascii="楷体_GB2312" w:eastAsia="楷体_GB2312"/>
          <w:w w:val="95"/>
          <w:highlight w:val="none"/>
        </w:rPr>
        <w:t>（三）项目主要内容和实施情况</w:t>
      </w:r>
      <w:bookmarkEnd w:id="22"/>
      <w:bookmarkEnd w:id="23"/>
      <w:bookmarkEnd w:id="24"/>
      <w:bookmarkEnd w:id="25"/>
    </w:p>
    <w:p>
      <w:pPr>
        <w:spacing w:line="580" w:lineRule="exact"/>
        <w:ind w:firstLine="640"/>
        <w:rPr>
          <w:rFonts w:hint="eastAsia"/>
          <w:highlight w:val="none"/>
          <w:lang w:val="en-US" w:eastAsia="zh-CN"/>
        </w:rPr>
      </w:pPr>
      <w:r>
        <w:rPr>
          <w:rFonts w:hint="eastAsia"/>
          <w:highlight w:val="none"/>
        </w:rPr>
        <w:t>枣庄英才计划</w:t>
      </w:r>
      <w:r>
        <w:rPr>
          <w:rFonts w:hint="eastAsia"/>
          <w:highlight w:val="none"/>
          <w:lang w:val="en-US" w:eastAsia="zh-CN"/>
        </w:rPr>
        <w:t>项目2021年确定三家获奖补的企业，包括研究审定2家，即山东天瀚新能源科技有限公司金永成100万元、枣庄八度阳光新能源科技有限公司王超群50万元；以赛代评1家，枣庄高新区创业大赛高新区刘路军获评第二名，即山东当康文化传播有限公司刘路军100万元。项目资金共250万元，根据政策和英才工作合同规定，2022年度实际应拨付项目资金的50%，即125万元，作为项目启动资金。该项目2022年度主要内容及完成这三家公司的英才计划项目启动资金的发放，三家公司按照合同签订进度完成项目的落地工作。</w:t>
      </w:r>
    </w:p>
    <w:p>
      <w:pPr>
        <w:pStyle w:val="3"/>
        <w:rPr>
          <w:rFonts w:hint="eastAsia"/>
          <w:highlight w:val="none"/>
          <w:lang w:val="en-US" w:eastAsia="zh-CN"/>
        </w:rPr>
      </w:pPr>
      <w:r>
        <w:rPr>
          <w:rFonts w:hint="eastAsia"/>
          <w:highlight w:val="none"/>
          <w:lang w:val="en-US" w:eastAsia="zh-CN"/>
        </w:rPr>
        <w:t>该项目2022年度实际一次性拨付全部资金250万元，完成对三家公司的奖补。三家公司对英才计划项目的实施情况如下：</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当康文化传播有限公司项目已按计划落地。依托其自主研发的大数据系统，搭建图书全链条循环利用体系，通过在全国设立超3000个渠道及线下阅读书屋，形成了全国图书循环利用体系。打造图书全生命周期的回收定价、仓储管理、B2B2C运营、数据采集、客户管理、分销体系以及自主研发的“掏书铺”APP平台，盘活闲置图书资源。</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山东天瀚新能源科技有限公司项目已按计划落地。完成关键性材料的开发及磷酸锰铁锂复合正极电池样品的研发并完成相关性能测试。</w:t>
      </w:r>
    </w:p>
    <w:p>
      <w:pPr>
        <w:pStyle w:val="4"/>
        <w:rPr>
          <w:rFonts w:hint="default"/>
          <w:highlight w:val="none"/>
          <w:lang w:val="en-US" w:eastAsia="zh-CN"/>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枣庄八度阳光新能源科技有限公司项目未按计划落地。未完成建设500kw分布式智慧能源光伏发电项目的目标。</w:t>
      </w:r>
    </w:p>
    <w:p>
      <w:pPr>
        <w:pStyle w:val="7"/>
        <w:spacing w:line="640" w:lineRule="exact"/>
        <w:ind w:firstLine="605"/>
        <w:jc w:val="left"/>
        <w:rPr>
          <w:rFonts w:ascii="黑体" w:hAnsi="黑体"/>
          <w:szCs w:val="32"/>
          <w:highlight w:val="none"/>
        </w:rPr>
      </w:pPr>
      <w:bookmarkStart w:id="26" w:name="_Toc22708"/>
      <w:bookmarkStart w:id="27" w:name="_Toc120282112"/>
      <w:bookmarkStart w:id="28" w:name="_Toc29775"/>
      <w:bookmarkStart w:id="29" w:name="_Toc120281534"/>
      <w:bookmarkStart w:id="30" w:name="_Toc22025"/>
      <w:bookmarkStart w:id="31" w:name="_Toc25151"/>
      <w:r>
        <w:rPr>
          <w:rFonts w:hint="eastAsia" w:ascii="黑体" w:hAnsi="黑体"/>
          <w:szCs w:val="32"/>
          <w:highlight w:val="none"/>
        </w:rPr>
        <w:t>二、项目绩效目标</w:t>
      </w:r>
      <w:bookmarkEnd w:id="26"/>
      <w:bookmarkEnd w:id="27"/>
      <w:bookmarkEnd w:id="28"/>
      <w:bookmarkEnd w:id="29"/>
      <w:bookmarkEnd w:id="30"/>
      <w:bookmarkEnd w:id="31"/>
    </w:p>
    <w:p>
      <w:pPr>
        <w:spacing w:line="580" w:lineRule="exact"/>
        <w:ind w:firstLine="605"/>
        <w:outlineLvl w:val="1"/>
        <w:rPr>
          <w:rFonts w:hint="default" w:ascii="楷体_GB2312" w:eastAsia="楷体_GB2312"/>
          <w:w w:val="95"/>
          <w:highlight w:val="none"/>
          <w:lang w:val="en-US" w:eastAsia="zh-CN"/>
        </w:rPr>
      </w:pPr>
      <w:bookmarkStart w:id="32" w:name="_Toc25391"/>
      <w:bookmarkStart w:id="33" w:name="_Toc1430"/>
      <w:bookmarkStart w:id="34" w:name="_Toc6022"/>
      <w:bookmarkStart w:id="35" w:name="_Toc12945"/>
      <w:r>
        <w:rPr>
          <w:rFonts w:hint="eastAsia" w:ascii="楷体_GB2312" w:eastAsia="楷体_GB2312"/>
          <w:w w:val="95"/>
          <w:highlight w:val="none"/>
        </w:rPr>
        <w:t>（一）项目总体目标</w:t>
      </w:r>
      <w:bookmarkEnd w:id="32"/>
      <w:bookmarkEnd w:id="33"/>
      <w:bookmarkEnd w:id="34"/>
      <w:bookmarkEnd w:id="35"/>
    </w:p>
    <w:p>
      <w:pPr>
        <w:pStyle w:val="30"/>
        <w:spacing w:line="580" w:lineRule="exact"/>
        <w:ind w:firstLine="640"/>
        <w:rPr>
          <w:rFonts w:hint="eastAsia" w:eastAsia="仿宋_GB2312"/>
          <w:highlight w:val="none"/>
          <w:lang w:eastAsia="zh-CN"/>
        </w:rPr>
      </w:pPr>
      <w:bookmarkStart w:id="36" w:name="_Toc3565"/>
      <w:bookmarkStart w:id="37" w:name="_Toc120281535"/>
      <w:bookmarkStart w:id="38" w:name="_Toc120282113"/>
      <w:r>
        <w:rPr>
          <w:rFonts w:hint="eastAsia"/>
          <w:highlight w:val="none"/>
          <w:lang w:val="en-US" w:eastAsia="zh-CN"/>
        </w:rPr>
        <w:t>吸引人才在当地发展项目，从而</w:t>
      </w:r>
      <w:r>
        <w:rPr>
          <w:rFonts w:hint="eastAsia"/>
          <w:highlight w:val="none"/>
        </w:rPr>
        <w:t>突破关键技术、</w:t>
      </w:r>
      <w:r>
        <w:rPr>
          <w:rFonts w:hint="eastAsia"/>
          <w:highlight w:val="none"/>
          <w:lang w:val="en-US" w:eastAsia="zh-CN"/>
        </w:rPr>
        <w:t>推动新旧动能转换、</w:t>
      </w:r>
      <w:r>
        <w:rPr>
          <w:rFonts w:hint="eastAsia"/>
          <w:highlight w:val="none"/>
        </w:rPr>
        <w:t>发展高新技术产业、带动新兴产业和新兴学科的创新创业领军人才，使</w:t>
      </w:r>
      <w:r>
        <w:rPr>
          <w:rFonts w:hint="eastAsia"/>
          <w:highlight w:val="none"/>
          <w:lang w:val="en-US" w:eastAsia="zh-CN"/>
        </w:rPr>
        <w:t>枣庄市</w:t>
      </w:r>
      <w:r>
        <w:rPr>
          <w:rFonts w:hint="eastAsia"/>
          <w:highlight w:val="none"/>
        </w:rPr>
        <w:t>高层次人才规模不断扩大，人才创新创业能力不断提升，逐步形成枣庄人才竞争优势</w:t>
      </w:r>
      <w:r>
        <w:rPr>
          <w:rFonts w:hint="eastAsia"/>
          <w:highlight w:val="none"/>
          <w:lang w:eastAsia="zh-CN"/>
        </w:rPr>
        <w:t>。</w:t>
      </w:r>
    </w:p>
    <w:p>
      <w:pPr>
        <w:pStyle w:val="8"/>
        <w:spacing w:line="580" w:lineRule="exact"/>
        <w:ind w:firstLine="605"/>
        <w:rPr>
          <w:highlight w:val="none"/>
        </w:rPr>
      </w:pPr>
      <w:bookmarkStart w:id="39" w:name="_Toc7533"/>
      <w:bookmarkStart w:id="40" w:name="_Toc23770"/>
      <w:bookmarkStart w:id="41" w:name="_Toc16943"/>
      <w:r>
        <w:rPr>
          <w:rFonts w:hint="eastAsia"/>
          <w:highlight w:val="none"/>
        </w:rPr>
        <w:t>（二）202</w:t>
      </w:r>
      <w:r>
        <w:rPr>
          <w:rFonts w:hint="eastAsia"/>
          <w:highlight w:val="none"/>
          <w:lang w:val="en-US" w:eastAsia="zh-CN"/>
        </w:rPr>
        <w:t>2</w:t>
      </w:r>
      <w:r>
        <w:rPr>
          <w:rFonts w:hint="eastAsia"/>
          <w:highlight w:val="none"/>
        </w:rPr>
        <w:t>年阶段性绩效目标</w:t>
      </w:r>
      <w:bookmarkEnd w:id="39"/>
      <w:bookmarkEnd w:id="40"/>
      <w:bookmarkEnd w:id="41"/>
    </w:p>
    <w:p>
      <w:pPr>
        <w:spacing w:line="580" w:lineRule="exact"/>
        <w:ind w:firstLine="640"/>
        <w:rPr>
          <w:highlight w:val="none"/>
        </w:rPr>
      </w:pPr>
      <w:r>
        <w:rPr>
          <w:rFonts w:hint="eastAsia"/>
          <w:highlight w:val="none"/>
          <w:lang w:val="en-US" w:eastAsia="zh-CN"/>
        </w:rPr>
        <w:t>完成对山东天瀚新能源科技有限公司金永成、山东当康文化传播有限公司刘路军、枣庄八度阳光新能源科技有限公司王超群，三家枣庄英才计划企业奖补金的发放，2022年发放项目启动资金，共计125万元。促进关键性材料的开发及磷酸锰铁锂复合正极电池样品的研发、搭建图书全链条循环利用体系、智慧光伏项目按进度落地。</w:t>
      </w:r>
    </w:p>
    <w:p>
      <w:pPr>
        <w:pStyle w:val="7"/>
        <w:spacing w:line="640" w:lineRule="exact"/>
        <w:ind w:firstLine="605"/>
        <w:jc w:val="left"/>
        <w:rPr>
          <w:rFonts w:ascii="黑体" w:hAnsi="黑体"/>
          <w:szCs w:val="32"/>
          <w:highlight w:val="none"/>
        </w:rPr>
      </w:pPr>
      <w:bookmarkStart w:id="42" w:name="_Toc1156"/>
      <w:bookmarkStart w:id="43" w:name="_Toc12467"/>
      <w:bookmarkStart w:id="44" w:name="_Toc16977"/>
      <w:r>
        <w:rPr>
          <w:rFonts w:hint="eastAsia" w:ascii="黑体" w:hAnsi="黑体"/>
          <w:szCs w:val="32"/>
          <w:highlight w:val="none"/>
        </w:rPr>
        <w:t>三、评价基本情况</w:t>
      </w:r>
      <w:bookmarkEnd w:id="36"/>
      <w:bookmarkEnd w:id="37"/>
      <w:bookmarkEnd w:id="38"/>
      <w:bookmarkEnd w:id="42"/>
      <w:bookmarkEnd w:id="43"/>
      <w:bookmarkEnd w:id="44"/>
    </w:p>
    <w:p>
      <w:pPr>
        <w:spacing w:line="580" w:lineRule="exact"/>
        <w:ind w:firstLine="605"/>
        <w:outlineLvl w:val="1"/>
        <w:rPr>
          <w:rFonts w:ascii="楷体_GB2312" w:eastAsia="楷体_GB2312"/>
          <w:w w:val="95"/>
          <w:highlight w:val="none"/>
        </w:rPr>
      </w:pPr>
      <w:bookmarkStart w:id="45" w:name="_Toc7411"/>
      <w:bookmarkStart w:id="46" w:name="_Toc1928"/>
      <w:bookmarkStart w:id="47" w:name="_Toc4026"/>
      <w:bookmarkStart w:id="48" w:name="_Toc24602"/>
      <w:r>
        <w:rPr>
          <w:rFonts w:hint="eastAsia" w:ascii="楷体_GB2312" w:eastAsia="楷体_GB2312"/>
          <w:w w:val="95"/>
          <w:highlight w:val="none"/>
        </w:rPr>
        <w:t>（一）绩效评价目的、对象和范围</w:t>
      </w:r>
      <w:bookmarkEnd w:id="45"/>
      <w:bookmarkEnd w:id="46"/>
      <w:bookmarkEnd w:id="47"/>
      <w:bookmarkEnd w:id="48"/>
    </w:p>
    <w:p>
      <w:pPr>
        <w:spacing w:line="580" w:lineRule="exact"/>
        <w:ind w:firstLine="640"/>
        <w:rPr>
          <w:highlight w:val="none"/>
        </w:rPr>
      </w:pPr>
      <w:r>
        <w:rPr>
          <w:rFonts w:hint="eastAsia"/>
          <w:highlight w:val="none"/>
        </w:rPr>
        <w:t>评价组根据设定的绩效目标，运用科学、合理的绩效评价指标、评价标准和评价方法，对</w:t>
      </w:r>
      <w:r>
        <w:rPr>
          <w:rFonts w:hint="eastAsia"/>
          <w:highlight w:val="none"/>
          <w:lang w:eastAsia="zh-CN"/>
        </w:rPr>
        <w:t>枣庄英才计划项目</w:t>
      </w:r>
      <w:r>
        <w:rPr>
          <w:rFonts w:hint="eastAsia"/>
          <w:highlight w:val="none"/>
        </w:rPr>
        <w:t>资金的使用情况、项目的实施管理情况以及项目效果做出客观公正的评价，以便强化预算绩效管理，强化支出责任，建立科学、合理的预算支出绩效评价管理体系，提高财政资金使用效益。</w:t>
      </w:r>
    </w:p>
    <w:p>
      <w:pPr>
        <w:spacing w:line="580" w:lineRule="exact"/>
        <w:ind w:firstLine="640"/>
        <w:rPr>
          <w:highlight w:val="none"/>
        </w:rPr>
      </w:pPr>
      <w:r>
        <w:rPr>
          <w:rFonts w:hint="eastAsia"/>
          <w:highlight w:val="none"/>
        </w:rPr>
        <w:t>绩效评价对象为</w:t>
      </w:r>
      <w:r>
        <w:rPr>
          <w:rFonts w:hint="eastAsia"/>
          <w:highlight w:val="none"/>
          <w:lang w:val="en-US" w:eastAsia="zh-CN"/>
        </w:rPr>
        <w:t>2022</w:t>
      </w:r>
      <w:r>
        <w:rPr>
          <w:rFonts w:hint="eastAsia"/>
          <w:highlight w:val="none"/>
        </w:rPr>
        <w:t>年执行的</w:t>
      </w:r>
      <w:r>
        <w:rPr>
          <w:rFonts w:hint="eastAsia"/>
          <w:highlight w:val="none"/>
          <w:lang w:eastAsia="zh-CN"/>
        </w:rPr>
        <w:t>枣庄英才计划项目</w:t>
      </w:r>
      <w:r>
        <w:rPr>
          <w:rFonts w:hint="eastAsia"/>
          <w:highlight w:val="none"/>
        </w:rPr>
        <w:t>。</w:t>
      </w:r>
    </w:p>
    <w:p>
      <w:pPr>
        <w:spacing w:line="580" w:lineRule="exact"/>
        <w:ind w:firstLine="640"/>
        <w:rPr>
          <w:highlight w:val="none"/>
        </w:rPr>
      </w:pPr>
      <w:r>
        <w:rPr>
          <w:rFonts w:hint="eastAsia"/>
          <w:highlight w:val="none"/>
        </w:rPr>
        <w:t>绩效评价范围</w:t>
      </w:r>
      <w:r>
        <w:rPr>
          <w:rFonts w:hint="eastAsia"/>
          <w:highlight w:val="none"/>
          <w:lang w:val="en-US" w:eastAsia="zh-CN"/>
        </w:rPr>
        <w:t>2022</w:t>
      </w:r>
      <w:r>
        <w:rPr>
          <w:rFonts w:hint="eastAsia"/>
          <w:highlight w:val="none"/>
        </w:rPr>
        <w:t>年执行的</w:t>
      </w:r>
      <w:r>
        <w:rPr>
          <w:rFonts w:hint="eastAsia"/>
          <w:highlight w:val="none"/>
          <w:lang w:val="en-US" w:eastAsia="zh-CN"/>
        </w:rPr>
        <w:t>枣庄高新区</w:t>
      </w:r>
      <w:r>
        <w:rPr>
          <w:rFonts w:hint="eastAsia"/>
          <w:highlight w:val="none"/>
          <w:lang w:eastAsia="zh-CN"/>
        </w:rPr>
        <w:t>英才计划项目</w:t>
      </w:r>
      <w:r>
        <w:rPr>
          <w:rFonts w:hint="eastAsia"/>
          <w:highlight w:val="none"/>
        </w:rPr>
        <w:t>，以及</w:t>
      </w:r>
      <w:r>
        <w:rPr>
          <w:rFonts w:hint="eastAsia"/>
          <w:highlight w:val="none"/>
          <w:lang w:val="en-US" w:eastAsia="zh-CN"/>
        </w:rPr>
        <w:t>项目预算资金250万元</w:t>
      </w:r>
      <w:r>
        <w:rPr>
          <w:rFonts w:hint="eastAsia"/>
          <w:highlight w:val="none"/>
        </w:rPr>
        <w:t>。</w:t>
      </w:r>
    </w:p>
    <w:p>
      <w:pPr>
        <w:spacing w:line="580" w:lineRule="exact"/>
        <w:ind w:firstLine="605"/>
        <w:outlineLvl w:val="1"/>
        <w:rPr>
          <w:rFonts w:ascii="楷体_GB2312" w:eastAsia="楷体_GB2312"/>
          <w:w w:val="95"/>
          <w:highlight w:val="none"/>
        </w:rPr>
      </w:pPr>
      <w:bookmarkStart w:id="49" w:name="_Toc11341"/>
      <w:bookmarkStart w:id="50" w:name="_Toc10976"/>
      <w:bookmarkStart w:id="51" w:name="_Toc11688"/>
      <w:bookmarkStart w:id="52" w:name="_Toc21441"/>
      <w:r>
        <w:rPr>
          <w:rFonts w:hint="eastAsia" w:ascii="楷体_GB2312" w:eastAsia="楷体_GB2312"/>
          <w:w w:val="95"/>
          <w:highlight w:val="none"/>
        </w:rPr>
        <w:t>（二）绩效评价原则、评价指标体系、评价方法、评价标准</w:t>
      </w:r>
      <w:bookmarkEnd w:id="49"/>
      <w:bookmarkEnd w:id="50"/>
      <w:bookmarkEnd w:id="51"/>
      <w:bookmarkEnd w:id="52"/>
    </w:p>
    <w:p>
      <w:pPr>
        <w:spacing w:line="580" w:lineRule="exact"/>
        <w:ind w:firstLine="640"/>
        <w:rPr>
          <w:rFonts w:hint="eastAsia" w:eastAsia="仿宋_GB2312"/>
          <w:highlight w:val="none"/>
          <w:lang w:eastAsia="zh-CN"/>
        </w:rPr>
      </w:pPr>
      <w:r>
        <w:rPr>
          <w:rFonts w:hint="eastAsia"/>
          <w:highlight w:val="none"/>
        </w:rPr>
        <w:t>1.评价原则：科学公正、统筹兼顾</w:t>
      </w:r>
      <w:r>
        <w:rPr>
          <w:rFonts w:hint="eastAsia"/>
          <w:highlight w:val="none"/>
          <w:lang w:eastAsia="zh-CN"/>
        </w:rPr>
        <w:t>。</w:t>
      </w:r>
    </w:p>
    <w:p>
      <w:pPr>
        <w:spacing w:line="580" w:lineRule="exact"/>
        <w:ind w:firstLine="640"/>
        <w:rPr>
          <w:highlight w:val="none"/>
        </w:rPr>
      </w:pPr>
      <w:r>
        <w:rPr>
          <w:rFonts w:hint="eastAsia"/>
          <w:highlight w:val="none"/>
        </w:rPr>
        <w:t>2.</w:t>
      </w:r>
      <w:r>
        <w:rPr>
          <w:highlight w:val="none"/>
        </w:rPr>
        <w:t>绩效评价指标</w:t>
      </w:r>
    </w:p>
    <w:p>
      <w:pPr>
        <w:spacing w:line="580" w:lineRule="exact"/>
        <w:ind w:firstLine="640"/>
        <w:rPr>
          <w:rFonts w:hint="eastAsia"/>
          <w:highlight w:val="none"/>
        </w:rPr>
      </w:pPr>
      <w:r>
        <w:rPr>
          <w:rFonts w:hint="eastAsia" w:ascii="仿宋_GB2312" w:hAnsi="仿宋_GB2312" w:eastAsia="仿宋_GB2312" w:cs="仿宋_GB2312"/>
          <w:kern w:val="2"/>
          <w:sz w:val="32"/>
          <w:szCs w:val="32"/>
          <w:highlight w:val="none"/>
          <w:lang w:val="en-US" w:eastAsia="zh-CN" w:bidi="ar-SA"/>
        </w:rPr>
        <w:t>2022年度枣庄高新区英才计划项目</w:t>
      </w:r>
      <w:r>
        <w:rPr>
          <w:rFonts w:hint="eastAsia" w:cs="仿宋_GB2312"/>
          <w:kern w:val="2"/>
          <w:sz w:val="32"/>
          <w:szCs w:val="32"/>
          <w:highlight w:val="none"/>
          <w:lang w:val="en-US" w:eastAsia="zh-CN" w:bidi="ar-SA"/>
        </w:rPr>
        <w:t>绩效评价</w:t>
      </w:r>
      <w:r>
        <w:rPr>
          <w:rFonts w:hint="eastAsia" w:ascii="仿宋_GB2312" w:hAnsi="仿宋_GB2312" w:eastAsia="仿宋_GB2312" w:cs="仿宋_GB2312"/>
          <w:kern w:val="2"/>
          <w:sz w:val="32"/>
          <w:szCs w:val="32"/>
          <w:highlight w:val="none"/>
          <w:lang w:val="en-US" w:eastAsia="zh-CN" w:bidi="ar-SA"/>
        </w:rPr>
        <w:t>指标</w:t>
      </w:r>
      <w:r>
        <w:rPr>
          <w:rFonts w:hint="eastAsia" w:cs="仿宋_GB2312"/>
          <w:kern w:val="2"/>
          <w:sz w:val="32"/>
          <w:szCs w:val="32"/>
          <w:highlight w:val="none"/>
          <w:lang w:val="en-US" w:eastAsia="zh-CN" w:bidi="ar-SA"/>
        </w:rPr>
        <w:t>以</w:t>
      </w:r>
      <w:r>
        <w:rPr>
          <w:rFonts w:hint="eastAsia"/>
          <w:highlight w:val="none"/>
        </w:rPr>
        <w:t>《山东省财政厅关于印发&lt;山东省省级项目支出绩效单位自评工作规程&gt;和&lt;山东省省级项目支出绩效财政评价和部门评价工作规程&gt;的通知》（鲁财绩〔2020〕4号）</w:t>
      </w:r>
      <w:r>
        <w:rPr>
          <w:rFonts w:hint="eastAsia" w:ascii="仿宋_GB2312" w:hAnsi="仿宋_GB2312" w:eastAsia="仿宋_GB2312" w:cs="仿宋_GB2312"/>
          <w:kern w:val="2"/>
          <w:sz w:val="32"/>
          <w:szCs w:val="32"/>
          <w:highlight w:val="none"/>
          <w:lang w:val="en-US" w:eastAsia="zh-CN" w:bidi="ar-SA"/>
        </w:rPr>
        <w:t>等相关文件为依据，设置</w:t>
      </w:r>
      <w:r>
        <w:rPr>
          <w:rFonts w:hint="eastAsia"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个一级指标、</w:t>
      </w:r>
      <w:r>
        <w:rPr>
          <w:rFonts w:hint="eastAsia" w:cs="仿宋_GB2312"/>
          <w:kern w:val="2"/>
          <w:sz w:val="32"/>
          <w:szCs w:val="32"/>
          <w:highlight w:val="none"/>
          <w:lang w:val="en-US" w:eastAsia="zh-CN" w:bidi="ar-SA"/>
        </w:rPr>
        <w:t>13</w:t>
      </w:r>
      <w:r>
        <w:rPr>
          <w:rFonts w:hint="eastAsia" w:ascii="仿宋_GB2312" w:hAnsi="仿宋_GB2312" w:eastAsia="仿宋_GB2312" w:cs="仿宋_GB2312"/>
          <w:kern w:val="2"/>
          <w:sz w:val="32"/>
          <w:szCs w:val="32"/>
          <w:highlight w:val="none"/>
          <w:lang w:val="en-US" w:eastAsia="zh-CN" w:bidi="ar-SA"/>
        </w:rPr>
        <w:t>个二级指标</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28个三级指标</w:t>
      </w:r>
      <w:r>
        <w:rPr>
          <w:rFonts w:hint="eastAsia" w:cs="仿宋_GB2312"/>
          <w:kern w:val="2"/>
          <w:sz w:val="32"/>
          <w:szCs w:val="32"/>
          <w:highlight w:val="none"/>
          <w:lang w:val="en-US" w:eastAsia="zh-CN" w:bidi="ar-SA"/>
        </w:rPr>
        <w:t>。一级指标为决策、过程、产出、效益，其中决策和过程细化出的二、三级指标为共性指标，产出和效益细化出的二、三级指标为个性指标，个性指标依据该项目特点进行设置，此项目以</w:t>
      </w:r>
      <w:r>
        <w:rPr>
          <w:rFonts w:hint="eastAsia"/>
          <w:highlight w:val="none"/>
        </w:rPr>
        <w:t>《关于实施枣庄英才集聚工程的意见》（枣办发〔2014〕28号）</w:t>
      </w:r>
      <w:r>
        <w:rPr>
          <w:rFonts w:hint="eastAsia"/>
          <w:highlight w:val="none"/>
          <w:lang w:eastAsia="zh-CN"/>
        </w:rPr>
        <w:t>、</w:t>
      </w:r>
      <w:r>
        <w:rPr>
          <w:rFonts w:hint="eastAsia"/>
          <w:highlight w:val="none"/>
        </w:rPr>
        <w:t>《关于做好人才支撑新旧动能转换工作的实施意见》（枣发〔2018〕13号）</w:t>
      </w:r>
      <w:r>
        <w:rPr>
          <w:rFonts w:hint="eastAsia"/>
          <w:highlight w:val="none"/>
          <w:lang w:val="en-US" w:eastAsia="zh-CN"/>
        </w:rPr>
        <w:t>和枣庄英才工作合同</w:t>
      </w:r>
      <w:r>
        <w:rPr>
          <w:rFonts w:hint="eastAsia" w:ascii="仿宋_GB2312" w:hAnsi="仿宋_GB2312" w:eastAsia="仿宋_GB2312" w:cs="仿宋_GB2312"/>
          <w:kern w:val="2"/>
          <w:sz w:val="32"/>
          <w:szCs w:val="32"/>
          <w:highlight w:val="none"/>
          <w:lang w:val="en-US" w:eastAsia="zh-CN" w:bidi="ar-SA"/>
        </w:rPr>
        <w:t>等相关文件为依据</w:t>
      </w:r>
      <w:r>
        <w:rPr>
          <w:rFonts w:hint="eastAsia" w:cs="仿宋_GB2312"/>
          <w:kern w:val="2"/>
          <w:sz w:val="32"/>
          <w:szCs w:val="32"/>
          <w:highlight w:val="none"/>
          <w:lang w:val="en-US" w:eastAsia="zh-CN" w:bidi="ar-SA"/>
        </w:rPr>
        <w:t>将产出和效益细化出枣庄英才奖补科技创业类企业数量、枣庄英才奖补产业创新类企业数量、获奖补企业经济贡献程度等17</w:t>
      </w:r>
      <w:r>
        <w:rPr>
          <w:rFonts w:hint="eastAsia" w:ascii="仿宋_GB2312" w:hAnsi="仿宋_GB2312" w:eastAsia="仿宋_GB2312" w:cs="仿宋_GB2312"/>
          <w:kern w:val="2"/>
          <w:sz w:val="32"/>
          <w:szCs w:val="32"/>
          <w:highlight w:val="none"/>
          <w:lang w:val="en-US" w:eastAsia="zh-CN" w:bidi="ar-SA"/>
        </w:rPr>
        <w:t>个三级指标</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各级指标解释及评分标准详见附件一。</w:t>
      </w:r>
    </w:p>
    <w:p>
      <w:pPr>
        <w:spacing w:line="580" w:lineRule="exact"/>
        <w:ind w:firstLine="640"/>
        <w:rPr>
          <w:highlight w:val="none"/>
        </w:rPr>
      </w:pPr>
      <w:r>
        <w:rPr>
          <w:rFonts w:hint="eastAsia"/>
          <w:highlight w:val="none"/>
        </w:rPr>
        <w:t>3.评价方法</w:t>
      </w:r>
    </w:p>
    <w:p>
      <w:pPr>
        <w:spacing w:line="580" w:lineRule="exact"/>
        <w:ind w:firstLine="640"/>
        <w:rPr>
          <w:highlight w:val="none"/>
          <w:lang w:val="zh-CN"/>
        </w:rPr>
      </w:pPr>
      <w:r>
        <w:rPr>
          <w:rFonts w:hint="eastAsia"/>
          <w:highlight w:val="none"/>
          <w:lang w:val="zh-CN"/>
        </w:rPr>
        <w:t>根据前期调研资料，本次评价针对</w:t>
      </w:r>
      <w:r>
        <w:rPr>
          <w:rFonts w:hint="eastAsia"/>
          <w:highlight w:val="none"/>
          <w:lang w:val="en-US" w:eastAsia="zh-CN"/>
        </w:rPr>
        <w:t>2022年</w:t>
      </w:r>
      <w:r>
        <w:rPr>
          <w:rFonts w:hint="eastAsia"/>
          <w:highlight w:val="none"/>
          <w:lang w:eastAsia="zh-CN"/>
        </w:rPr>
        <w:t>枣庄英才计划项目</w:t>
      </w:r>
      <w:r>
        <w:rPr>
          <w:rFonts w:hint="eastAsia"/>
          <w:highlight w:val="none"/>
          <w:lang w:val="zh-CN"/>
        </w:rPr>
        <w:t>的具体情况，适用比较法及公众评判法。</w:t>
      </w:r>
    </w:p>
    <w:p>
      <w:pPr>
        <w:spacing w:line="580" w:lineRule="exact"/>
        <w:ind w:firstLine="640"/>
        <w:rPr>
          <w:highlight w:val="none"/>
        </w:rPr>
      </w:pPr>
      <w:r>
        <w:rPr>
          <w:rFonts w:hint="eastAsia"/>
          <w:highlight w:val="none"/>
          <w:lang w:val="zh-CN"/>
        </w:rPr>
        <w:t>其中，项目的实际完成情况需要与年初计划进行比较，因此本项目适合采用比较法；根据本项目产出的部分效益，需要</w:t>
      </w:r>
      <w:r>
        <w:rPr>
          <w:rFonts w:hint="eastAsia"/>
          <w:highlight w:val="none"/>
          <w:lang w:val="en-US" w:eastAsia="zh-CN"/>
        </w:rPr>
        <w:t>根据获奖补的企业的意见进行评价</w:t>
      </w:r>
      <w:r>
        <w:rPr>
          <w:rFonts w:hint="eastAsia"/>
          <w:highlight w:val="none"/>
          <w:lang w:val="zh-CN"/>
        </w:rPr>
        <w:t>，因此适宜采用公众评判法。</w:t>
      </w:r>
    </w:p>
    <w:p>
      <w:pPr>
        <w:spacing w:line="580" w:lineRule="exact"/>
        <w:ind w:firstLine="640"/>
        <w:rPr>
          <w:highlight w:val="none"/>
        </w:rPr>
      </w:pPr>
      <w:r>
        <w:rPr>
          <w:rFonts w:hint="eastAsia"/>
          <w:highlight w:val="none"/>
        </w:rPr>
        <w:t>4.</w:t>
      </w:r>
      <w:r>
        <w:rPr>
          <w:highlight w:val="none"/>
        </w:rPr>
        <w:t>评价标准</w:t>
      </w:r>
    </w:p>
    <w:p>
      <w:pPr>
        <w:spacing w:line="580" w:lineRule="exact"/>
        <w:ind w:firstLine="640"/>
        <w:rPr>
          <w:highlight w:val="none"/>
        </w:rPr>
      </w:pPr>
      <w:r>
        <w:rPr>
          <w:rFonts w:hint="eastAsia"/>
          <w:highlight w:val="none"/>
        </w:rPr>
        <w:t>本次绩效评价按照政府性财政预算的分配方式，为考查资金使用效益和配置效率，指标体系评价标准及评价方式的确定拟按照以下标准：</w:t>
      </w:r>
    </w:p>
    <w:p>
      <w:pPr>
        <w:spacing w:line="580" w:lineRule="exact"/>
        <w:ind w:firstLine="640"/>
        <w:rPr>
          <w:highlight w:val="none"/>
        </w:rPr>
      </w:pPr>
      <w:r>
        <w:rPr>
          <w:rFonts w:hint="eastAsia"/>
          <w:highlight w:val="none"/>
        </w:rPr>
        <w:t>（1）计划标准。以</w:t>
      </w:r>
      <w:r>
        <w:rPr>
          <w:rFonts w:hint="eastAsia"/>
          <w:highlight w:val="none"/>
          <w:lang w:val="en-US" w:eastAsia="zh-CN"/>
        </w:rPr>
        <w:t>2022</w:t>
      </w:r>
      <w:r>
        <w:rPr>
          <w:rFonts w:hint="eastAsia"/>
          <w:highlight w:val="none"/>
        </w:rPr>
        <w:t>年制定的计划、预算、定额等作为评价标准。</w:t>
      </w:r>
    </w:p>
    <w:p>
      <w:pPr>
        <w:spacing w:line="580" w:lineRule="exact"/>
        <w:ind w:firstLine="640"/>
        <w:rPr>
          <w:highlight w:val="none"/>
        </w:rPr>
      </w:pPr>
      <w:r>
        <w:rPr>
          <w:rFonts w:hint="eastAsia"/>
          <w:highlight w:val="none"/>
        </w:rPr>
        <w:t>（2）行业标准。参照国家公布的行业指标数据及各项目行业内的指标数据。</w:t>
      </w:r>
    </w:p>
    <w:p>
      <w:pPr>
        <w:spacing w:line="580" w:lineRule="exact"/>
        <w:ind w:firstLine="640"/>
        <w:rPr>
          <w:highlight w:val="none"/>
        </w:rPr>
      </w:pPr>
      <w:r>
        <w:rPr>
          <w:rFonts w:hint="eastAsia"/>
          <w:highlight w:val="none"/>
        </w:rPr>
        <w:t>（3）通用标准。取值一般在0—100%之间，这类标准适用于管理类和产出类指标。</w:t>
      </w:r>
    </w:p>
    <w:p>
      <w:pPr>
        <w:spacing w:line="580" w:lineRule="exact"/>
        <w:ind w:firstLine="605"/>
        <w:outlineLvl w:val="1"/>
        <w:rPr>
          <w:rFonts w:ascii="楷体_GB2312" w:eastAsia="楷体_GB2312"/>
          <w:w w:val="95"/>
          <w:highlight w:val="none"/>
        </w:rPr>
      </w:pPr>
      <w:bookmarkStart w:id="53" w:name="_Toc6377"/>
      <w:bookmarkStart w:id="54" w:name="_Toc13883"/>
      <w:bookmarkStart w:id="55" w:name="_Toc28389"/>
      <w:bookmarkStart w:id="56" w:name="_Toc17973"/>
      <w:r>
        <w:rPr>
          <w:rFonts w:hint="eastAsia" w:ascii="楷体_GB2312" w:eastAsia="楷体_GB2312"/>
          <w:w w:val="95"/>
          <w:highlight w:val="none"/>
        </w:rPr>
        <w:t>（三）绩效评价工作过程</w:t>
      </w:r>
      <w:bookmarkEnd w:id="53"/>
      <w:bookmarkEnd w:id="54"/>
      <w:bookmarkEnd w:id="55"/>
      <w:bookmarkEnd w:id="56"/>
    </w:p>
    <w:p>
      <w:pPr>
        <w:spacing w:line="580" w:lineRule="exact"/>
        <w:ind w:firstLine="640"/>
        <w:rPr>
          <w:highlight w:val="none"/>
        </w:rPr>
      </w:pPr>
      <w:r>
        <w:rPr>
          <w:rFonts w:hint="eastAsia"/>
          <w:highlight w:val="none"/>
        </w:rPr>
        <w:t>整个评价过程分为：前期准备、非现场评价、现场评价、综合分析和报告撰写与提交绩效评价报告五个过程。</w:t>
      </w:r>
    </w:p>
    <w:p>
      <w:pPr>
        <w:pStyle w:val="7"/>
        <w:spacing w:line="640" w:lineRule="exact"/>
        <w:ind w:firstLine="605"/>
        <w:jc w:val="left"/>
        <w:rPr>
          <w:rFonts w:ascii="黑体" w:hAnsi="黑体"/>
          <w:highlight w:val="none"/>
        </w:rPr>
      </w:pPr>
      <w:bookmarkStart w:id="57" w:name="_Toc23873"/>
      <w:bookmarkStart w:id="58" w:name="_Toc21107"/>
      <w:bookmarkStart w:id="59" w:name="_Toc28497"/>
      <w:bookmarkStart w:id="60" w:name="_Toc120281536"/>
      <w:bookmarkStart w:id="61" w:name="_Toc6093"/>
      <w:bookmarkStart w:id="62" w:name="_Toc120282114"/>
      <w:r>
        <w:rPr>
          <w:rFonts w:hint="eastAsia" w:ascii="黑体" w:hAnsi="黑体"/>
          <w:highlight w:val="none"/>
        </w:rPr>
        <w:t>四、评价结论及分析</w:t>
      </w:r>
      <w:bookmarkEnd w:id="57"/>
      <w:bookmarkEnd w:id="58"/>
      <w:bookmarkEnd w:id="59"/>
      <w:bookmarkEnd w:id="60"/>
      <w:bookmarkEnd w:id="61"/>
      <w:bookmarkEnd w:id="62"/>
    </w:p>
    <w:p>
      <w:pPr>
        <w:spacing w:line="580" w:lineRule="exact"/>
        <w:ind w:firstLine="605"/>
        <w:outlineLvl w:val="1"/>
        <w:rPr>
          <w:rFonts w:ascii="楷体_GB2312" w:eastAsia="楷体_GB2312"/>
          <w:w w:val="95"/>
          <w:highlight w:val="none"/>
        </w:rPr>
      </w:pPr>
      <w:bookmarkStart w:id="63" w:name="_Toc6179"/>
      <w:bookmarkStart w:id="64" w:name="_Toc6018"/>
      <w:bookmarkStart w:id="65" w:name="_Toc27094"/>
      <w:bookmarkStart w:id="66" w:name="_Toc2039"/>
      <w:r>
        <w:rPr>
          <w:rFonts w:hint="eastAsia" w:ascii="楷体_GB2312" w:eastAsia="楷体_GB2312"/>
          <w:w w:val="95"/>
          <w:highlight w:val="none"/>
        </w:rPr>
        <w:t>（一）综合评价结论</w:t>
      </w:r>
      <w:bookmarkEnd w:id="63"/>
      <w:bookmarkEnd w:id="64"/>
      <w:bookmarkEnd w:id="65"/>
      <w:bookmarkEnd w:id="66"/>
    </w:p>
    <w:p>
      <w:pPr>
        <w:spacing w:line="580" w:lineRule="exact"/>
        <w:ind w:firstLine="640"/>
        <w:rPr>
          <w:rFonts w:hint="eastAsia"/>
          <w:highlight w:val="none"/>
        </w:rPr>
      </w:pPr>
      <w:bookmarkStart w:id="67" w:name="_Toc19123"/>
      <w:bookmarkStart w:id="68" w:name="_Toc22366"/>
      <w:r>
        <w:rPr>
          <w:rFonts w:hint="eastAsia"/>
          <w:highlight w:val="none"/>
        </w:rPr>
        <w:t>运用由评价组制定的评价指标体系及评分标准，通过数据采集及</w:t>
      </w:r>
      <w:r>
        <w:rPr>
          <w:rFonts w:hint="eastAsia" w:ascii="仿宋_GB2312" w:eastAsia="仿宋_GB2312"/>
          <w:highlight w:val="none"/>
          <w:lang w:val="en-US" w:eastAsia="zh-CN"/>
        </w:rPr>
        <w:t>座谈</w:t>
      </w:r>
      <w:r>
        <w:rPr>
          <w:rFonts w:hint="eastAsia"/>
          <w:highlight w:val="none"/>
        </w:rPr>
        <w:t>，对</w:t>
      </w:r>
      <w:r>
        <w:rPr>
          <w:rFonts w:hint="eastAsia" w:eastAsia="仿宋_GB2312"/>
          <w:highlight w:val="none"/>
          <w:lang w:eastAsia="zh-CN"/>
        </w:rPr>
        <w:t>2022年度枣庄高新区英才计划项目</w:t>
      </w:r>
      <w:r>
        <w:rPr>
          <w:rFonts w:hint="eastAsia"/>
          <w:highlight w:val="none"/>
        </w:rPr>
        <w:t>进行客观评价，最终评分结果：总得分为</w:t>
      </w:r>
      <w:r>
        <w:rPr>
          <w:rFonts w:hint="eastAsia" w:ascii="仿宋_GB2312" w:eastAsia="仿宋_GB2312"/>
          <w:highlight w:val="none"/>
          <w:lang w:val="en-US" w:eastAsia="zh-CN"/>
        </w:rPr>
        <w:t>79.96</w:t>
      </w:r>
      <w:r>
        <w:rPr>
          <w:rFonts w:hint="eastAsia"/>
          <w:highlight w:val="none"/>
        </w:rPr>
        <w:t>分，评价等级为“</w:t>
      </w:r>
      <w:r>
        <w:rPr>
          <w:rFonts w:hint="eastAsia" w:ascii="仿宋_GB2312" w:eastAsia="仿宋_GB2312"/>
          <w:highlight w:val="none"/>
          <w:lang w:val="en-US" w:eastAsia="zh-CN"/>
        </w:rPr>
        <w:t>中</w:t>
      </w:r>
      <w:r>
        <w:rPr>
          <w:rFonts w:hint="eastAsia"/>
          <w:highlight w:val="none"/>
        </w:rPr>
        <w:t>”。其中，决策类指标标准分为20得分</w:t>
      </w:r>
      <w:r>
        <w:rPr>
          <w:rFonts w:hint="eastAsia" w:ascii="仿宋_GB2312" w:eastAsia="仿宋_GB2312"/>
          <w:highlight w:val="none"/>
          <w:lang w:val="en-US" w:eastAsia="zh-CN"/>
        </w:rPr>
        <w:t>17</w:t>
      </w:r>
      <w:r>
        <w:rPr>
          <w:rFonts w:hint="eastAsia"/>
          <w:highlight w:val="none"/>
        </w:rPr>
        <w:t>分，得分率</w:t>
      </w:r>
      <w:r>
        <w:rPr>
          <w:rFonts w:hint="eastAsia" w:ascii="仿宋_GB2312" w:eastAsia="仿宋_GB2312"/>
          <w:highlight w:val="none"/>
          <w:lang w:val="en-US" w:eastAsia="zh-CN"/>
        </w:rPr>
        <w:t>85</w:t>
      </w:r>
      <w:r>
        <w:rPr>
          <w:highlight w:val="none"/>
        </w:rPr>
        <w:t>%</w:t>
      </w:r>
      <w:r>
        <w:rPr>
          <w:rFonts w:hint="eastAsia"/>
          <w:highlight w:val="none"/>
        </w:rPr>
        <w:t>；过程类指标标准分为20分，得分</w:t>
      </w:r>
      <w:r>
        <w:rPr>
          <w:rFonts w:hint="eastAsia" w:ascii="仿宋_GB2312" w:eastAsia="仿宋_GB2312"/>
          <w:highlight w:val="none"/>
          <w:lang w:val="en-US" w:eastAsia="zh-CN"/>
        </w:rPr>
        <w:t>12</w:t>
      </w:r>
      <w:r>
        <w:rPr>
          <w:rFonts w:hint="eastAsia"/>
          <w:highlight w:val="none"/>
        </w:rPr>
        <w:t>分，得分率</w:t>
      </w:r>
      <w:r>
        <w:rPr>
          <w:rFonts w:hint="eastAsia" w:ascii="仿宋_GB2312" w:eastAsia="仿宋_GB2312"/>
          <w:highlight w:val="none"/>
          <w:lang w:val="en-US" w:eastAsia="zh-CN"/>
        </w:rPr>
        <w:t>60</w:t>
      </w:r>
      <w:r>
        <w:rPr>
          <w:highlight w:val="none"/>
        </w:rPr>
        <w:t>%</w:t>
      </w:r>
      <w:r>
        <w:rPr>
          <w:rFonts w:hint="eastAsia"/>
          <w:highlight w:val="none"/>
        </w:rPr>
        <w:t>；产出类指标标准分为30分，得分</w:t>
      </w:r>
      <w:r>
        <w:rPr>
          <w:rFonts w:hint="eastAsia" w:ascii="仿宋_GB2312" w:eastAsia="仿宋_GB2312"/>
          <w:highlight w:val="none"/>
          <w:lang w:val="en-US" w:eastAsia="zh-CN"/>
        </w:rPr>
        <w:t>30</w:t>
      </w:r>
      <w:r>
        <w:rPr>
          <w:rFonts w:hint="eastAsia"/>
          <w:highlight w:val="none"/>
        </w:rPr>
        <w:t>分，得分率</w:t>
      </w:r>
      <w:r>
        <w:rPr>
          <w:rFonts w:hint="eastAsia" w:ascii="仿宋_GB2312" w:eastAsia="仿宋_GB2312"/>
          <w:highlight w:val="none"/>
          <w:lang w:val="en-US" w:eastAsia="zh-CN"/>
        </w:rPr>
        <w:t>100</w:t>
      </w:r>
      <w:r>
        <w:rPr>
          <w:highlight w:val="none"/>
        </w:rPr>
        <w:t>%</w:t>
      </w:r>
      <w:r>
        <w:rPr>
          <w:rFonts w:hint="eastAsia"/>
          <w:highlight w:val="none"/>
        </w:rPr>
        <w:t>；效益类指标标准分为30分，得分为20.</w:t>
      </w:r>
      <w:r>
        <w:rPr>
          <w:rFonts w:hint="eastAsia" w:ascii="仿宋_GB2312" w:eastAsia="仿宋_GB2312"/>
          <w:highlight w:val="none"/>
          <w:lang w:val="en-US" w:eastAsia="zh-CN"/>
        </w:rPr>
        <w:t>69</w:t>
      </w:r>
      <w:r>
        <w:rPr>
          <w:rFonts w:hint="eastAsia"/>
          <w:highlight w:val="none"/>
        </w:rPr>
        <w:t>分，得分率为</w:t>
      </w:r>
      <w:r>
        <w:rPr>
          <w:rFonts w:hint="eastAsia" w:ascii="仿宋_GB2312" w:eastAsia="仿宋_GB2312"/>
          <w:highlight w:val="none"/>
          <w:lang w:val="en-US" w:eastAsia="zh-CN"/>
        </w:rPr>
        <w:t>68.97</w:t>
      </w:r>
      <w:r>
        <w:rPr>
          <w:rFonts w:hint="eastAsia"/>
          <w:highlight w:val="none"/>
        </w:rPr>
        <w:t>%。</w:t>
      </w:r>
    </w:p>
    <w:p>
      <w:pPr>
        <w:spacing w:line="580" w:lineRule="exact"/>
        <w:ind w:firstLine="0" w:firstLineChars="0"/>
        <w:jc w:val="center"/>
        <w:rPr>
          <w:rFonts w:ascii="黑体" w:hAnsi="黑体" w:eastAsia="黑体"/>
          <w:sz w:val="28"/>
          <w:szCs w:val="28"/>
          <w:highlight w:val="none"/>
        </w:rPr>
      </w:pPr>
      <w:r>
        <w:rPr>
          <w:rFonts w:hint="eastAsia" w:ascii="黑体" w:hAnsi="黑体" w:eastAsia="黑体"/>
          <w:sz w:val="24"/>
          <w:szCs w:val="24"/>
          <w:highlight w:val="none"/>
        </w:rPr>
        <w:t>表</w:t>
      </w:r>
      <w:r>
        <w:rPr>
          <w:rFonts w:hint="eastAsia" w:ascii="黑体" w:hAnsi="黑体" w:eastAsia="黑体"/>
          <w:sz w:val="24"/>
          <w:szCs w:val="24"/>
          <w:highlight w:val="none"/>
          <w:lang w:val="en-US" w:eastAsia="zh-CN"/>
        </w:rPr>
        <w:t>1</w:t>
      </w:r>
      <w:r>
        <w:rPr>
          <w:rFonts w:hint="eastAsia" w:ascii="黑体" w:hAnsi="黑体" w:eastAsia="黑体"/>
          <w:sz w:val="24"/>
          <w:szCs w:val="24"/>
          <w:highlight w:val="none"/>
        </w:rPr>
        <w:t xml:space="preserve">.1 </w:t>
      </w:r>
      <w:r>
        <w:rPr>
          <w:rFonts w:hint="eastAsia" w:ascii="黑体" w:hAnsi="黑体" w:eastAsia="黑体"/>
          <w:sz w:val="24"/>
          <w:szCs w:val="24"/>
          <w:highlight w:val="none"/>
          <w:lang w:eastAsia="zh-CN"/>
        </w:rPr>
        <w:t>2022年度枣庄高新区英才计划项目</w:t>
      </w:r>
      <w:r>
        <w:rPr>
          <w:rFonts w:hint="eastAsia" w:ascii="黑体" w:hAnsi="黑体" w:eastAsia="黑体"/>
          <w:sz w:val="24"/>
          <w:szCs w:val="24"/>
          <w:highlight w:val="none"/>
        </w:rPr>
        <w:t>综合得分表</w:t>
      </w:r>
    </w:p>
    <w:tbl>
      <w:tblPr>
        <w:tblStyle w:val="31"/>
        <w:tblW w:w="6677" w:type="dxa"/>
        <w:jc w:val="center"/>
        <w:tblLayout w:type="fixed"/>
        <w:tblCellMar>
          <w:top w:w="0" w:type="dxa"/>
          <w:left w:w="108" w:type="dxa"/>
          <w:bottom w:w="0" w:type="dxa"/>
          <w:right w:w="108" w:type="dxa"/>
        </w:tblCellMar>
      </w:tblPr>
      <w:tblGrid>
        <w:gridCol w:w="1522"/>
        <w:gridCol w:w="1555"/>
        <w:gridCol w:w="1718"/>
        <w:gridCol w:w="1882"/>
      </w:tblGrid>
      <w:tr>
        <w:tblPrEx>
          <w:tblCellMar>
            <w:top w:w="0" w:type="dxa"/>
            <w:left w:w="108" w:type="dxa"/>
            <w:bottom w:w="0" w:type="dxa"/>
            <w:right w:w="108" w:type="dxa"/>
          </w:tblCellMar>
        </w:tblPrEx>
        <w:trPr>
          <w:trHeight w:val="28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一级指标</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标准分</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c>
          <w:tcPr>
            <w:tcW w:w="188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得分率</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决策</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产出</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效益</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96</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68.97</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79.96</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79.96</w:t>
            </w:r>
            <w:r>
              <w:rPr>
                <w:rFonts w:hint="eastAsia" w:ascii="宋体" w:hAnsi="宋体" w:eastAsia="宋体" w:cs="宋体"/>
                <w:color w:val="auto"/>
                <w:sz w:val="21"/>
                <w:szCs w:val="21"/>
                <w:highlight w:val="none"/>
              </w:rPr>
              <w:t>%</w:t>
            </w:r>
          </w:p>
        </w:tc>
      </w:tr>
    </w:tbl>
    <w:p>
      <w:pPr>
        <w:spacing w:line="580" w:lineRule="exact"/>
        <w:ind w:firstLine="605"/>
        <w:outlineLvl w:val="1"/>
        <w:rPr>
          <w:rFonts w:ascii="楷体_GB2312" w:eastAsia="楷体_GB2312"/>
          <w:w w:val="95"/>
          <w:highlight w:val="none"/>
        </w:rPr>
      </w:pPr>
      <w:bookmarkStart w:id="69" w:name="_Toc19088"/>
      <w:bookmarkStart w:id="70" w:name="_Toc1252"/>
      <w:r>
        <w:rPr>
          <w:rFonts w:hint="eastAsia" w:ascii="楷体_GB2312" w:eastAsia="楷体_GB2312"/>
          <w:w w:val="95"/>
          <w:highlight w:val="none"/>
        </w:rPr>
        <w:t>（二）绩效分析</w:t>
      </w:r>
      <w:bookmarkEnd w:id="67"/>
      <w:bookmarkEnd w:id="68"/>
      <w:bookmarkEnd w:id="69"/>
      <w:bookmarkEnd w:id="70"/>
    </w:p>
    <w:p>
      <w:pPr>
        <w:spacing w:line="580" w:lineRule="exact"/>
        <w:ind w:firstLine="640"/>
        <w:rPr>
          <w:highlight w:val="none"/>
        </w:rPr>
      </w:pPr>
      <w:r>
        <w:rPr>
          <w:rFonts w:hint="eastAsia"/>
          <w:highlight w:val="none"/>
        </w:rPr>
        <w:t>1.项目决策指标</w:t>
      </w:r>
    </w:p>
    <w:p>
      <w:pPr>
        <w:spacing w:line="580" w:lineRule="exact"/>
        <w:ind w:firstLine="640"/>
        <w:rPr>
          <w:rFonts w:hint="default"/>
          <w:highlight w:val="none"/>
          <w:lang w:val="en-US" w:eastAsia="zh-CN"/>
        </w:rPr>
      </w:pPr>
      <w:r>
        <w:rPr>
          <w:rFonts w:hint="eastAsia"/>
          <w:highlight w:val="none"/>
          <w:lang w:val="en-US" w:eastAsia="zh-CN"/>
        </w:rPr>
        <w:t>枣庄英才计划</w:t>
      </w:r>
      <w:r>
        <w:rPr>
          <w:rFonts w:hint="eastAsia"/>
          <w:highlight w:val="none"/>
        </w:rPr>
        <w:t>项目</w:t>
      </w:r>
      <w:r>
        <w:rPr>
          <w:rFonts w:hint="eastAsia"/>
          <w:highlight w:val="none"/>
          <w:lang w:val="en-US" w:eastAsia="zh-CN"/>
        </w:rPr>
        <w:t>符合</w:t>
      </w:r>
      <w:r>
        <w:rPr>
          <w:rFonts w:hint="eastAsia"/>
          <w:highlight w:val="none"/>
        </w:rPr>
        <w:t>《关于做好人才支撑新旧动能转换工作的实施意见》（枣发〔2018〕13号）、市委办公室市政府办公室《关于实施枣庄英才集聚工程的意见》（枣办发〔2014〕28号）</w:t>
      </w:r>
      <w:r>
        <w:rPr>
          <w:rFonts w:hint="eastAsia"/>
          <w:highlight w:val="none"/>
          <w:lang w:val="en-US" w:eastAsia="zh-CN"/>
        </w:rPr>
        <w:t>等文件规定。项目按照规定的程序申请设立，审批材料齐全，设立过程符合相关要求。但绩效指标的设置有待细化量化。</w:t>
      </w:r>
    </w:p>
    <w:p>
      <w:pPr>
        <w:spacing w:line="580" w:lineRule="exact"/>
        <w:ind w:firstLine="640"/>
        <w:rPr>
          <w:highlight w:val="none"/>
        </w:rPr>
      </w:pPr>
      <w:r>
        <w:rPr>
          <w:rFonts w:hint="eastAsia"/>
          <w:highlight w:val="none"/>
        </w:rPr>
        <w:t>2.项目过程指标</w:t>
      </w:r>
    </w:p>
    <w:p>
      <w:pPr>
        <w:spacing w:line="580" w:lineRule="exact"/>
        <w:ind w:firstLine="640"/>
        <w:rPr>
          <w:rFonts w:hint="eastAsia"/>
          <w:highlight w:val="none"/>
        </w:rPr>
      </w:pPr>
      <w:r>
        <w:rPr>
          <w:rFonts w:hint="eastAsia"/>
          <w:highlight w:val="none"/>
          <w:lang w:eastAsia="zh-CN"/>
        </w:rPr>
        <w:t>枣庄英才计划项目</w:t>
      </w:r>
      <w:r>
        <w:rPr>
          <w:rFonts w:hint="eastAsia"/>
          <w:highlight w:val="none"/>
          <w:lang w:val="en-US" w:eastAsia="zh-CN"/>
        </w:rPr>
        <w:t>2022</w:t>
      </w:r>
      <w:r>
        <w:rPr>
          <w:rFonts w:hint="eastAsia"/>
          <w:highlight w:val="none"/>
        </w:rPr>
        <w:t>年预算金额</w:t>
      </w:r>
      <w:r>
        <w:rPr>
          <w:rFonts w:hint="eastAsia"/>
          <w:highlight w:val="none"/>
          <w:lang w:val="en-US" w:eastAsia="zh-CN"/>
        </w:rPr>
        <w:t>250</w:t>
      </w:r>
      <w:r>
        <w:rPr>
          <w:rFonts w:hint="eastAsia"/>
          <w:highlight w:val="none"/>
        </w:rPr>
        <w:t>万元，实际到位</w:t>
      </w:r>
      <w:r>
        <w:rPr>
          <w:rFonts w:hint="eastAsia"/>
          <w:highlight w:val="none"/>
          <w:lang w:val="en-US" w:eastAsia="zh-CN"/>
        </w:rPr>
        <w:t>250</w:t>
      </w:r>
      <w:r>
        <w:rPr>
          <w:rFonts w:hint="eastAsia"/>
          <w:highlight w:val="none"/>
        </w:rPr>
        <w:t>万元，</w:t>
      </w:r>
      <w:r>
        <w:rPr>
          <w:rFonts w:hint="eastAsia"/>
          <w:highlight w:val="none"/>
          <w:lang w:val="en-US" w:eastAsia="zh-CN"/>
        </w:rPr>
        <w:t>但根据</w:t>
      </w:r>
      <w:r>
        <w:rPr>
          <w:rFonts w:hint="eastAsia"/>
          <w:highlight w:val="none"/>
        </w:rPr>
        <w:t>《关于实施枣庄英才集聚工程的意见》（枣办发〔2014〕28号）</w:t>
      </w:r>
      <w:r>
        <w:rPr>
          <w:rFonts w:hint="eastAsia"/>
          <w:highlight w:val="none"/>
          <w:lang w:val="en-US" w:eastAsia="zh-CN"/>
        </w:rPr>
        <w:t>和英才工作合同规定，2022年度实际应拨付项目资金的50%，即125万元，作为项目启动资金。因此</w:t>
      </w:r>
      <w:r>
        <w:rPr>
          <w:rFonts w:hint="eastAsia"/>
          <w:highlight w:val="none"/>
        </w:rPr>
        <w:t>，</w:t>
      </w:r>
      <w:r>
        <w:rPr>
          <w:rFonts w:hint="eastAsia"/>
          <w:highlight w:val="none"/>
          <w:lang w:val="en-US" w:eastAsia="zh-CN"/>
        </w:rPr>
        <w:t>预算编制与实际工作任务不匹配。</w:t>
      </w:r>
      <w:r>
        <w:rPr>
          <w:rFonts w:hint="eastAsia"/>
          <w:highlight w:val="none"/>
        </w:rPr>
        <w:t>枣庄八度阳光新能源科技有限公</w:t>
      </w:r>
      <w:r>
        <w:rPr>
          <w:rFonts w:hint="eastAsia"/>
          <w:highlight w:val="none"/>
        </w:rPr>
        <w:t>司</w:t>
      </w:r>
      <w:r>
        <w:rPr>
          <w:rFonts w:hint="eastAsia"/>
          <w:highlight w:val="none"/>
          <w:lang w:val="en-US" w:eastAsia="zh-CN"/>
        </w:rPr>
        <w:t>未按照合同规定将资金用于</w:t>
      </w:r>
      <w:r>
        <w:rPr>
          <w:rFonts w:hint="eastAsia"/>
          <w:highlight w:val="none"/>
        </w:rPr>
        <w:t>500kw分布式智慧能源光伏发电项目</w:t>
      </w:r>
      <w:r>
        <w:rPr>
          <w:rFonts w:hint="eastAsia"/>
          <w:highlight w:val="none"/>
          <w:lang w:val="en-US" w:eastAsia="zh-CN"/>
        </w:rPr>
        <w:t>的建设</w:t>
      </w:r>
      <w:r>
        <w:rPr>
          <w:rFonts w:hint="eastAsia"/>
          <w:highlight w:val="none"/>
        </w:rPr>
        <w:t>，该项目未按进度落地，</w:t>
      </w:r>
      <w:r>
        <w:rPr>
          <w:rFonts w:hint="eastAsia"/>
          <w:highlight w:val="none"/>
        </w:rPr>
        <w:t>资金使用</w:t>
      </w:r>
      <w:r>
        <w:rPr>
          <w:rFonts w:hint="eastAsia"/>
          <w:highlight w:val="none"/>
          <w:lang w:val="en-US" w:eastAsia="zh-CN"/>
        </w:rPr>
        <w:t>不</w:t>
      </w:r>
      <w:r>
        <w:rPr>
          <w:rFonts w:hint="eastAsia"/>
          <w:highlight w:val="none"/>
        </w:rPr>
        <w:t>合规。</w:t>
      </w:r>
    </w:p>
    <w:p>
      <w:pPr>
        <w:spacing w:line="580" w:lineRule="exact"/>
        <w:ind w:firstLine="640"/>
        <w:rPr>
          <w:highlight w:val="none"/>
        </w:rPr>
      </w:pPr>
      <w:r>
        <w:rPr>
          <w:rFonts w:hint="eastAsia"/>
          <w:highlight w:val="none"/>
        </w:rPr>
        <w:t>3.项目产出指标</w:t>
      </w:r>
    </w:p>
    <w:p>
      <w:pPr>
        <w:spacing w:line="580" w:lineRule="exact"/>
        <w:ind w:firstLine="640"/>
        <w:rPr>
          <w:rFonts w:hint="default"/>
          <w:highlight w:val="none"/>
          <w:lang w:val="en-US" w:eastAsia="zh-CN"/>
        </w:rPr>
      </w:pPr>
      <w:r>
        <w:rPr>
          <w:rFonts w:hint="eastAsia"/>
          <w:highlight w:val="none"/>
        </w:rPr>
        <w:t>产出数量方面，</w:t>
      </w:r>
      <w:r>
        <w:rPr>
          <w:rFonts w:hint="eastAsia"/>
          <w:highlight w:val="none"/>
          <w:lang w:val="en-US" w:eastAsia="zh-CN"/>
        </w:rPr>
        <w:t>已完成</w:t>
      </w:r>
      <w:r>
        <w:rPr>
          <w:rFonts w:hint="eastAsia"/>
          <w:highlight w:val="none"/>
        </w:rPr>
        <w:t>枣庄英才奖补科技创业类企业数量</w:t>
      </w:r>
      <w:r>
        <w:rPr>
          <w:rFonts w:hint="eastAsia"/>
          <w:highlight w:val="none"/>
          <w:lang w:val="en-US" w:eastAsia="zh-CN"/>
        </w:rPr>
        <w:t>1个</w:t>
      </w:r>
      <w:r>
        <w:rPr>
          <w:rFonts w:hint="eastAsia"/>
          <w:highlight w:val="none"/>
        </w:rPr>
        <w:t>、</w:t>
      </w:r>
      <w:r>
        <w:rPr>
          <w:rFonts w:hint="eastAsia"/>
          <w:highlight w:val="none"/>
          <w:lang w:val="en-US" w:eastAsia="zh-CN"/>
        </w:rPr>
        <w:t>枣庄英才奖补产业创新类企业数量2个</w:t>
      </w:r>
      <w:r>
        <w:rPr>
          <w:rFonts w:hint="eastAsia"/>
          <w:highlight w:val="none"/>
        </w:rPr>
        <w:t>。</w:t>
      </w:r>
      <w:r>
        <w:rPr>
          <w:rFonts w:hint="eastAsia"/>
          <w:highlight w:val="none"/>
          <w:lang w:val="en-US" w:eastAsia="zh-CN"/>
        </w:rPr>
        <w:t>并且拨付及时。获奖补的企业资质合格，申报材料齐全且达标</w:t>
      </w:r>
      <w:r>
        <w:rPr>
          <w:rFonts w:hint="eastAsia"/>
          <w:highlight w:val="none"/>
        </w:rPr>
        <w:t>，</w:t>
      </w:r>
      <w:r>
        <w:rPr>
          <w:rFonts w:hint="eastAsia"/>
          <w:highlight w:val="none"/>
          <w:lang w:val="en-US" w:eastAsia="zh-CN"/>
        </w:rPr>
        <w:t>但2022年应只支付项目启动资金，实际支付全部资金，资金拨付的准确性有待提高。</w:t>
      </w:r>
    </w:p>
    <w:p>
      <w:pPr>
        <w:spacing w:line="580" w:lineRule="exact"/>
        <w:ind w:firstLine="640"/>
        <w:rPr>
          <w:highlight w:val="none"/>
        </w:rPr>
      </w:pPr>
      <w:r>
        <w:rPr>
          <w:rFonts w:hint="eastAsia"/>
          <w:highlight w:val="none"/>
        </w:rPr>
        <w:t>4.项目效益指标</w:t>
      </w:r>
    </w:p>
    <w:p>
      <w:pPr>
        <w:spacing w:line="640" w:lineRule="exact"/>
        <w:ind w:firstLine="640"/>
        <w:outlineLvl w:val="0"/>
        <w:rPr>
          <w:rFonts w:hint="default"/>
          <w:highlight w:val="none"/>
          <w:lang w:val="en-US" w:eastAsia="zh-CN"/>
        </w:rPr>
      </w:pPr>
      <w:bookmarkStart w:id="71" w:name="_Toc28962"/>
      <w:bookmarkStart w:id="72" w:name="_Toc2760"/>
      <w:bookmarkStart w:id="73" w:name="_Toc6934"/>
      <w:bookmarkStart w:id="74" w:name="_Toc120282115"/>
      <w:bookmarkStart w:id="75" w:name="_Toc30067"/>
      <w:bookmarkStart w:id="76" w:name="_Toc120281537"/>
      <w:r>
        <w:rPr>
          <w:rFonts w:hint="eastAsia"/>
          <w:highlight w:val="none"/>
          <w:lang w:eastAsia="zh-CN"/>
        </w:rPr>
        <w:t>山东当康文化传播有限公司项目已按计划落地。依托其自主研发的大数据系统，搭建图书全链条循环利用体系。山东天瀚新能源科技有限公司项目已按计划落地。完成关键性材料的开发及磷酸锰铁锂复合正极电池样品的研发并完成相关性能测试。枣庄八度阳光新能源科技有限公司项目未按计划落地。未完成建设500kw分布式智慧能源光伏发电项目的目标。</w:t>
      </w:r>
      <w:r>
        <w:rPr>
          <w:rFonts w:hint="eastAsia"/>
          <w:highlight w:val="none"/>
          <w:lang w:val="en-US" w:eastAsia="zh-CN"/>
        </w:rPr>
        <w:t>专利申请数量三家企业均完成年度目标。</w:t>
      </w:r>
      <w:bookmarkEnd w:id="71"/>
      <w:bookmarkEnd w:id="72"/>
      <w:bookmarkEnd w:id="73"/>
    </w:p>
    <w:p>
      <w:pPr>
        <w:numPr>
          <w:ilvl w:val="0"/>
          <w:numId w:val="1"/>
        </w:numPr>
        <w:spacing w:line="640" w:lineRule="exact"/>
        <w:ind w:firstLine="640"/>
        <w:outlineLvl w:val="0"/>
        <w:rPr>
          <w:rFonts w:hint="eastAsia" w:ascii="黑体" w:hAnsi="黑体" w:eastAsia="黑体"/>
          <w:highlight w:val="none"/>
        </w:rPr>
      </w:pPr>
      <w:bookmarkStart w:id="77" w:name="_Toc683"/>
      <w:bookmarkStart w:id="78" w:name="_Toc11225"/>
      <w:bookmarkStart w:id="79" w:name="_Toc4353"/>
      <w:r>
        <w:rPr>
          <w:rFonts w:hint="eastAsia" w:ascii="黑体" w:hAnsi="黑体" w:eastAsia="黑体"/>
          <w:highlight w:val="none"/>
        </w:rPr>
        <w:t>存在的问题及原因分析</w:t>
      </w:r>
      <w:bookmarkEnd w:id="74"/>
      <w:bookmarkEnd w:id="75"/>
      <w:bookmarkEnd w:id="76"/>
      <w:bookmarkEnd w:id="77"/>
      <w:bookmarkEnd w:id="78"/>
      <w:bookmarkEnd w:id="79"/>
      <w:bookmarkStart w:id="80" w:name="_Toc29778"/>
    </w:p>
    <w:p>
      <w:pPr>
        <w:pStyle w:val="8"/>
        <w:spacing w:line="580" w:lineRule="exact"/>
        <w:rPr>
          <w:rFonts w:hint="eastAsia"/>
          <w:highlight w:val="none"/>
          <w:lang w:val="en-US" w:eastAsia="zh-CN"/>
        </w:rPr>
      </w:pPr>
      <w:bookmarkStart w:id="81" w:name="_Toc6793"/>
      <w:bookmarkStart w:id="82" w:name="_Toc9026"/>
      <w:r>
        <w:rPr>
          <w:rFonts w:hint="eastAsia"/>
          <w:highlight w:val="none"/>
        </w:rPr>
        <w:t>（一）</w:t>
      </w:r>
      <w:r>
        <w:rPr>
          <w:rFonts w:hint="eastAsia"/>
          <w:highlight w:val="none"/>
          <w:lang w:val="en-US" w:eastAsia="zh-CN"/>
        </w:rPr>
        <w:t>2022年应支付项目资金的50%作为项目启动资金，但已提前支付全部项目资金，不符合英才工作合同和政策规定</w:t>
      </w:r>
      <w:bookmarkEnd w:id="81"/>
      <w:bookmarkEnd w:id="82"/>
    </w:p>
    <w:p>
      <w:pPr>
        <w:pStyle w:val="8"/>
        <w:spacing w:line="580" w:lineRule="exact"/>
        <w:ind w:firstLine="605"/>
        <w:rPr>
          <w:rFonts w:hint="eastAsia"/>
          <w:highlight w:val="none"/>
        </w:rPr>
      </w:pPr>
      <w:bookmarkStart w:id="83" w:name="_Toc15795"/>
      <w:bookmarkStart w:id="84" w:name="_Toc28125"/>
      <w:r>
        <w:rPr>
          <w:rFonts w:hint="eastAsia"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t>通过现场调研及查阅资料，项目的管理期为3年，即自2022年1月1日至2024年12月31日。根据英才工作合同和《关于实施枣庄英才集聚工程的意见》（枣办发〔2014〕28号），2022年应先支付全部资金的50%作为项目启动资金，管理期期满验收后支付后50%作为绩效奖励资金。但通过查看党群工作部支出凭证和三家企业的英才项目资金到账凭证，2022年8月份，已一次性拨付项目全部资金250万元，资金提前支付，不符合合同和政策规定。</w:t>
      </w:r>
      <w:bookmarkEnd w:id="83"/>
      <w:bookmarkEnd w:id="84"/>
    </w:p>
    <w:p>
      <w:pPr>
        <w:pStyle w:val="8"/>
        <w:spacing w:line="580" w:lineRule="exact"/>
        <w:ind w:firstLine="605"/>
        <w:rPr>
          <w:rFonts w:hint="default" w:eastAsia="楷体_GB2312"/>
          <w:highlight w:val="none"/>
          <w:lang w:val="en-US" w:eastAsia="zh-CN"/>
        </w:rPr>
      </w:pPr>
      <w:bookmarkStart w:id="85" w:name="_Toc25444"/>
      <w:bookmarkStart w:id="86" w:name="_Toc12727"/>
      <w:r>
        <w:rPr>
          <w:rFonts w:hint="eastAsia"/>
          <w:highlight w:val="none"/>
        </w:rPr>
        <w:t>（</w:t>
      </w:r>
      <w:r>
        <w:rPr>
          <w:rFonts w:hint="eastAsia"/>
          <w:highlight w:val="none"/>
          <w:lang w:val="en-US" w:eastAsia="zh-CN"/>
        </w:rPr>
        <w:t>二</w:t>
      </w:r>
      <w:r>
        <w:rPr>
          <w:rFonts w:hint="eastAsia"/>
          <w:highlight w:val="none"/>
        </w:rPr>
        <w:t>）</w:t>
      </w:r>
      <w:r>
        <w:rPr>
          <w:rFonts w:hint="eastAsia"/>
          <w:highlight w:val="none"/>
          <w:lang w:val="en-US" w:eastAsia="zh-CN"/>
        </w:rPr>
        <w:t>项目财权与事权不匹配，影响组织运作效率</w:t>
      </w:r>
      <w:bookmarkEnd w:id="80"/>
      <w:bookmarkEnd w:id="85"/>
      <w:bookmarkEnd w:id="86"/>
    </w:p>
    <w:p>
      <w:pPr>
        <w:spacing w:line="580" w:lineRule="exact"/>
        <w:ind w:firstLine="640"/>
        <w:rPr>
          <w:highlight w:val="none"/>
        </w:rPr>
      </w:pPr>
      <w:r>
        <w:rPr>
          <w:rFonts w:hint="eastAsia"/>
          <w:highlight w:val="none"/>
          <w:lang w:val="en-US" w:eastAsia="zh-CN"/>
        </w:rPr>
        <w:t>通过现场调研，枣庄英才计划项目的财权属于枣庄高新区党群工作部，事权属于高新区科技局。即科技局负责该项目的具体实施，包括对符合条件的人选和企业申报部署、申报推荐、形式审查、组织评审、综合论证、公示和研究审定，也负责对枣庄英才项目实施的日常管理、中期评估和期满验收工作。研究审定后的获奖补企业数量再汇报到党群工作部，由其负责对该项目进行预算资金的申请和拨付，这个过程往往是跨年度的，因此影响组织</w:t>
      </w:r>
      <w:r>
        <w:rPr>
          <w:rFonts w:hint="eastAsia"/>
          <w:highlight w:val="none"/>
        </w:rPr>
        <w:t>的</w:t>
      </w:r>
      <w:r>
        <w:rPr>
          <w:rFonts w:hint="eastAsia"/>
          <w:highlight w:val="none"/>
          <w:lang w:val="en-US" w:eastAsia="zh-CN"/>
        </w:rPr>
        <w:t>运作效率</w:t>
      </w:r>
      <w:r>
        <w:rPr>
          <w:rFonts w:hint="eastAsia"/>
          <w:highlight w:val="none"/>
        </w:rPr>
        <w:t>，</w:t>
      </w:r>
      <w:r>
        <w:rPr>
          <w:rFonts w:hint="eastAsia"/>
          <w:highlight w:val="none"/>
          <w:lang w:val="en-US" w:eastAsia="zh-CN"/>
        </w:rPr>
        <w:t>也不利于枣庄英才计划项目的日常管理</w:t>
      </w:r>
      <w:r>
        <w:rPr>
          <w:rFonts w:hint="eastAsia"/>
          <w:highlight w:val="none"/>
        </w:rPr>
        <w:t>。</w:t>
      </w:r>
    </w:p>
    <w:p>
      <w:pPr>
        <w:pStyle w:val="8"/>
        <w:spacing w:line="580" w:lineRule="exact"/>
        <w:ind w:firstLine="605"/>
        <w:rPr>
          <w:rFonts w:hint="default" w:eastAsia="楷体_GB2312"/>
          <w:highlight w:val="none"/>
          <w:lang w:val="en-US" w:eastAsia="zh-CN"/>
        </w:rPr>
      </w:pPr>
      <w:bookmarkStart w:id="87" w:name="_Toc9309"/>
      <w:bookmarkStart w:id="88" w:name="_Toc6303"/>
      <w:bookmarkStart w:id="89" w:name="_Toc6519"/>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枣庄英才项目按合同进度落地情况较差，该项目的</w:t>
      </w:r>
      <w:bookmarkEnd w:id="87"/>
      <w:r>
        <w:rPr>
          <w:rFonts w:hint="eastAsia"/>
          <w:highlight w:val="none"/>
          <w:lang w:val="en-US" w:eastAsia="zh-CN"/>
        </w:rPr>
        <w:t>动态监管制度缺失</w:t>
      </w:r>
      <w:bookmarkEnd w:id="88"/>
      <w:bookmarkEnd w:id="89"/>
    </w:p>
    <w:p>
      <w:pPr>
        <w:pStyle w:val="5"/>
        <w:ind w:left="0" w:leftChars="0" w:firstLine="640" w:firstLineChars="200"/>
        <w:rPr>
          <w:rFonts w:hint="default"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highlight w:val="none"/>
        </w:rPr>
        <w:t>根据现场调研及查阅相关资料</w:t>
      </w:r>
      <w:r>
        <w:rPr>
          <w:rFonts w:hint="eastAsia"/>
          <w:highlight w:val="none"/>
          <w:lang w:eastAsia="zh-CN"/>
        </w:rPr>
        <w:t>，</w:t>
      </w:r>
      <w:r>
        <w:rPr>
          <w:rFonts w:hint="eastAsia"/>
          <w:highlight w:val="none"/>
          <w:lang w:val="en-US" w:eastAsia="zh-CN"/>
        </w:rPr>
        <w:t>获奖补企业之一</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w:t>
      </w:r>
      <w:r>
        <w:rPr>
          <w:rFonts w:hint="eastAsia" w:cs="仿宋_GB2312"/>
          <w:color w:val="000000" w:themeColor="text1"/>
          <w:sz w:val="32"/>
          <w:szCs w:val="32"/>
          <w:highlight w:val="none"/>
          <w:lang w:val="en-US" w:eastAsia="zh-CN" w:bidi="ar-SA"/>
          <w14:textFill>
            <w14:solidFill>
              <w14:schemeClr w14:val="tx1"/>
            </w14:solidFill>
          </w14:textFill>
        </w:rPr>
        <w:t>，合同签订</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项目未按计划落地</w:t>
      </w:r>
      <w:r>
        <w:rPr>
          <w:rFonts w:hint="eastAsia" w:cs="仿宋_GB2312"/>
          <w:color w:val="000000" w:themeColor="text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未完成建设500kw分布式智慧能源光伏发电项目的</w:t>
      </w:r>
      <w:r>
        <w:rPr>
          <w:rFonts w:hint="eastAsia" w:cs="仿宋_GB2312"/>
          <w:color w:val="000000" w:themeColor="text1"/>
          <w:sz w:val="32"/>
          <w:szCs w:val="32"/>
          <w:highlight w:val="none"/>
          <w:lang w:val="en-US" w:eastAsia="zh-CN" w:bidi="ar-SA"/>
          <w14:textFill>
            <w14:solidFill>
              <w14:schemeClr w14:val="tx1"/>
            </w14:solidFill>
          </w14:textFill>
        </w:rPr>
        <w:t>2022年度</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目标</w:t>
      </w:r>
      <w:r>
        <w:rPr>
          <w:rFonts w:hint="eastAsia" w:cs="仿宋_GB2312"/>
          <w:color w:val="000000" w:themeColor="text1"/>
          <w:sz w:val="32"/>
          <w:szCs w:val="32"/>
          <w:highlight w:val="none"/>
          <w:lang w:val="en-US" w:eastAsia="zh-CN" w:bidi="ar-SA"/>
          <w14:textFill>
            <w14:solidFill>
              <w14:schemeClr w14:val="tx1"/>
            </w14:solidFill>
          </w14:textFill>
        </w:rPr>
        <w:t>，未实现节约国家电网资源，降低能耗支出等效益，且该公司全体职工在项目评价期间已不在枣庄市高新区公司。主管部门未具体落实</w:t>
      </w:r>
      <w:r>
        <w:rPr>
          <w:rFonts w:hint="eastAsia"/>
          <w:highlight w:val="none"/>
        </w:rPr>
        <w:t>《关于实施枣庄英才集聚工程的意见》（枣办发〔2014〕28号）</w:t>
      </w:r>
      <w:r>
        <w:rPr>
          <w:rFonts w:hint="eastAsia"/>
          <w:highlight w:val="none"/>
          <w:lang w:val="en-US" w:eastAsia="zh-CN"/>
        </w:rPr>
        <w:t>要求，未设置具体动态监管制度，</w:t>
      </w:r>
      <w:r>
        <w:rPr>
          <w:rFonts w:hint="eastAsia" w:cs="仿宋_GB2312"/>
          <w:color w:val="000000" w:themeColor="text1"/>
          <w:sz w:val="32"/>
          <w:szCs w:val="32"/>
          <w:highlight w:val="none"/>
          <w:lang w:val="en-US" w:eastAsia="zh-CN" w:bidi="ar-SA"/>
          <w14:textFill>
            <w14:solidFill>
              <w14:schemeClr w14:val="tx1"/>
            </w14:solidFill>
          </w14:textFill>
        </w:rPr>
        <w:t>对该项目的监管力度有待加强，抽查监督和动态监测水平有待提高。</w:t>
      </w:r>
    </w:p>
    <w:p>
      <w:pPr>
        <w:pStyle w:val="8"/>
        <w:spacing w:line="580" w:lineRule="exact"/>
        <w:ind w:firstLine="605"/>
        <w:rPr>
          <w:rFonts w:hint="default" w:eastAsia="楷体_GB2312"/>
          <w:highlight w:val="none"/>
          <w:lang w:val="en-US" w:eastAsia="zh-CN"/>
        </w:rPr>
      </w:pPr>
      <w:bookmarkStart w:id="90" w:name="_Toc4710"/>
      <w:bookmarkStart w:id="91" w:name="_Toc17337"/>
      <w:bookmarkStart w:id="92" w:name="_Toc13363"/>
      <w:r>
        <w:rPr>
          <w:rFonts w:hint="eastAsia"/>
          <w:highlight w:val="none"/>
        </w:rPr>
        <w:t>（</w:t>
      </w:r>
      <w:r>
        <w:rPr>
          <w:rFonts w:hint="eastAsia"/>
          <w:highlight w:val="none"/>
          <w:lang w:val="en-US" w:eastAsia="zh-CN"/>
        </w:rPr>
        <w:t>四</w:t>
      </w:r>
      <w:r>
        <w:rPr>
          <w:rFonts w:hint="eastAsia"/>
          <w:highlight w:val="none"/>
        </w:rPr>
        <w:t>）项目</w:t>
      </w:r>
      <w:r>
        <w:rPr>
          <w:rFonts w:hint="eastAsia"/>
          <w:highlight w:val="none"/>
          <w:lang w:val="en-US" w:eastAsia="zh-CN"/>
        </w:rPr>
        <w:t>审核流程资料丢</w:t>
      </w:r>
      <w:r>
        <w:rPr>
          <w:rFonts w:hint="eastAsia"/>
          <w:highlight w:val="none"/>
          <w:lang w:val="en-US" w:eastAsia="zh-CN"/>
        </w:rPr>
        <w:t>失，档案管理工作不规范，档案管理意识有待加强</w:t>
      </w:r>
      <w:bookmarkEnd w:id="90"/>
      <w:bookmarkEnd w:id="91"/>
      <w:bookmarkEnd w:id="92"/>
    </w:p>
    <w:p>
      <w:pPr>
        <w:spacing w:line="580" w:lineRule="exact"/>
        <w:ind w:firstLine="640"/>
        <w:rPr>
          <w:rFonts w:hint="eastAsia" w:eastAsia="仿宋_GB2312"/>
          <w:highlight w:val="none"/>
          <w:lang w:eastAsia="zh-CN"/>
        </w:rPr>
      </w:pPr>
      <w:r>
        <w:rPr>
          <w:rFonts w:hint="eastAsia"/>
          <w:highlight w:val="none"/>
        </w:rPr>
        <w:t>根据现场调研及查阅相关资料，</w:t>
      </w:r>
      <w:r>
        <w:rPr>
          <w:rFonts w:hint="eastAsia"/>
          <w:highlight w:val="none"/>
          <w:lang w:val="en-US" w:eastAsia="zh-CN"/>
        </w:rPr>
        <w:t>主管部门前期需要对枣庄英才集聚工程申报企业进行审核，主要核查其在系统填报申报资料， 包括申报人选情况、申报人选主要学术成就、创办企业基本情况、地方（指所在园区、设区的市、县（市、区）或主管部门）对创业企业和科技创业领军人才提供支持和服务情况、相关证明材料等。但</w:t>
      </w:r>
      <w:r>
        <w:rPr>
          <w:rFonts w:hint="eastAsia"/>
          <w:highlight w:val="none"/>
        </w:rPr>
        <w:t>由于更换系统，</w:t>
      </w:r>
      <w:r>
        <w:rPr>
          <w:rFonts w:hint="eastAsia"/>
          <w:highlight w:val="none"/>
          <w:lang w:val="en-US" w:eastAsia="zh-CN"/>
        </w:rPr>
        <w:t>主管部门对该项目部门审核资料未及时归档，造成</w:t>
      </w:r>
      <w:r>
        <w:rPr>
          <w:rFonts w:hint="eastAsia"/>
          <w:highlight w:val="none"/>
        </w:rPr>
        <w:t>审核资料</w:t>
      </w:r>
      <w:r>
        <w:rPr>
          <w:rFonts w:hint="eastAsia"/>
          <w:highlight w:val="none"/>
          <w:lang w:val="en-US" w:eastAsia="zh-CN"/>
        </w:rPr>
        <w:t>的缺</w:t>
      </w:r>
      <w:r>
        <w:rPr>
          <w:rFonts w:hint="eastAsia"/>
          <w:highlight w:val="none"/>
        </w:rPr>
        <w:t>失，无法体现其审核流程。档案管理工作不规范，</w:t>
      </w:r>
      <w:r>
        <w:rPr>
          <w:rFonts w:hint="eastAsia"/>
          <w:highlight w:val="none"/>
          <w:lang w:val="en-US" w:eastAsia="zh-CN"/>
        </w:rPr>
        <w:t>主管部门</w:t>
      </w:r>
      <w:r>
        <w:rPr>
          <w:rFonts w:hint="eastAsia"/>
          <w:highlight w:val="none"/>
        </w:rPr>
        <w:t>档案管理意识有待加强</w:t>
      </w:r>
      <w:r>
        <w:rPr>
          <w:rFonts w:hint="eastAsia"/>
          <w:highlight w:val="none"/>
          <w:lang w:eastAsia="zh-CN"/>
        </w:rPr>
        <w:t>。</w:t>
      </w:r>
    </w:p>
    <w:p>
      <w:pPr>
        <w:pStyle w:val="7"/>
        <w:spacing w:line="640" w:lineRule="exact"/>
        <w:ind w:firstLine="605"/>
        <w:rPr>
          <w:highlight w:val="none"/>
        </w:rPr>
      </w:pPr>
      <w:bookmarkStart w:id="93" w:name="_Toc22969"/>
      <w:bookmarkStart w:id="94" w:name="_Toc31102"/>
      <w:bookmarkStart w:id="95" w:name="_Toc26169"/>
      <w:r>
        <w:rPr>
          <w:rFonts w:hint="eastAsia"/>
          <w:highlight w:val="none"/>
          <w:lang w:val="en-US" w:eastAsia="zh-CN"/>
        </w:rPr>
        <w:t>六</w:t>
      </w:r>
      <w:r>
        <w:rPr>
          <w:rFonts w:hint="eastAsia"/>
          <w:highlight w:val="none"/>
        </w:rPr>
        <w:t>、意见建议</w:t>
      </w:r>
      <w:bookmarkEnd w:id="93"/>
      <w:bookmarkEnd w:id="94"/>
      <w:bookmarkEnd w:id="95"/>
    </w:p>
    <w:p>
      <w:pPr>
        <w:pStyle w:val="8"/>
        <w:spacing w:line="580" w:lineRule="exact"/>
        <w:ind w:firstLine="605"/>
        <w:rPr>
          <w:rFonts w:hint="default"/>
          <w:highlight w:val="none"/>
          <w:lang w:val="en-US" w:eastAsia="zh-CN"/>
        </w:rPr>
      </w:pPr>
      <w:bookmarkStart w:id="96" w:name="_Toc1720"/>
      <w:bookmarkStart w:id="97" w:name="_Toc10968"/>
      <w:bookmarkStart w:id="98" w:name="_Toc1958"/>
      <w:r>
        <w:rPr>
          <w:rFonts w:hint="eastAsia"/>
          <w:highlight w:val="none"/>
        </w:rPr>
        <w:t>（一）</w:t>
      </w:r>
      <w:r>
        <w:rPr>
          <w:rFonts w:hint="eastAsia"/>
          <w:highlight w:val="none"/>
          <w:lang w:val="en-US" w:eastAsia="zh-CN"/>
        </w:rPr>
        <w:t>加强资金支付管理，并且在后续工作中严格执行，避免发生超前支付</w:t>
      </w:r>
      <w:bookmarkEnd w:id="96"/>
      <w:r>
        <w:rPr>
          <w:rFonts w:hint="eastAsia"/>
          <w:highlight w:val="none"/>
          <w:lang w:val="en-US" w:eastAsia="zh-CN"/>
        </w:rPr>
        <w:t>的情况</w:t>
      </w:r>
      <w:bookmarkEnd w:id="97"/>
    </w:p>
    <w:p>
      <w:pPr>
        <w:pStyle w:val="8"/>
        <w:spacing w:line="580" w:lineRule="exact"/>
        <w:ind w:firstLine="605"/>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pPr>
      <w:bookmarkStart w:id="99" w:name="_Toc6189"/>
      <w:bookmarkStart w:id="100" w:name="_Toc18893"/>
      <w:r>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t>建议项目主管部门与获奖补企业及财政金融局就该问题召开专题协商会，明确下一步解决思路。且后续主管部门应加强项目资金支付管理，应严格按照《关于实施枣庄英才集聚工程的意见》（枣办发〔2014〕28号）和枣庄英才工作合同落实资金拨付进度，避免资金超前支付。</w:t>
      </w:r>
      <w:bookmarkEnd w:id="99"/>
      <w:bookmarkEnd w:id="100"/>
    </w:p>
    <w:p>
      <w:pPr>
        <w:pStyle w:val="8"/>
        <w:spacing w:line="580" w:lineRule="exact"/>
        <w:ind w:firstLine="605"/>
        <w:rPr>
          <w:rFonts w:hint="default" w:eastAsia="楷体_GB2312"/>
          <w:highlight w:val="none"/>
          <w:lang w:val="en-US" w:eastAsia="zh-CN"/>
        </w:rPr>
      </w:pPr>
      <w:bookmarkStart w:id="101" w:name="_Toc1810"/>
      <w:bookmarkStart w:id="102" w:name="_Toc4838"/>
      <w:r>
        <w:rPr>
          <w:rFonts w:hint="eastAsia"/>
          <w:highlight w:val="none"/>
        </w:rPr>
        <w:t>（</w:t>
      </w:r>
      <w:r>
        <w:rPr>
          <w:rFonts w:hint="eastAsia"/>
          <w:highlight w:val="none"/>
          <w:lang w:val="en-US" w:eastAsia="zh-CN"/>
        </w:rPr>
        <w:t>二</w:t>
      </w:r>
      <w:r>
        <w:rPr>
          <w:rFonts w:hint="eastAsia"/>
          <w:highlight w:val="none"/>
        </w:rPr>
        <w:t>）</w:t>
      </w:r>
      <w:r>
        <w:rPr>
          <w:rFonts w:hint="eastAsia"/>
          <w:highlight w:val="none"/>
          <w:lang w:val="en-US" w:eastAsia="zh-CN"/>
        </w:rPr>
        <w:t>增强财权和事权的匹配性，减少矛盾与分歧，提高组织运行效率</w:t>
      </w:r>
      <w:bookmarkEnd w:id="98"/>
      <w:bookmarkEnd w:id="101"/>
      <w:bookmarkEnd w:id="102"/>
    </w:p>
    <w:p>
      <w:pPr>
        <w:spacing w:line="580" w:lineRule="exact"/>
        <w:ind w:firstLine="640"/>
        <w:rPr>
          <w:rFonts w:hint="default"/>
          <w:highlight w:val="none"/>
          <w:lang w:val="en-US"/>
        </w:rPr>
      </w:pPr>
      <w:r>
        <w:rPr>
          <w:rFonts w:hint="eastAsia" w:hAnsi="Times New Roman" w:cs="Times New Roman"/>
          <w:kern w:val="2"/>
          <w:highlight w:val="none"/>
        </w:rPr>
        <w:t>建议</w:t>
      </w:r>
      <w:r>
        <w:rPr>
          <w:rFonts w:hint="eastAsia" w:hAnsi="Times New Roman" w:cs="Times New Roman"/>
          <w:kern w:val="2"/>
          <w:highlight w:val="none"/>
          <w:lang w:val="en-US" w:eastAsia="zh-CN"/>
        </w:rPr>
        <w:t>相关部门统一该项目的财权与事权，项目的实际管理部门和财政资金的预算编制部门一致，不仅可以减少部门间的矛盾与分歧，也可以避免部门间互相推诿现象的发生，从而提高组织运行效率，项目的实施过程更加完善，日常管理更加健全。</w:t>
      </w:r>
    </w:p>
    <w:p>
      <w:pPr>
        <w:pStyle w:val="8"/>
        <w:spacing w:line="580" w:lineRule="exact"/>
        <w:ind w:firstLine="605"/>
        <w:rPr>
          <w:rFonts w:hint="default" w:eastAsia="楷体_GB2312"/>
          <w:highlight w:val="none"/>
          <w:lang w:val="en-US" w:eastAsia="zh-CN"/>
        </w:rPr>
      </w:pPr>
      <w:bookmarkStart w:id="103" w:name="_Toc10397"/>
      <w:bookmarkStart w:id="104" w:name="_Toc9351"/>
      <w:bookmarkStart w:id="105" w:name="_Toc28385"/>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建立项目跟踪监督制度，强化日产管理，实行动态管理</w:t>
      </w:r>
      <w:bookmarkEnd w:id="103"/>
      <w:bookmarkEnd w:id="104"/>
      <w:bookmarkEnd w:id="105"/>
    </w:p>
    <w:p>
      <w:pPr>
        <w:spacing w:line="580" w:lineRule="exact"/>
        <w:ind w:firstLine="640"/>
        <w:rPr>
          <w:rFonts w:hint="eastAsia" w:eastAsia="仿宋_GB2312"/>
          <w:highlight w:val="none"/>
          <w:lang w:eastAsia="zh-CN"/>
        </w:rPr>
      </w:pPr>
      <w:r>
        <w:rPr>
          <w:rFonts w:hint="eastAsia"/>
          <w:highlight w:val="none"/>
        </w:rPr>
        <w:t>建议部门加强项目管理意识，</w:t>
      </w:r>
      <w:r>
        <w:rPr>
          <w:rFonts w:hint="eastAsia"/>
          <w:highlight w:val="none"/>
          <w:lang w:val="en-US" w:eastAsia="zh-CN"/>
        </w:rPr>
        <w:t>按政策要求实行动态管理和强化日常监督</w:t>
      </w:r>
      <w:r>
        <w:rPr>
          <w:rFonts w:hint="eastAsia"/>
          <w:highlight w:val="none"/>
        </w:rPr>
        <w:t>。</w:t>
      </w:r>
    </w:p>
    <w:p>
      <w:pPr>
        <w:spacing w:line="580" w:lineRule="exact"/>
        <w:ind w:firstLine="640"/>
        <w:rPr>
          <w:rFonts w:hint="eastAsia" w:eastAsia="仿宋_GB2312"/>
          <w:highlight w:val="none"/>
          <w:lang w:val="en-US" w:eastAsia="zh-CN"/>
        </w:rPr>
      </w:pPr>
      <w:r>
        <w:rPr>
          <w:rFonts w:hint="eastAsia"/>
          <w:highlight w:val="none"/>
        </w:rPr>
        <w:t>实行动态管理。工程人选公布后超过3个月未正常开展工作、本人表示不再担任、经评估认定为不合格或因其他原因不宜继续资助扶持的，取消人才称号，停止其相关待遇，按规定收回所拨经费并追究用人单位责任。对在人才团队管理服务中出现重大问题、配套措施落实不到位的用人单位，要限期整改，整改期间停拨经费，问题严重的取消申报枣庄英才集聚工程资格。</w:t>
      </w:r>
      <w:r>
        <w:rPr>
          <w:rFonts w:hint="eastAsia"/>
          <w:highlight w:val="none"/>
          <w:lang w:val="en-US" w:eastAsia="zh-CN"/>
        </w:rPr>
        <w:t>对</w:t>
      </w:r>
      <w:r>
        <w:rPr>
          <w:rFonts w:hint="eastAsia"/>
          <w:highlight w:val="none"/>
          <w:lang w:eastAsia="zh-CN"/>
        </w:rPr>
        <w:t>枣庄八度阳光新能源科技有限公司</w:t>
      </w:r>
      <w:r>
        <w:rPr>
          <w:rFonts w:hint="eastAsia"/>
          <w:highlight w:val="none"/>
          <w:lang w:val="en-US" w:eastAsia="zh-CN"/>
        </w:rPr>
        <w:t>的2022年年度目标（</w:t>
      </w:r>
      <w:r>
        <w:rPr>
          <w:rFonts w:hint="eastAsia"/>
          <w:highlight w:val="none"/>
          <w:lang w:eastAsia="zh-CN"/>
        </w:rPr>
        <w:t>建设500kw分布式智慧能源光伏发电项目）</w:t>
      </w:r>
      <w:r>
        <w:rPr>
          <w:rFonts w:hint="eastAsia"/>
          <w:highlight w:val="none"/>
          <w:lang w:val="en-US" w:eastAsia="zh-CN"/>
        </w:rPr>
        <w:t>进行评估，根据评估结果，按照</w:t>
      </w:r>
      <w:r>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t>《关于实施枣庄英才集聚工程的意见》（枣办发〔2014〕28号）</w:t>
      </w:r>
      <w:r>
        <w:rPr>
          <w:rFonts w:hint="eastAsia" w:hAnsi="Times New Roman" w:cs="Times New Roman"/>
          <w:bCs w:val="0"/>
          <w:color w:val="000000" w:themeColor="text1"/>
          <w:w w:val="100"/>
          <w:kern w:val="2"/>
          <w:sz w:val="32"/>
          <w:szCs w:val="32"/>
          <w:highlight w:val="none"/>
          <w:lang w:val="en-US" w:eastAsia="zh-CN" w:bidi="ar-SA"/>
          <w14:textFill>
            <w14:solidFill>
              <w14:schemeClr w14:val="tx1"/>
            </w14:solidFill>
          </w14:textFill>
        </w:rPr>
        <w:t>要求，</w:t>
      </w:r>
      <w:r>
        <w:rPr>
          <w:rFonts w:hint="eastAsia"/>
          <w:highlight w:val="none"/>
          <w:lang w:val="en-US" w:eastAsia="zh-CN"/>
        </w:rPr>
        <w:t>进一步跟踪核实该企业枣庄英才聚集工程资格</w:t>
      </w:r>
      <w:r>
        <w:rPr>
          <w:rFonts w:hint="eastAsia"/>
          <w:highlight w:val="none"/>
          <w:lang w:eastAsia="zh-CN"/>
        </w:rPr>
        <w:t>。</w:t>
      </w:r>
    </w:p>
    <w:p>
      <w:pPr>
        <w:spacing w:line="580" w:lineRule="exact"/>
        <w:ind w:firstLine="640"/>
        <w:rPr>
          <w:rFonts w:hint="default" w:eastAsia="仿宋_GB2312"/>
          <w:highlight w:val="none"/>
          <w:lang w:val="en-US" w:eastAsia="zh-CN"/>
        </w:rPr>
      </w:pPr>
      <w:r>
        <w:rPr>
          <w:rFonts w:hint="eastAsia"/>
          <w:highlight w:val="none"/>
        </w:rPr>
        <w:t>强化日常监督。建立项目跟踪监督制度，主管部门要及时掌握</w:t>
      </w:r>
      <w:r>
        <w:rPr>
          <w:rFonts w:hint="eastAsia"/>
          <w:highlight w:val="none"/>
          <w:lang w:val="en-US" w:eastAsia="zh-CN"/>
        </w:rPr>
        <w:t>英才</w:t>
      </w:r>
      <w:r>
        <w:rPr>
          <w:rFonts w:hint="eastAsia"/>
          <w:highlight w:val="none"/>
        </w:rPr>
        <w:t>工作情况，</w:t>
      </w:r>
      <w:r>
        <w:rPr>
          <w:rFonts w:hint="eastAsia"/>
          <w:highlight w:val="none"/>
          <w:lang w:val="en-US" w:eastAsia="zh-CN"/>
        </w:rPr>
        <w:t>并对</w:t>
      </w:r>
      <w:r>
        <w:rPr>
          <w:rFonts w:hint="eastAsia"/>
          <w:highlight w:val="none"/>
        </w:rPr>
        <w:t>工作情况进行抽查监督和动态监测</w:t>
      </w:r>
      <w:r>
        <w:rPr>
          <w:rFonts w:hint="eastAsia"/>
          <w:highlight w:val="none"/>
          <w:lang w:eastAsia="zh-CN"/>
        </w:rPr>
        <w:t>，</w:t>
      </w:r>
      <w:r>
        <w:rPr>
          <w:rFonts w:hint="eastAsia"/>
          <w:highlight w:val="none"/>
          <w:lang w:val="en-US" w:eastAsia="zh-CN"/>
        </w:rPr>
        <w:t>确保奖补资金使用合规。</w:t>
      </w:r>
    </w:p>
    <w:p>
      <w:pPr>
        <w:pStyle w:val="8"/>
        <w:spacing w:line="580" w:lineRule="exact"/>
        <w:ind w:firstLine="605"/>
        <w:rPr>
          <w:rFonts w:hint="default" w:eastAsia="楷体_GB2312"/>
          <w:highlight w:val="none"/>
          <w:lang w:val="en-US" w:eastAsia="zh-CN"/>
        </w:rPr>
      </w:pPr>
      <w:bookmarkStart w:id="106" w:name="_Toc31116"/>
      <w:bookmarkStart w:id="107" w:name="_Toc25136"/>
      <w:bookmarkStart w:id="108" w:name="_Toc20974"/>
      <w:r>
        <w:rPr>
          <w:rFonts w:hint="eastAsia"/>
          <w:highlight w:val="none"/>
        </w:rPr>
        <w:t>（</w:t>
      </w:r>
      <w:r>
        <w:rPr>
          <w:rFonts w:hint="eastAsia"/>
          <w:highlight w:val="none"/>
          <w:lang w:val="en-US" w:eastAsia="zh-CN"/>
        </w:rPr>
        <w:t>四</w:t>
      </w:r>
      <w:r>
        <w:rPr>
          <w:rFonts w:hint="eastAsia"/>
          <w:highlight w:val="none"/>
        </w:rPr>
        <w:t>）</w:t>
      </w:r>
      <w:r>
        <w:rPr>
          <w:rFonts w:hint="eastAsia"/>
          <w:highlight w:val="none"/>
          <w:lang w:val="en-US" w:eastAsia="zh-CN"/>
        </w:rPr>
        <w:t>加强档案管理意识，规范档案管理工作</w:t>
      </w:r>
      <w:bookmarkEnd w:id="106"/>
      <w:bookmarkEnd w:id="107"/>
      <w:bookmarkEnd w:id="108"/>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bCs/>
          <w:sz w:val="32"/>
          <w:szCs w:val="32"/>
          <w:highlight w:val="none"/>
          <w:lang w:val="en-US" w:eastAsia="zh-CN"/>
        </w:rPr>
      </w:pPr>
      <w:r>
        <w:rPr>
          <w:rFonts w:hint="eastAsia"/>
          <w:highlight w:val="none"/>
        </w:rPr>
        <w:t>建议主管部门</w:t>
      </w:r>
      <w:r>
        <w:rPr>
          <w:rFonts w:hint="eastAsia"/>
          <w:highlight w:val="none"/>
          <w:lang w:val="en-US" w:eastAsia="zh-CN"/>
        </w:rPr>
        <w:t>增强对档案管理工作的重视</w:t>
      </w:r>
      <w:r>
        <w:rPr>
          <w:rFonts w:hint="eastAsia" w:ascii="仿宋_GB2312" w:hAnsi="仿宋" w:eastAsia="仿宋_GB2312"/>
          <w:bCs/>
          <w:sz w:val="32"/>
          <w:szCs w:val="32"/>
          <w:highlight w:val="none"/>
          <w:lang w:val="en-US" w:eastAsia="zh-CN"/>
        </w:rPr>
        <w:t>，明确</w:t>
      </w:r>
      <w:r>
        <w:rPr>
          <w:rFonts w:hint="eastAsia" w:hAnsi="仿宋"/>
          <w:bCs/>
          <w:sz w:val="32"/>
          <w:szCs w:val="32"/>
          <w:highlight w:val="none"/>
          <w:lang w:val="en-US" w:eastAsia="zh-CN"/>
        </w:rPr>
        <w:t>档案管理</w:t>
      </w:r>
      <w:r>
        <w:rPr>
          <w:rFonts w:hint="eastAsia" w:ascii="仿宋_GB2312" w:hAnsi="仿宋" w:eastAsia="仿宋_GB2312"/>
          <w:bCs/>
          <w:sz w:val="32"/>
          <w:szCs w:val="32"/>
          <w:highlight w:val="none"/>
          <w:lang w:val="en-US" w:eastAsia="zh-CN"/>
        </w:rPr>
        <w:t>责任人，</w:t>
      </w:r>
      <w:r>
        <w:rPr>
          <w:rFonts w:hint="eastAsia" w:hAnsi="仿宋"/>
          <w:bCs/>
          <w:sz w:val="32"/>
          <w:szCs w:val="32"/>
          <w:highlight w:val="none"/>
          <w:lang w:val="en-US" w:eastAsia="zh-CN"/>
        </w:rPr>
        <w:t>健全档案管理制度，提高档案管理工作技能水平，合理配置部门的档案资料，分类明确，提高检索率，从而提升部门的工作效率</w:t>
      </w:r>
      <w:r>
        <w:rPr>
          <w:rFonts w:hint="eastAsia" w:ascii="仿宋_GB2312" w:hAnsi="仿宋" w:eastAsia="仿宋_GB2312"/>
          <w:bCs/>
          <w:sz w:val="32"/>
          <w:szCs w:val="32"/>
          <w:highlight w:val="none"/>
          <w:lang w:val="en-US" w:eastAsia="zh-CN"/>
        </w:rPr>
        <w:t>。</w:t>
      </w:r>
    </w:p>
    <w:p>
      <w:pPr>
        <w:ind w:firstLine="640"/>
        <w:rPr>
          <w:highlight w:val="none"/>
        </w:rPr>
      </w:pPr>
    </w:p>
    <w:p>
      <w:pPr>
        <w:pStyle w:val="30"/>
        <w:ind w:firstLine="640"/>
        <w:outlineLvl w:val="9"/>
        <w:rPr>
          <w:highlight w:val="none"/>
        </w:rPr>
      </w:pPr>
    </w:p>
    <w:p>
      <w:pPr>
        <w:pStyle w:val="7"/>
        <w:ind w:firstLine="0" w:firstLineChars="0"/>
        <w:jc w:val="center"/>
        <w:outlineLvl w:val="9"/>
        <w:rPr>
          <w:rFonts w:ascii="方正小标宋简体" w:eastAsia="方正小标宋简体"/>
          <w:sz w:val="44"/>
          <w:highlight w:val="none"/>
        </w:rPr>
        <w:sectPr>
          <w:footerReference r:id="rId14" w:type="first"/>
          <w:footerReference r:id="rId13" w:type="default"/>
          <w:pgSz w:w="11906" w:h="16838"/>
          <w:pgMar w:top="1417" w:right="1474" w:bottom="1984" w:left="1587" w:header="851" w:footer="1474" w:gutter="0"/>
          <w:pgNumType w:fmt="decimal" w:start="1"/>
          <w:cols w:space="0" w:num="1"/>
          <w:rtlGutter w:val="0"/>
          <w:docGrid w:type="lines" w:linePitch="440" w:charSpace="0"/>
        </w:sectPr>
      </w:pPr>
    </w:p>
    <w:p>
      <w:pPr>
        <w:pStyle w:val="7"/>
        <w:ind w:firstLine="0" w:firstLineChars="0"/>
        <w:jc w:val="center"/>
        <w:rPr>
          <w:rFonts w:hint="eastAsia" w:ascii="方正小标宋简体" w:eastAsia="方正小标宋简体"/>
          <w:sz w:val="44"/>
          <w:highlight w:val="none"/>
        </w:rPr>
      </w:pPr>
      <w:bookmarkStart w:id="109" w:name="_Toc26596"/>
      <w:bookmarkStart w:id="110" w:name="_Toc28772"/>
      <w:r>
        <w:rPr>
          <w:rFonts w:hint="eastAsia" w:ascii="方正小标宋简体" w:eastAsia="方正小标宋简体"/>
          <w:sz w:val="44"/>
          <w:highlight w:val="none"/>
        </w:rPr>
        <w:t>正 文</w:t>
      </w:r>
      <w:bookmarkEnd w:id="109"/>
      <w:bookmarkEnd w:id="110"/>
    </w:p>
    <w:p>
      <w:pPr>
        <w:spacing w:line="580" w:lineRule="exact"/>
        <w:ind w:firstLine="640"/>
        <w:rPr>
          <w:rFonts w:hint="eastAsia" w:ascii="仿宋_GB2312" w:hAnsi="仿宋_GB2312" w:eastAsia="仿宋_GB2312" w:cs="仿宋_GB2312"/>
          <w:szCs w:val="32"/>
          <w:highlight w:val="none"/>
          <w:lang w:val="en-US" w:eastAsia="zh-CN"/>
        </w:rPr>
      </w:pPr>
      <w:r>
        <w:rPr>
          <w:rFonts w:hint="eastAsia" w:cs="仿宋_GB2312"/>
          <w:szCs w:val="32"/>
          <w:highlight w:val="none"/>
          <w:lang w:val="en-US" w:eastAsia="zh-CN"/>
        </w:rPr>
        <w:t>枣庄高新区</w:t>
      </w:r>
      <w:r>
        <w:rPr>
          <w:rFonts w:hint="eastAsia" w:ascii="仿宋_GB2312" w:hAnsi="仿宋_GB2312" w:eastAsia="仿宋_GB2312" w:cs="仿宋_GB2312"/>
          <w:szCs w:val="32"/>
          <w:highlight w:val="none"/>
          <w:lang w:eastAsia="zh-CN"/>
        </w:rPr>
        <w:t>树立服务新旧动能转换重点产业发展导向</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将枣庄英才集聚工程与其他人才工程整合升级</w:t>
      </w:r>
      <w:r>
        <w:rPr>
          <w:rFonts w:hint="eastAsia" w:cs="仿宋_GB2312"/>
          <w:szCs w:val="32"/>
          <w:highlight w:val="none"/>
          <w:lang w:eastAsia="zh-CN"/>
        </w:rPr>
        <w:t>，</w:t>
      </w:r>
      <w:r>
        <w:rPr>
          <w:rFonts w:hint="eastAsia" w:cs="仿宋_GB2312"/>
          <w:szCs w:val="32"/>
          <w:highlight w:val="none"/>
          <w:lang w:val="en-US" w:eastAsia="zh-CN"/>
        </w:rPr>
        <w:t>实行</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枣庄英才计划</w:t>
      </w:r>
      <w:r>
        <w:rPr>
          <w:rFonts w:hint="eastAsia" w:cs="仿宋_GB2312"/>
          <w:szCs w:val="32"/>
          <w:highlight w:val="none"/>
          <w:lang w:eastAsia="zh-CN"/>
        </w:rPr>
        <w:t>”</w:t>
      </w:r>
      <w:r>
        <w:rPr>
          <w:rFonts w:hint="eastAsia" w:cs="仿宋_GB2312"/>
          <w:szCs w:val="32"/>
          <w:highlight w:val="none"/>
          <w:lang w:val="en-US" w:eastAsia="zh-CN"/>
        </w:rPr>
        <w:t>项目</w:t>
      </w:r>
      <w:r>
        <w:rPr>
          <w:rFonts w:hint="eastAsia" w:cs="仿宋_GB2312"/>
          <w:szCs w:val="32"/>
          <w:highlight w:val="none"/>
          <w:lang w:eastAsia="zh-CN"/>
        </w:rPr>
        <w:t>。</w:t>
      </w:r>
      <w:r>
        <w:rPr>
          <w:rFonts w:hint="eastAsia" w:cs="仿宋_GB2312"/>
          <w:szCs w:val="32"/>
          <w:highlight w:val="none"/>
          <w:lang w:val="en-US" w:eastAsia="zh-CN"/>
        </w:rPr>
        <w:t>该计划</w:t>
      </w:r>
      <w:r>
        <w:rPr>
          <w:rFonts w:hint="eastAsia" w:ascii="仿宋_GB2312" w:hAnsi="仿宋_GB2312" w:eastAsia="仿宋_GB2312" w:cs="仿宋_GB2312"/>
          <w:szCs w:val="32"/>
          <w:highlight w:val="none"/>
          <w:lang w:eastAsia="zh-CN"/>
        </w:rPr>
        <w:t>实行创新人才</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绩效评估</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、创业人才</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以赛代评</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评价机制</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对产业创新领军人才</w:t>
      </w:r>
      <w:r>
        <w:rPr>
          <w:rFonts w:hint="eastAsia" w:cs="仿宋_GB2312"/>
          <w:szCs w:val="32"/>
          <w:highlight w:val="none"/>
          <w:lang w:val="en-US" w:eastAsia="zh-CN"/>
        </w:rPr>
        <w:t>和</w:t>
      </w:r>
      <w:r>
        <w:rPr>
          <w:rFonts w:hint="eastAsia" w:ascii="仿宋_GB2312" w:hAnsi="仿宋_GB2312" w:eastAsia="仿宋_GB2312" w:cs="仿宋_GB2312"/>
          <w:szCs w:val="32"/>
          <w:highlight w:val="none"/>
          <w:lang w:eastAsia="zh-CN"/>
        </w:rPr>
        <w:t>科技创业领军人才，给予扶持资金。为全力做好各项工作部署，进一步规范</w:t>
      </w:r>
      <w:r>
        <w:rPr>
          <w:rFonts w:hint="eastAsia" w:cs="仿宋_GB2312"/>
          <w:szCs w:val="32"/>
          <w:highlight w:val="none"/>
          <w:lang w:val="en-US" w:eastAsia="zh-CN"/>
        </w:rPr>
        <w:t>项目绩效</w:t>
      </w:r>
      <w:r>
        <w:rPr>
          <w:rFonts w:hint="eastAsia" w:ascii="仿宋_GB2312" w:hAnsi="仿宋_GB2312" w:eastAsia="仿宋_GB2312" w:cs="仿宋_GB2312"/>
          <w:szCs w:val="32"/>
          <w:highlight w:val="none"/>
          <w:lang w:eastAsia="zh-CN"/>
        </w:rPr>
        <w:t>管理，提高</w:t>
      </w:r>
      <w:r>
        <w:rPr>
          <w:rFonts w:hint="eastAsia" w:cs="仿宋_GB2312"/>
          <w:szCs w:val="32"/>
          <w:highlight w:val="none"/>
          <w:lang w:val="en-US" w:eastAsia="zh-CN"/>
        </w:rPr>
        <w:t>项目的社会经济效益</w:t>
      </w:r>
      <w:r>
        <w:rPr>
          <w:rFonts w:hint="eastAsia" w:ascii="仿宋_GB2312" w:hAnsi="仿宋_GB2312" w:eastAsia="仿宋_GB2312" w:cs="仿宋_GB2312"/>
          <w:szCs w:val="32"/>
          <w:highlight w:val="none"/>
          <w:lang w:eastAsia="zh-CN"/>
        </w:rPr>
        <w:t>，受枣庄高新区财政金融局委托，我公司根据</w:t>
      </w:r>
      <w:r>
        <w:rPr>
          <w:rFonts w:hint="eastAsia"/>
          <w:highlight w:val="none"/>
        </w:rPr>
        <w:t>《山东省财政厅关于印发&lt;山东省省级项目支出绩效单位自评工作规程&gt;和&lt;山东省省级项目支出绩效财政评价和部门评价工作规程&gt;的通知》（鲁财绩〔2020〕4号）</w:t>
      </w:r>
      <w:r>
        <w:rPr>
          <w:rFonts w:hint="eastAsia"/>
          <w:highlight w:val="none"/>
          <w:lang w:eastAsia="zh-CN"/>
        </w:rPr>
        <w:t>，</w:t>
      </w:r>
      <w:r>
        <w:rPr>
          <w:rFonts w:hint="eastAsia" w:ascii="仿宋_GB2312" w:hAnsi="仿宋_GB2312" w:eastAsia="仿宋_GB2312" w:cs="仿宋_GB2312"/>
          <w:szCs w:val="32"/>
          <w:highlight w:val="none"/>
          <w:lang w:eastAsia="zh-CN"/>
        </w:rPr>
        <w:t>结合</w:t>
      </w:r>
      <w:r>
        <w:rPr>
          <w:rFonts w:hint="eastAsia" w:ascii="仿宋_GB2312" w:hAnsi="仿宋_GB2312" w:eastAsia="仿宋_GB2312" w:cs="仿宋_GB2312"/>
          <w:szCs w:val="32"/>
          <w:highlight w:val="none"/>
          <w:lang w:val="en-US" w:eastAsia="zh-CN"/>
        </w:rPr>
        <w:t>比较法</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公众评判法</w:t>
      </w:r>
      <w:r>
        <w:rPr>
          <w:rFonts w:hint="eastAsia" w:ascii="仿宋_GB2312" w:hAnsi="仿宋_GB2312" w:eastAsia="仿宋_GB2312" w:cs="仿宋_GB2312"/>
          <w:szCs w:val="32"/>
          <w:highlight w:val="none"/>
          <w:lang w:eastAsia="zh-CN"/>
        </w:rPr>
        <w:t>等绩效评价方法对枣庄高新区</w:t>
      </w:r>
      <w:r>
        <w:rPr>
          <w:rFonts w:hint="eastAsia" w:ascii="仿宋_GB2312" w:hAnsi="仿宋_GB2312" w:eastAsia="仿宋_GB2312" w:cs="仿宋_GB2312"/>
          <w:szCs w:val="32"/>
          <w:highlight w:val="none"/>
          <w:lang w:val="en-US" w:eastAsia="zh-CN"/>
        </w:rPr>
        <w:t>2022</w:t>
      </w:r>
      <w:r>
        <w:rPr>
          <w:rFonts w:hint="eastAsia" w:ascii="仿宋_GB2312" w:hAnsi="仿宋_GB2312" w:eastAsia="仿宋_GB2312" w:cs="仿宋_GB2312"/>
          <w:szCs w:val="32"/>
          <w:highlight w:val="none"/>
          <w:lang w:eastAsia="zh-CN"/>
        </w:rPr>
        <w:t>年度</w:t>
      </w:r>
      <w:r>
        <w:rPr>
          <w:rFonts w:hint="eastAsia" w:cs="仿宋_GB2312"/>
          <w:szCs w:val="32"/>
          <w:highlight w:val="none"/>
          <w:lang w:val="en-US" w:eastAsia="zh-CN"/>
        </w:rPr>
        <w:t>英才计划项目</w:t>
      </w:r>
      <w:r>
        <w:rPr>
          <w:rFonts w:hint="eastAsia" w:ascii="仿宋_GB2312" w:hAnsi="仿宋_GB2312" w:eastAsia="仿宋_GB2312" w:cs="仿宋_GB2312"/>
          <w:szCs w:val="32"/>
          <w:highlight w:val="none"/>
          <w:lang w:eastAsia="zh-CN"/>
        </w:rPr>
        <w:t>进行绩效评价。评价组从</w:t>
      </w:r>
      <w:r>
        <w:rPr>
          <w:rFonts w:hint="eastAsia" w:cs="仿宋_GB2312"/>
          <w:szCs w:val="32"/>
          <w:highlight w:val="none"/>
          <w:lang w:val="en-US" w:eastAsia="zh-CN"/>
        </w:rPr>
        <w:t>项目的决策</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过程</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产出</w:t>
      </w:r>
      <w:r>
        <w:rPr>
          <w:rFonts w:hint="eastAsia" w:ascii="仿宋_GB2312" w:hAnsi="仿宋_GB2312" w:eastAsia="仿宋_GB2312" w:cs="仿宋_GB2312"/>
          <w:szCs w:val="32"/>
          <w:highlight w:val="none"/>
          <w:lang w:eastAsia="zh-CN"/>
        </w:rPr>
        <w:t>、</w:t>
      </w:r>
      <w:r>
        <w:rPr>
          <w:rFonts w:hint="eastAsia" w:cs="仿宋_GB2312"/>
          <w:szCs w:val="32"/>
          <w:highlight w:val="none"/>
          <w:lang w:val="en-US" w:eastAsia="zh-CN"/>
        </w:rPr>
        <w:t>效益四个</w:t>
      </w:r>
      <w:r>
        <w:rPr>
          <w:rFonts w:hint="eastAsia" w:ascii="仿宋_GB2312" w:hAnsi="仿宋_GB2312" w:eastAsia="仿宋_GB2312" w:cs="仿宋_GB2312"/>
          <w:szCs w:val="32"/>
          <w:highlight w:val="none"/>
          <w:lang w:eastAsia="zh-CN"/>
        </w:rPr>
        <w:t>方面进行绩效分析</w:t>
      </w:r>
      <w:r>
        <w:rPr>
          <w:rFonts w:hint="eastAsia" w:cs="仿宋_GB2312"/>
          <w:szCs w:val="32"/>
          <w:highlight w:val="none"/>
          <w:lang w:eastAsia="zh-CN"/>
        </w:rPr>
        <w:t>。</w:t>
      </w:r>
      <w:r>
        <w:rPr>
          <w:rFonts w:hint="eastAsia" w:ascii="仿宋_GB2312" w:hAnsi="仿宋_GB2312" w:eastAsia="仿宋_GB2312" w:cs="仿宋_GB2312"/>
          <w:szCs w:val="32"/>
          <w:highlight w:val="none"/>
          <w:lang w:eastAsia="zh-CN"/>
        </w:rPr>
        <w:t>项目</w:t>
      </w:r>
      <w:r>
        <w:rPr>
          <w:rFonts w:hint="eastAsia" w:cs="仿宋_GB2312"/>
          <w:szCs w:val="32"/>
          <w:highlight w:val="none"/>
          <w:lang w:val="en-US" w:eastAsia="zh-CN"/>
        </w:rPr>
        <w:t>总预算</w:t>
      </w:r>
      <w:r>
        <w:rPr>
          <w:rFonts w:hint="eastAsia" w:ascii="仿宋_GB2312" w:hAnsi="仿宋_GB2312" w:eastAsia="仿宋_GB2312" w:cs="仿宋_GB2312"/>
          <w:szCs w:val="32"/>
          <w:highlight w:val="none"/>
          <w:lang w:eastAsia="zh-CN"/>
        </w:rPr>
        <w:t>250万元，</w:t>
      </w:r>
      <w:r>
        <w:rPr>
          <w:rFonts w:hint="eastAsia" w:cs="仿宋_GB2312"/>
          <w:szCs w:val="32"/>
          <w:highlight w:val="none"/>
          <w:lang w:val="en-US" w:eastAsia="zh-CN"/>
        </w:rPr>
        <w:t>预算执行率为100%。发现项目存在资金未按照合同约定支付、项目事权和财权不匹配、档案管理工作不规范和</w:t>
      </w:r>
      <w:r>
        <w:rPr>
          <w:rFonts w:hint="eastAsia" w:ascii="仿宋_GB2312" w:hAnsi="仿宋_GB2312" w:eastAsia="仿宋_GB2312" w:cs="仿宋_GB2312"/>
          <w:szCs w:val="32"/>
          <w:highlight w:val="none"/>
          <w:lang w:eastAsia="zh-CN"/>
        </w:rPr>
        <w:t>枣庄八度阳光新能源科技有限公司</w:t>
      </w:r>
      <w:r>
        <w:rPr>
          <w:rFonts w:hint="eastAsia" w:cs="仿宋_GB2312"/>
          <w:szCs w:val="32"/>
          <w:highlight w:val="none"/>
          <w:lang w:val="en-US" w:eastAsia="zh-CN"/>
        </w:rPr>
        <w:t>未</w:t>
      </w:r>
      <w:r>
        <w:rPr>
          <w:rFonts w:hint="eastAsia" w:ascii="仿宋_GB2312" w:hAnsi="仿宋_GB2312" w:eastAsia="仿宋_GB2312" w:cs="仿宋_GB2312"/>
          <w:szCs w:val="32"/>
          <w:highlight w:val="none"/>
          <w:lang w:eastAsia="zh-CN"/>
        </w:rPr>
        <w:t>按照合同落地</w:t>
      </w:r>
      <w:r>
        <w:rPr>
          <w:rFonts w:hint="eastAsia" w:cs="仿宋_GB2312"/>
          <w:szCs w:val="32"/>
          <w:highlight w:val="none"/>
          <w:lang w:val="en-US" w:eastAsia="zh-CN"/>
        </w:rPr>
        <w:t>等问题</w:t>
      </w:r>
      <w:r>
        <w:rPr>
          <w:rFonts w:hint="eastAsia" w:ascii="仿宋_GB2312" w:hAnsi="仿宋_GB2312" w:eastAsia="仿宋_GB2312" w:cs="仿宋_GB2312"/>
          <w:szCs w:val="32"/>
          <w:highlight w:val="none"/>
          <w:lang w:eastAsia="zh-CN"/>
        </w:rPr>
        <w:t>。</w:t>
      </w:r>
    </w:p>
    <w:p>
      <w:pPr>
        <w:pStyle w:val="7"/>
        <w:spacing w:line="640" w:lineRule="exact"/>
        <w:ind w:firstLine="605"/>
        <w:rPr>
          <w:highlight w:val="none"/>
        </w:rPr>
      </w:pPr>
      <w:bookmarkStart w:id="111" w:name="_Toc12096"/>
      <w:r>
        <w:rPr>
          <w:rFonts w:hint="eastAsia"/>
          <w:highlight w:val="none"/>
        </w:rPr>
        <w:t>一、项目基本情况</w:t>
      </w:r>
      <w:bookmarkEnd w:id="111"/>
    </w:p>
    <w:p>
      <w:pPr>
        <w:pStyle w:val="8"/>
        <w:spacing w:line="580" w:lineRule="exact"/>
        <w:ind w:firstLine="605"/>
        <w:rPr>
          <w:highlight w:val="none"/>
        </w:rPr>
      </w:pPr>
      <w:bookmarkStart w:id="112" w:name="_Toc4271"/>
      <w:bookmarkStart w:id="113" w:name="_Toc16465"/>
      <w:r>
        <w:rPr>
          <w:rFonts w:hint="eastAsia"/>
          <w:highlight w:val="none"/>
        </w:rPr>
        <w:t>（一）项目立项</w:t>
      </w:r>
      <w:bookmarkEnd w:id="112"/>
      <w:bookmarkEnd w:id="113"/>
    </w:p>
    <w:p>
      <w:pPr>
        <w:pStyle w:val="30"/>
        <w:spacing w:line="580" w:lineRule="exact"/>
        <w:ind w:firstLine="640"/>
        <w:rPr>
          <w:highlight w:val="none"/>
        </w:rPr>
      </w:pPr>
      <w:bookmarkStart w:id="114" w:name="_Toc119629913"/>
      <w:bookmarkStart w:id="115" w:name="_Toc120282128"/>
      <w:bookmarkStart w:id="116" w:name="_Toc83377009"/>
      <w:bookmarkStart w:id="117" w:name="_Toc24027"/>
      <w:bookmarkStart w:id="118" w:name="_Toc4859"/>
      <w:bookmarkStart w:id="119" w:name="_Toc120281550"/>
      <w:bookmarkStart w:id="120" w:name="_Toc52275098"/>
      <w:bookmarkStart w:id="121" w:name="_Toc52121468"/>
      <w:r>
        <w:rPr>
          <w:rFonts w:hint="eastAsia"/>
          <w:highlight w:val="none"/>
        </w:rPr>
        <w:t>1.</w:t>
      </w:r>
      <w:r>
        <w:rPr>
          <w:highlight w:val="none"/>
        </w:rPr>
        <w:t>项目立项的环境和条件</w:t>
      </w:r>
      <w:bookmarkEnd w:id="114"/>
      <w:bookmarkEnd w:id="115"/>
      <w:bookmarkEnd w:id="116"/>
      <w:bookmarkEnd w:id="117"/>
      <w:bookmarkEnd w:id="118"/>
      <w:bookmarkEnd w:id="119"/>
      <w:bookmarkEnd w:id="120"/>
      <w:bookmarkEnd w:id="121"/>
    </w:p>
    <w:p>
      <w:pPr>
        <w:spacing w:line="580" w:lineRule="exact"/>
        <w:ind w:firstLine="640"/>
        <w:rPr>
          <w:highlight w:val="none"/>
        </w:rPr>
      </w:pPr>
      <w:bookmarkStart w:id="122" w:name="_Toc83377010"/>
      <w:bookmarkStart w:id="123" w:name="_Toc16202"/>
      <w:bookmarkStart w:id="124" w:name="_Toc52121469"/>
      <w:bookmarkStart w:id="125" w:name="_Toc5861"/>
      <w:bookmarkStart w:id="126" w:name="_Toc52275099"/>
      <w:r>
        <w:rPr>
          <w:rFonts w:hint="eastAsia"/>
          <w:highlight w:val="none"/>
        </w:rPr>
        <w:t>当前，枣庄正处于城市转型和改革发展的关键时期，继续深入推进城市转型战略，促进经济快速隆起发展，关键在于破除人才瓶颈制约，集聚一批能够引领产业转型升级的创新创业领军人才。实施枣庄英才集聚工程，坚持政策引领、服务大局，坚持聚焦高端、引育结合，能够有效吸引高层次人才向枣庄聚集，更好地促进产业技术创新，推动科技成果转化，为加快城市转型、建设“幸福新枣庄”提供人才智力支撑。</w:t>
      </w:r>
    </w:p>
    <w:p>
      <w:pPr>
        <w:pStyle w:val="30"/>
        <w:spacing w:line="580" w:lineRule="exact"/>
        <w:ind w:firstLine="640"/>
        <w:rPr>
          <w:highlight w:val="none"/>
        </w:rPr>
      </w:pPr>
      <w:bookmarkStart w:id="127" w:name="_Toc120282129"/>
      <w:bookmarkStart w:id="128" w:name="_Toc120281551"/>
      <w:bookmarkStart w:id="129" w:name="_Toc119629914"/>
      <w:r>
        <w:rPr>
          <w:rFonts w:hint="eastAsia"/>
          <w:highlight w:val="none"/>
        </w:rPr>
        <w:t>2.</w:t>
      </w:r>
      <w:r>
        <w:rPr>
          <w:highlight w:val="none"/>
        </w:rPr>
        <w:t>实施项目达到的目标和意义</w:t>
      </w:r>
      <w:bookmarkEnd w:id="122"/>
      <w:bookmarkEnd w:id="123"/>
      <w:bookmarkEnd w:id="124"/>
      <w:bookmarkEnd w:id="125"/>
      <w:bookmarkEnd w:id="126"/>
      <w:bookmarkEnd w:id="127"/>
      <w:bookmarkEnd w:id="128"/>
      <w:bookmarkEnd w:id="129"/>
    </w:p>
    <w:p>
      <w:pPr>
        <w:pStyle w:val="30"/>
        <w:spacing w:line="580" w:lineRule="exact"/>
        <w:ind w:firstLine="640"/>
        <w:rPr>
          <w:rFonts w:hint="eastAsia" w:eastAsia="仿宋_GB2312"/>
          <w:highlight w:val="none"/>
          <w:lang w:eastAsia="zh-CN"/>
        </w:rPr>
      </w:pPr>
      <w:bookmarkStart w:id="130" w:name="_Toc52275100"/>
      <w:bookmarkStart w:id="131" w:name="_Toc83377011"/>
      <w:bookmarkStart w:id="132" w:name="_Toc27718"/>
      <w:bookmarkStart w:id="133" w:name="_Toc119629916"/>
      <w:bookmarkStart w:id="134" w:name="_Toc52121470"/>
      <w:bookmarkStart w:id="135" w:name="_Toc120282131"/>
      <w:bookmarkStart w:id="136" w:name="_Toc570"/>
      <w:bookmarkStart w:id="137" w:name="_Toc120281553"/>
      <w:r>
        <w:rPr>
          <w:rFonts w:hint="eastAsia"/>
          <w:highlight w:val="none"/>
          <w:lang w:val="en-US" w:eastAsia="zh-CN"/>
        </w:rPr>
        <w:t>在</w:t>
      </w:r>
      <w:r>
        <w:rPr>
          <w:rFonts w:hint="eastAsia"/>
          <w:highlight w:val="none"/>
        </w:rPr>
        <w:t>重点产业和科技创新领域，树立服务新旧动能转换重点产业发展导向，将枣庄英才集聚工程与其他人才工程整合升级为</w:t>
      </w:r>
      <w:r>
        <w:rPr>
          <w:rFonts w:hint="eastAsia"/>
          <w:highlight w:val="none"/>
          <w:lang w:eastAsia="zh-CN"/>
        </w:rPr>
        <w:t>“</w:t>
      </w:r>
      <w:r>
        <w:rPr>
          <w:rFonts w:hint="eastAsia"/>
          <w:highlight w:val="none"/>
        </w:rPr>
        <w:t>枣庄英才计划</w:t>
      </w:r>
      <w:r>
        <w:rPr>
          <w:rFonts w:hint="eastAsia"/>
          <w:highlight w:val="none"/>
          <w:lang w:eastAsia="zh-CN"/>
        </w:rPr>
        <w:t>”</w:t>
      </w:r>
      <w:r>
        <w:rPr>
          <w:rFonts w:hint="eastAsia"/>
          <w:highlight w:val="none"/>
        </w:rPr>
        <w:t>，调整支持范围，加大支持力度，改进评价方式，实行创新人才</w:t>
      </w:r>
      <w:r>
        <w:rPr>
          <w:rFonts w:hint="eastAsia"/>
          <w:highlight w:val="none"/>
          <w:lang w:eastAsia="zh-CN"/>
        </w:rPr>
        <w:t>“</w:t>
      </w:r>
      <w:r>
        <w:rPr>
          <w:rFonts w:hint="eastAsia"/>
          <w:highlight w:val="none"/>
        </w:rPr>
        <w:t>绩效评估</w:t>
      </w:r>
      <w:r>
        <w:rPr>
          <w:rFonts w:hint="eastAsia"/>
          <w:highlight w:val="none"/>
          <w:lang w:eastAsia="zh-CN"/>
        </w:rPr>
        <w:t>”</w:t>
      </w:r>
      <w:r>
        <w:rPr>
          <w:rFonts w:hint="eastAsia"/>
          <w:highlight w:val="none"/>
        </w:rPr>
        <w:t>、创业人才</w:t>
      </w:r>
      <w:r>
        <w:rPr>
          <w:rFonts w:hint="eastAsia"/>
          <w:highlight w:val="none"/>
          <w:lang w:eastAsia="zh-CN"/>
        </w:rPr>
        <w:t>“</w:t>
      </w:r>
      <w:r>
        <w:rPr>
          <w:rFonts w:hint="eastAsia"/>
          <w:highlight w:val="none"/>
        </w:rPr>
        <w:t>以赛代评</w:t>
      </w:r>
      <w:r>
        <w:rPr>
          <w:rFonts w:hint="eastAsia"/>
          <w:highlight w:val="none"/>
          <w:lang w:eastAsia="zh-CN"/>
        </w:rPr>
        <w:t>”</w:t>
      </w:r>
      <w:r>
        <w:rPr>
          <w:rFonts w:hint="eastAsia"/>
          <w:highlight w:val="none"/>
        </w:rPr>
        <w:t>评价机制</w:t>
      </w:r>
      <w:r>
        <w:rPr>
          <w:rFonts w:hint="eastAsia"/>
          <w:highlight w:val="none"/>
          <w:lang w:eastAsia="zh-CN"/>
        </w:rPr>
        <w:t>，</w:t>
      </w:r>
      <w:r>
        <w:rPr>
          <w:rFonts w:hint="eastAsia"/>
          <w:highlight w:val="none"/>
          <w:lang w:val="en-US" w:eastAsia="zh-CN"/>
        </w:rPr>
        <w:t>吸引人才在当地发展项目，从而</w:t>
      </w:r>
      <w:r>
        <w:rPr>
          <w:rFonts w:hint="eastAsia"/>
          <w:highlight w:val="none"/>
        </w:rPr>
        <w:t>突破关键技术、发展高新技术产业、带动新兴产业和新兴学科的创新创业领军人才，使</w:t>
      </w:r>
      <w:r>
        <w:rPr>
          <w:rFonts w:hint="eastAsia"/>
          <w:highlight w:val="none"/>
          <w:lang w:val="en-US" w:eastAsia="zh-CN"/>
        </w:rPr>
        <w:t>枣庄市</w:t>
      </w:r>
      <w:r>
        <w:rPr>
          <w:rFonts w:hint="eastAsia"/>
          <w:highlight w:val="none"/>
        </w:rPr>
        <w:t>高层次人才规模不断扩大，人才创新创业能力不断提升，逐步形成枣庄人才竞争优势</w:t>
      </w:r>
      <w:r>
        <w:rPr>
          <w:rFonts w:hint="eastAsia"/>
          <w:highlight w:val="none"/>
          <w:lang w:eastAsia="zh-CN"/>
        </w:rPr>
        <w:t>。</w:t>
      </w:r>
    </w:p>
    <w:p>
      <w:pPr>
        <w:pStyle w:val="30"/>
        <w:spacing w:line="580" w:lineRule="exact"/>
        <w:ind w:firstLine="640"/>
        <w:rPr>
          <w:highlight w:val="none"/>
        </w:rPr>
      </w:pPr>
      <w:r>
        <w:rPr>
          <w:rFonts w:hint="eastAsia"/>
          <w:highlight w:val="none"/>
        </w:rPr>
        <w:t>3.</w:t>
      </w:r>
      <w:r>
        <w:rPr>
          <w:highlight w:val="none"/>
        </w:rPr>
        <w:t>项目立项依据</w:t>
      </w:r>
      <w:bookmarkEnd w:id="130"/>
      <w:bookmarkEnd w:id="131"/>
      <w:bookmarkEnd w:id="132"/>
      <w:bookmarkEnd w:id="133"/>
      <w:bookmarkEnd w:id="134"/>
      <w:bookmarkEnd w:id="135"/>
      <w:bookmarkEnd w:id="136"/>
      <w:bookmarkEnd w:id="137"/>
    </w:p>
    <w:p>
      <w:pPr>
        <w:spacing w:line="580" w:lineRule="exact"/>
        <w:ind w:firstLine="640"/>
        <w:rPr>
          <w:rFonts w:hint="eastAsia"/>
          <w:highlight w:val="none"/>
        </w:rPr>
      </w:pPr>
      <w:r>
        <w:rPr>
          <w:rFonts w:hint="eastAsia"/>
          <w:highlight w:val="none"/>
        </w:rPr>
        <w:t>（1）《关于做好人才支撑新旧动能转换工作的实施意见》（枣发〔2018〕13号）</w:t>
      </w:r>
    </w:p>
    <w:p>
      <w:pPr>
        <w:spacing w:line="580" w:lineRule="exact"/>
        <w:ind w:firstLine="640"/>
        <w:rPr>
          <w:rFonts w:hint="eastAsia"/>
          <w:highlight w:val="none"/>
        </w:rPr>
      </w:pPr>
      <w:r>
        <w:rPr>
          <w:rFonts w:hint="eastAsia"/>
          <w:highlight w:val="none"/>
        </w:rPr>
        <w:t>（2）《关于实施枣庄英才集聚工程的意见》（枣办发〔2014〕</w:t>
      </w:r>
    </w:p>
    <w:p>
      <w:pPr>
        <w:spacing w:line="580" w:lineRule="exact"/>
        <w:ind w:firstLine="640"/>
        <w:rPr>
          <w:rFonts w:hint="eastAsia"/>
          <w:highlight w:val="none"/>
        </w:rPr>
      </w:pPr>
      <w:r>
        <w:rPr>
          <w:rFonts w:hint="eastAsia"/>
          <w:highlight w:val="none"/>
        </w:rPr>
        <w:t>28号）</w:t>
      </w:r>
    </w:p>
    <w:p>
      <w:pPr>
        <w:numPr>
          <w:ilvl w:val="0"/>
          <w:numId w:val="2"/>
        </w:numPr>
        <w:spacing w:line="580" w:lineRule="exact"/>
        <w:ind w:firstLine="640"/>
        <w:rPr>
          <w:rFonts w:hint="eastAsia"/>
          <w:highlight w:val="none"/>
        </w:rPr>
      </w:pPr>
      <w:r>
        <w:rPr>
          <w:rFonts w:hint="eastAsia"/>
          <w:highlight w:val="none"/>
        </w:rPr>
        <w:t>《关于下达市级人才工作专项资金（枣庄英才奖补资金）的通知》（枣财行指〔2022〕28号）</w:t>
      </w:r>
    </w:p>
    <w:p>
      <w:pPr>
        <w:pStyle w:val="5"/>
        <w:numPr>
          <w:ilvl w:val="0"/>
          <w:numId w:val="0"/>
        </w:numPr>
        <w:ind w:firstLine="640" w:firstLineChars="20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cs="仿宋_GB2312"/>
          <w:color w:val="000000" w:themeColor="text1"/>
          <w:sz w:val="32"/>
          <w:szCs w:val="32"/>
          <w:highlight w:val="none"/>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关于深化产业培育实现高质量发展的若干意见》（枣高发〔2020</w:t>
      </w:r>
      <w:r>
        <w:rPr>
          <w:rFonts w:hint="eastAsia"/>
          <w:highlight w:val="none"/>
        </w:rPr>
        <w:t>〕</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5号）</w:t>
      </w:r>
    </w:p>
    <w:p>
      <w:pPr>
        <w:spacing w:line="580" w:lineRule="exact"/>
        <w:ind w:firstLine="640"/>
        <w:outlineLvl w:val="1"/>
        <w:rPr>
          <w:rFonts w:hint="eastAsia"/>
          <w:highlight w:val="none"/>
        </w:rPr>
      </w:pPr>
      <w:bookmarkStart w:id="138" w:name="_Toc20379"/>
      <w:bookmarkStart w:id="139" w:name="_Toc14793"/>
      <w:r>
        <w:rPr>
          <w:rFonts w:hint="eastAsia"/>
          <w:highlight w:val="none"/>
        </w:rPr>
        <w:t>（二）项目预算</w:t>
      </w:r>
      <w:bookmarkEnd w:id="138"/>
      <w:bookmarkEnd w:id="139"/>
    </w:p>
    <w:p>
      <w:pPr>
        <w:pStyle w:val="30"/>
        <w:spacing w:line="580" w:lineRule="exact"/>
        <w:ind w:firstLine="640"/>
        <w:rPr>
          <w:highlight w:val="none"/>
        </w:rPr>
      </w:pPr>
      <w:bookmarkStart w:id="140" w:name="_Toc83377013"/>
      <w:bookmarkStart w:id="141" w:name="_Toc120281555"/>
      <w:bookmarkStart w:id="142" w:name="_Toc722"/>
      <w:bookmarkStart w:id="143" w:name="_Toc14807"/>
      <w:bookmarkStart w:id="144" w:name="_Toc52121472"/>
      <w:bookmarkStart w:id="145" w:name="_Toc120282133"/>
      <w:bookmarkStart w:id="146" w:name="_Toc52275102"/>
      <w:bookmarkStart w:id="147" w:name="_Toc119629918"/>
      <w:r>
        <w:rPr>
          <w:rFonts w:hint="eastAsia"/>
          <w:highlight w:val="none"/>
        </w:rPr>
        <w:t>1.</w:t>
      </w:r>
      <w:r>
        <w:rPr>
          <w:highlight w:val="none"/>
        </w:rPr>
        <w:t>项目预算分配的依据及因素</w:t>
      </w:r>
      <w:bookmarkEnd w:id="140"/>
      <w:bookmarkEnd w:id="141"/>
      <w:bookmarkEnd w:id="142"/>
      <w:bookmarkEnd w:id="143"/>
      <w:bookmarkEnd w:id="144"/>
      <w:bookmarkEnd w:id="145"/>
      <w:bookmarkEnd w:id="146"/>
      <w:bookmarkEnd w:id="147"/>
    </w:p>
    <w:p>
      <w:pPr>
        <w:spacing w:line="580" w:lineRule="exact"/>
        <w:ind w:firstLine="640"/>
        <w:rPr>
          <w:highlight w:val="none"/>
        </w:rPr>
      </w:pPr>
      <w:r>
        <w:rPr>
          <w:rFonts w:hint="eastAsia"/>
          <w:highlight w:val="none"/>
        </w:rPr>
        <w:t>（1）《中华人民共和国预算法》</w:t>
      </w:r>
    </w:p>
    <w:p>
      <w:pPr>
        <w:spacing w:line="580" w:lineRule="exact"/>
        <w:ind w:firstLine="640"/>
        <w:rPr>
          <w:rFonts w:ascii="Times New Roman" w:hAnsi="Times New Roman" w:cs="Times New Roman"/>
          <w:kern w:val="2"/>
          <w:highlight w:val="none"/>
        </w:rPr>
      </w:pPr>
      <w:r>
        <w:rPr>
          <w:rFonts w:hint="eastAsia"/>
          <w:highlight w:val="none"/>
        </w:rPr>
        <w:t>（2）《</w:t>
      </w:r>
      <w:r>
        <w:rPr>
          <w:rFonts w:hint="eastAsia" w:ascii="Times New Roman" w:hAnsi="Times New Roman" w:cs="Times New Roman"/>
          <w:kern w:val="2"/>
          <w:highlight w:val="none"/>
        </w:rPr>
        <w:t>中华人民共和国预算法实施条例》</w:t>
      </w:r>
    </w:p>
    <w:p>
      <w:pPr>
        <w:pStyle w:val="30"/>
        <w:spacing w:line="580" w:lineRule="exact"/>
        <w:ind w:firstLine="640"/>
        <w:rPr>
          <w:highlight w:val="none"/>
        </w:rPr>
      </w:pPr>
      <w:bookmarkStart w:id="148" w:name="_Toc24807"/>
      <w:bookmarkStart w:id="149" w:name="_Toc11666"/>
      <w:bookmarkStart w:id="150" w:name="_Toc119629919"/>
      <w:bookmarkStart w:id="151" w:name="_Toc83377014"/>
      <w:bookmarkStart w:id="152" w:name="_Toc52275103"/>
      <w:bookmarkStart w:id="153" w:name="_Toc120282134"/>
      <w:bookmarkStart w:id="154" w:name="_Toc52121473"/>
      <w:bookmarkStart w:id="155" w:name="_Toc120281556"/>
      <w:r>
        <w:rPr>
          <w:rFonts w:hint="eastAsia"/>
          <w:highlight w:val="none"/>
        </w:rPr>
        <w:t>2.项目投资情况</w:t>
      </w:r>
      <w:bookmarkEnd w:id="148"/>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bookmarkStart w:id="156" w:name="_Toc120281557"/>
      <w:bookmarkStart w:id="157" w:name="_Toc120282135"/>
      <w:bookmarkStart w:id="158" w:name="_Toc119629920"/>
      <w:bookmarkStart w:id="159" w:name="_Toc52275104"/>
      <w:bookmarkStart w:id="160" w:name="_Toc83377015"/>
      <w:bookmarkStart w:id="161" w:name="_Toc52121474"/>
      <w:bookmarkStart w:id="162" w:name="_Toc11707"/>
      <w:bookmarkStart w:id="163" w:name="_Toc16929"/>
      <w:r>
        <w:rPr>
          <w:rFonts w:hint="eastAsia"/>
          <w:highlight w:val="none"/>
        </w:rPr>
        <w:t>本项目资金</w:t>
      </w:r>
      <w:r>
        <w:rPr>
          <w:rFonts w:hint="eastAsia"/>
          <w:highlight w:val="none"/>
          <w:lang w:val="en-US" w:eastAsia="zh-CN"/>
        </w:rPr>
        <w:t>共250万元，</w:t>
      </w:r>
      <w:r>
        <w:rPr>
          <w:rFonts w:hint="eastAsia"/>
          <w:highlight w:val="none"/>
        </w:rPr>
        <w:t>来源</w:t>
      </w:r>
      <w:r>
        <w:rPr>
          <w:rFonts w:hint="eastAsia"/>
          <w:highlight w:val="none"/>
          <w:lang w:val="en-US" w:eastAsia="zh-CN"/>
        </w:rPr>
        <w:t>于枣庄市级财政资金125万元、枣庄高新区区级同比例配套奖补资金125万元</w:t>
      </w:r>
      <w:bookmarkEnd w:id="156"/>
      <w:bookmarkEnd w:id="157"/>
      <w:bookmarkStart w:id="164" w:name="_Toc120281558"/>
      <w:bookmarkStart w:id="165" w:name="_Toc120282136"/>
      <w:r>
        <w:rPr>
          <w:rFonts w:hint="eastAsia"/>
          <w:highlight w:val="none"/>
          <w:lang w:val="en-US" w:eastAsia="zh-CN"/>
        </w:rPr>
        <w:t>。该项目三个获奖补企业项目的管理期3年，即自2022年1月1日起至2024年12月31日止。2022年拨付项目启动资金50%，管理期验收达标后支付后50%作为绩效奖励资金。</w:t>
      </w:r>
    </w:p>
    <w:p>
      <w:pPr>
        <w:pStyle w:val="30"/>
        <w:numPr>
          <w:ilvl w:val="0"/>
          <w:numId w:val="0"/>
        </w:numPr>
        <w:spacing w:line="580" w:lineRule="exact"/>
        <w:ind w:firstLine="640" w:firstLineChars="200"/>
        <w:rPr>
          <w:highlight w:val="none"/>
        </w:rPr>
      </w:pPr>
      <w:r>
        <w:rPr>
          <w:rFonts w:hint="eastAsia"/>
          <w:highlight w:val="none"/>
          <w:lang w:val="en-US" w:eastAsia="zh-CN"/>
        </w:rPr>
        <w:t>3.</w:t>
      </w:r>
      <w:r>
        <w:rPr>
          <w:highlight w:val="none"/>
        </w:rPr>
        <w:t>资金来源</w:t>
      </w:r>
      <w:bookmarkEnd w:id="158"/>
      <w:bookmarkEnd w:id="159"/>
      <w:bookmarkEnd w:id="160"/>
      <w:bookmarkEnd w:id="161"/>
      <w:bookmarkEnd w:id="162"/>
      <w:bookmarkEnd w:id="163"/>
      <w:bookmarkEnd w:id="164"/>
      <w:bookmarkEnd w:id="165"/>
    </w:p>
    <w:p>
      <w:pPr>
        <w:pStyle w:val="30"/>
        <w:numPr>
          <w:ilvl w:val="0"/>
          <w:numId w:val="0"/>
        </w:numPr>
        <w:spacing w:line="580" w:lineRule="exact"/>
        <w:ind w:firstLine="640" w:firstLineChars="200"/>
        <w:rPr>
          <w:rFonts w:hint="eastAsia"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t>本项目资金共250万元，来源于枣庄市级财政资金125万元、枣庄高新区区级同比例配套奖补资金125万元。</w:t>
      </w:r>
    </w:p>
    <w:p>
      <w:pPr>
        <w:pStyle w:val="30"/>
        <w:numPr>
          <w:ilvl w:val="0"/>
          <w:numId w:val="0"/>
        </w:numPr>
        <w:spacing w:line="580" w:lineRule="exact"/>
        <w:ind w:firstLine="640" w:firstLineChars="200"/>
        <w:outlineLvl w:val="1"/>
        <w:rPr>
          <w:rFonts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pPr>
      <w:bookmarkStart w:id="166" w:name="_Toc8184"/>
      <w:bookmarkStart w:id="167" w:name="_Toc9195"/>
      <w:r>
        <w:rPr>
          <w:rFonts w:hint="eastAsia"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t>（三）项目计划实施内容</w:t>
      </w:r>
      <w:bookmarkEnd w:id="166"/>
      <w:bookmarkEnd w:id="167"/>
    </w:p>
    <w:p>
      <w:pPr>
        <w:pStyle w:val="9"/>
        <w:spacing w:line="580" w:lineRule="exact"/>
        <w:ind w:firstLine="640"/>
        <w:rPr>
          <w:highlight w:val="none"/>
        </w:rPr>
      </w:pPr>
      <w:bookmarkStart w:id="168" w:name="_Toc52275106"/>
      <w:bookmarkStart w:id="169" w:name="_Toc28694"/>
      <w:bookmarkStart w:id="170" w:name="_Toc3461"/>
      <w:bookmarkStart w:id="171" w:name="_Toc52121476"/>
      <w:bookmarkStart w:id="172" w:name="_Toc120282138"/>
      <w:bookmarkStart w:id="173" w:name="_Toc119629922"/>
      <w:bookmarkStart w:id="174" w:name="_Toc120281560"/>
      <w:bookmarkStart w:id="175" w:name="_Toc83377017"/>
      <w:r>
        <w:rPr>
          <w:rFonts w:hint="eastAsia"/>
          <w:highlight w:val="none"/>
        </w:rPr>
        <w:t>1.</w:t>
      </w:r>
      <w:r>
        <w:rPr>
          <w:highlight w:val="none"/>
        </w:rPr>
        <w:t>项目立项时间</w:t>
      </w:r>
      <w:bookmarkEnd w:id="168"/>
      <w:bookmarkEnd w:id="169"/>
      <w:bookmarkEnd w:id="170"/>
      <w:bookmarkEnd w:id="171"/>
      <w:bookmarkEnd w:id="172"/>
      <w:bookmarkEnd w:id="173"/>
      <w:bookmarkEnd w:id="174"/>
      <w:bookmarkEnd w:id="175"/>
    </w:p>
    <w:p>
      <w:pPr>
        <w:spacing w:line="580" w:lineRule="exact"/>
        <w:ind w:firstLine="640"/>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月15日</w:t>
      </w:r>
    </w:p>
    <w:p>
      <w:pPr>
        <w:pStyle w:val="9"/>
        <w:spacing w:line="580" w:lineRule="exact"/>
        <w:ind w:firstLine="640"/>
        <w:rPr>
          <w:highlight w:val="none"/>
        </w:rPr>
      </w:pPr>
      <w:bookmarkStart w:id="176" w:name="_Toc120281561"/>
      <w:bookmarkStart w:id="177" w:name="_Toc52275107"/>
      <w:bookmarkStart w:id="178" w:name="_Toc52121477"/>
      <w:bookmarkStart w:id="179" w:name="_Toc120282139"/>
      <w:bookmarkStart w:id="180" w:name="_Toc28360"/>
      <w:bookmarkStart w:id="181" w:name="_Toc119629923"/>
      <w:bookmarkStart w:id="182" w:name="_Toc13066"/>
      <w:bookmarkStart w:id="183" w:name="_Toc83377018"/>
      <w:r>
        <w:rPr>
          <w:rFonts w:hint="eastAsia"/>
          <w:highlight w:val="none"/>
        </w:rPr>
        <w:t>2.</w:t>
      </w:r>
      <w:r>
        <w:rPr>
          <w:highlight w:val="none"/>
        </w:rPr>
        <w:t>批复单位</w:t>
      </w:r>
      <w:bookmarkEnd w:id="176"/>
      <w:bookmarkEnd w:id="177"/>
      <w:bookmarkEnd w:id="178"/>
      <w:bookmarkEnd w:id="179"/>
      <w:bookmarkEnd w:id="180"/>
      <w:bookmarkEnd w:id="181"/>
      <w:bookmarkEnd w:id="182"/>
      <w:bookmarkEnd w:id="183"/>
    </w:p>
    <w:p>
      <w:pPr>
        <w:pStyle w:val="9"/>
        <w:spacing w:line="580" w:lineRule="exact"/>
        <w:ind w:firstLine="640"/>
        <w:rPr>
          <w:rFonts w:hint="default"/>
          <w:highlight w:val="none"/>
          <w:lang w:val="en-US" w:eastAsia="zh-CN"/>
        </w:rPr>
      </w:pPr>
      <w:bookmarkStart w:id="184" w:name="_Toc120281563"/>
      <w:bookmarkStart w:id="185" w:name="_Toc119629925"/>
      <w:bookmarkStart w:id="186" w:name="_Toc6069"/>
      <w:bookmarkStart w:id="187" w:name="_Toc30107"/>
      <w:bookmarkStart w:id="188" w:name="_Toc52275108"/>
      <w:bookmarkStart w:id="189" w:name="_Toc83377019"/>
      <w:bookmarkStart w:id="190" w:name="_Toc52121478"/>
      <w:bookmarkStart w:id="191" w:name="_Toc120282141"/>
      <w:r>
        <w:rPr>
          <w:rFonts w:hint="eastAsia"/>
          <w:highlight w:val="none"/>
          <w:lang w:val="en-US" w:eastAsia="zh-CN"/>
        </w:rPr>
        <w:t>枣庄高新区人民政府</w:t>
      </w:r>
    </w:p>
    <w:p>
      <w:pPr>
        <w:pStyle w:val="9"/>
        <w:spacing w:line="580" w:lineRule="exact"/>
        <w:ind w:firstLine="640"/>
        <w:rPr>
          <w:highlight w:val="none"/>
        </w:rPr>
      </w:pPr>
      <w:r>
        <w:rPr>
          <w:rFonts w:hint="eastAsia"/>
          <w:highlight w:val="none"/>
        </w:rPr>
        <w:t>3.</w:t>
      </w:r>
      <w:r>
        <w:rPr>
          <w:highlight w:val="none"/>
        </w:rPr>
        <w:t>项目具体内容</w:t>
      </w:r>
      <w:bookmarkEnd w:id="184"/>
      <w:bookmarkEnd w:id="185"/>
      <w:bookmarkEnd w:id="186"/>
      <w:bookmarkEnd w:id="187"/>
      <w:bookmarkEnd w:id="188"/>
      <w:bookmarkEnd w:id="189"/>
      <w:bookmarkEnd w:id="190"/>
      <w:bookmarkEnd w:id="191"/>
    </w:p>
    <w:p>
      <w:pPr>
        <w:spacing w:line="580" w:lineRule="exact"/>
        <w:ind w:firstLine="640"/>
        <w:rPr>
          <w:rFonts w:hint="eastAsia"/>
          <w:highlight w:val="none"/>
          <w:lang w:val="en-US" w:eastAsia="zh-CN"/>
        </w:rPr>
      </w:pPr>
      <w:bookmarkStart w:id="192" w:name="_Toc119629926"/>
      <w:bookmarkStart w:id="193" w:name="_Toc28758"/>
      <w:bookmarkStart w:id="194" w:name="_Toc1755"/>
      <w:bookmarkStart w:id="195" w:name="_Toc52275109"/>
      <w:bookmarkStart w:id="196" w:name="_Toc83377020"/>
      <w:bookmarkStart w:id="197" w:name="_Toc52121479"/>
      <w:r>
        <w:rPr>
          <w:rFonts w:hint="eastAsia"/>
          <w:highlight w:val="none"/>
        </w:rPr>
        <w:t>枣庄英才计划</w:t>
      </w:r>
      <w:r>
        <w:rPr>
          <w:rFonts w:hint="eastAsia"/>
          <w:highlight w:val="none"/>
          <w:lang w:val="en-US" w:eastAsia="zh-CN"/>
        </w:rPr>
        <w:t>项目2021年确定三家获奖补的企业，包括研究审定2家，即山东天瀚新能源科技有限公司金永成100万元、枣庄八度阳光新能源科技有限公司王超群50万元；以赛代评1家，枣庄高新区创业大赛高新区刘路军获评第二名，即山东当康文化传播有限公司刘路军100万元。项目资金共250万元，根据政策和英才工作合同规定，2022年度实际应拨付项目资金的50%，即125万元，作为项目启动资金。该项目2022年度主要内容及完成这三家公司的英才计划项目启动资金的发放，三家公司按照合同签订进度完成项目的落地工作。</w:t>
      </w:r>
    </w:p>
    <w:p>
      <w:pPr>
        <w:pStyle w:val="3"/>
        <w:rPr>
          <w:rFonts w:hint="eastAsia"/>
          <w:highlight w:val="none"/>
          <w:lang w:val="en-US" w:eastAsia="zh-CN"/>
        </w:rPr>
      </w:pPr>
      <w:r>
        <w:rPr>
          <w:rFonts w:hint="eastAsia"/>
          <w:highlight w:val="none"/>
          <w:lang w:val="en-US" w:eastAsia="zh-CN"/>
        </w:rPr>
        <w:t>该项目2022年度实际一次性拨付全部资金250万元，完成对三家公司的奖补。三家公司对英才计划项目的实施情况如下：</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当康文化传播有限公司项目已按计划落地。依托其自主研发的大数据系统，搭建图书全链条循环利用体系，通过在全国设立超3000个渠道及线下阅读书屋，形成了全国图书循环利用体系。打造图书全生命周期的回收定价、仓储管理、B2B2C运营、数据采集、客户管理、分销体系以及自主研发的“掏书铺”APP平台，盘活闲置图书资源。</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山东天瀚新能源科技有限公司项目已按计划落地。完成关键性材料的开发及磷酸锰铁锂复合正极电池样品的研发并完成相关性能测试。</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枣庄八度阳光新能源科技有限公司项目未按计划落地。未完成建设500kw分布式智慧能源光伏发电项目的目标。</w:t>
      </w:r>
    </w:p>
    <w:p>
      <w:pPr>
        <w:spacing w:line="580" w:lineRule="exact"/>
        <w:ind w:firstLine="640"/>
        <w:rPr>
          <w:highlight w:val="none"/>
        </w:rPr>
      </w:pPr>
      <w:r>
        <w:rPr>
          <w:rFonts w:hint="eastAsia"/>
          <w:highlight w:val="none"/>
        </w:rPr>
        <w:t>4.</w:t>
      </w:r>
      <w:r>
        <w:rPr>
          <w:highlight w:val="none"/>
        </w:rPr>
        <w:t>项目所在区域</w:t>
      </w:r>
      <w:bookmarkEnd w:id="192"/>
      <w:bookmarkEnd w:id="193"/>
      <w:bookmarkEnd w:id="194"/>
      <w:bookmarkEnd w:id="195"/>
      <w:bookmarkEnd w:id="196"/>
      <w:bookmarkEnd w:id="197"/>
    </w:p>
    <w:p>
      <w:pPr>
        <w:numPr>
          <w:ilvl w:val="0"/>
          <w:numId w:val="0"/>
        </w:numPr>
        <w:spacing w:line="580" w:lineRule="exact"/>
        <w:ind w:firstLine="960" w:firstLineChars="300"/>
        <w:rPr>
          <w:rFonts w:hint="eastAsia" w:eastAsia="仿宋_GB2312"/>
          <w:highlight w:val="none"/>
          <w:lang w:eastAsia="zh-CN"/>
        </w:rPr>
      </w:pPr>
      <w:bookmarkStart w:id="198" w:name="_Toc29538"/>
      <w:bookmarkStart w:id="199" w:name="_Toc83377021"/>
      <w:bookmarkStart w:id="200" w:name="_Toc29865"/>
      <w:bookmarkStart w:id="201" w:name="_Toc52121480"/>
      <w:bookmarkStart w:id="202" w:name="_Toc120282142"/>
      <w:bookmarkStart w:id="203" w:name="_Toc119629927"/>
      <w:bookmarkStart w:id="204" w:name="_Toc52275110"/>
      <w:bookmarkStart w:id="205" w:name="_Toc120281564"/>
      <w:r>
        <w:rPr>
          <w:rFonts w:hint="eastAsia" w:ascii="宋体" w:hAnsi="宋体"/>
          <w:caps/>
          <w:highlight w:val="none"/>
          <w:lang w:val="en-US" w:eastAsia="zh-CN"/>
        </w:rPr>
        <w:t>枣庄市</w:t>
      </w:r>
      <w:bookmarkEnd w:id="198"/>
      <w:bookmarkEnd w:id="199"/>
      <w:bookmarkEnd w:id="200"/>
      <w:bookmarkEnd w:id="201"/>
      <w:bookmarkEnd w:id="202"/>
      <w:bookmarkEnd w:id="203"/>
      <w:bookmarkEnd w:id="204"/>
      <w:bookmarkEnd w:id="205"/>
      <w:bookmarkStart w:id="206" w:name="_Toc29497"/>
      <w:bookmarkStart w:id="207" w:name="_Toc6460"/>
      <w:bookmarkStart w:id="208" w:name="_Toc120281565"/>
      <w:bookmarkStart w:id="209" w:name="_Toc119629928"/>
      <w:bookmarkStart w:id="210" w:name="_Toc120282143"/>
      <w:r>
        <w:rPr>
          <w:rFonts w:hint="eastAsia"/>
          <w:highlight w:val="none"/>
          <w:lang w:val="en-US" w:eastAsia="zh-CN"/>
        </w:rPr>
        <w:t>高新区</w:t>
      </w:r>
    </w:p>
    <w:p>
      <w:pPr>
        <w:numPr>
          <w:ilvl w:val="0"/>
          <w:numId w:val="0"/>
        </w:numPr>
        <w:spacing w:line="580" w:lineRule="exact"/>
        <w:ind w:firstLine="640" w:firstLineChars="200"/>
        <w:rPr>
          <w:rFonts w:ascii="宋体" w:hAnsi="宋体" w:eastAsia="仿宋_GB2312" w:cs="仿宋_GB2312"/>
          <w:bCs w:val="0"/>
          <w:caps/>
          <w:w w:val="100"/>
          <w:highlight w:val="none"/>
        </w:rPr>
      </w:pPr>
      <w:r>
        <w:rPr>
          <w:rFonts w:hint="eastAsia" w:ascii="宋体" w:hAnsi="宋体" w:eastAsia="仿宋_GB2312" w:cs="仿宋_GB2312"/>
          <w:bCs w:val="0"/>
          <w:caps/>
          <w:w w:val="100"/>
          <w:highlight w:val="none"/>
        </w:rPr>
        <w:t>该项目计划完成时间</w:t>
      </w:r>
      <w:r>
        <w:rPr>
          <w:rFonts w:hint="eastAsia" w:ascii="宋体" w:hAnsi="宋体" w:cs="仿宋_GB2312"/>
          <w:bCs w:val="0"/>
          <w:caps/>
          <w:w w:val="100"/>
          <w:highlight w:val="none"/>
          <w:lang w:val="en-US" w:eastAsia="zh-CN"/>
        </w:rPr>
        <w:t>2024</w:t>
      </w:r>
      <w:r>
        <w:rPr>
          <w:rFonts w:hint="eastAsia" w:ascii="宋体" w:hAnsi="宋体" w:eastAsia="仿宋_GB2312" w:cs="仿宋_GB2312"/>
          <w:bCs w:val="0"/>
          <w:caps/>
          <w:w w:val="100"/>
          <w:highlight w:val="none"/>
        </w:rPr>
        <w:t>年12月31日。</w:t>
      </w:r>
      <w:bookmarkEnd w:id="206"/>
      <w:bookmarkEnd w:id="207"/>
      <w:bookmarkEnd w:id="208"/>
      <w:bookmarkEnd w:id="209"/>
      <w:bookmarkEnd w:id="210"/>
    </w:p>
    <w:p>
      <w:pPr>
        <w:pStyle w:val="8"/>
        <w:spacing w:line="580" w:lineRule="exact"/>
        <w:ind w:firstLine="605"/>
        <w:rPr>
          <w:highlight w:val="none"/>
        </w:rPr>
      </w:pPr>
      <w:bookmarkStart w:id="211" w:name="_Toc29988"/>
      <w:bookmarkStart w:id="212" w:name="_Toc11240"/>
      <w:r>
        <w:rPr>
          <w:rFonts w:hint="eastAsia"/>
          <w:highlight w:val="none"/>
        </w:rPr>
        <w:t>（四）项目组织管理</w:t>
      </w:r>
      <w:bookmarkEnd w:id="211"/>
      <w:bookmarkEnd w:id="212"/>
    </w:p>
    <w:p>
      <w:pPr>
        <w:spacing w:line="580" w:lineRule="exact"/>
        <w:ind w:firstLine="640"/>
        <w:rPr>
          <w:rFonts w:hint="eastAsia" w:eastAsia="仿宋_GB2312"/>
          <w:highlight w:val="none"/>
          <w:lang w:eastAsia="zh-CN"/>
        </w:rPr>
      </w:pPr>
      <w:r>
        <w:rPr>
          <w:rFonts w:hint="eastAsia"/>
          <w:highlight w:val="none"/>
        </w:rPr>
        <w:t>1.项目主管部门：</w:t>
      </w:r>
      <w:r>
        <w:rPr>
          <w:rFonts w:hint="eastAsia"/>
          <w:highlight w:val="none"/>
          <w:lang w:eastAsia="zh-CN"/>
        </w:rPr>
        <w:t>枣庄高新区党群工作部</w:t>
      </w:r>
    </w:p>
    <w:p>
      <w:pPr>
        <w:spacing w:line="580" w:lineRule="exact"/>
        <w:ind w:firstLine="640"/>
        <w:rPr>
          <w:rFonts w:hint="eastAsia" w:ascii="宋体" w:hAnsi="宋体"/>
          <w:caps/>
          <w:highlight w:val="none"/>
          <w:lang w:val="en-US" w:eastAsia="zh-CN"/>
        </w:rPr>
      </w:pPr>
      <w:r>
        <w:rPr>
          <w:rFonts w:hint="eastAsia"/>
          <w:highlight w:val="none"/>
        </w:rPr>
        <w:t>2.具体实施单位包括</w:t>
      </w:r>
      <w:r>
        <w:rPr>
          <w:rFonts w:hint="eastAsia"/>
          <w:highlight w:val="none"/>
          <w:lang w:eastAsia="zh-CN"/>
        </w:rPr>
        <w:t>枣庄高新区党群工作部</w:t>
      </w:r>
      <w:r>
        <w:rPr>
          <w:rFonts w:hint="eastAsia"/>
          <w:highlight w:val="none"/>
        </w:rPr>
        <w:t>、</w:t>
      </w:r>
      <w:r>
        <w:rPr>
          <w:rFonts w:hint="eastAsia" w:ascii="宋体" w:hAnsi="宋体"/>
          <w:caps/>
          <w:highlight w:val="none"/>
          <w:lang w:val="en-US" w:eastAsia="zh-CN"/>
        </w:rPr>
        <w:t>科技局</w:t>
      </w:r>
    </w:p>
    <w:p>
      <w:pPr>
        <w:spacing w:line="580" w:lineRule="exact"/>
        <w:ind w:firstLine="640"/>
        <w:rPr>
          <w:highlight w:val="none"/>
        </w:rPr>
      </w:pPr>
      <w:r>
        <w:rPr>
          <w:rFonts w:hint="eastAsia"/>
          <w:highlight w:val="none"/>
        </w:rPr>
        <w:t>（1）</w:t>
      </w:r>
      <w:r>
        <w:rPr>
          <w:rFonts w:hint="eastAsia"/>
          <w:highlight w:val="none"/>
          <w:lang w:eastAsia="zh-CN"/>
        </w:rPr>
        <w:t>枣庄高新区党群工作部</w:t>
      </w:r>
      <w:r>
        <w:rPr>
          <w:rFonts w:hint="eastAsia"/>
          <w:highlight w:val="none"/>
        </w:rPr>
        <w:t>负责项目前期立项、以及</w:t>
      </w:r>
      <w:r>
        <w:rPr>
          <w:rFonts w:hint="eastAsia"/>
          <w:highlight w:val="none"/>
          <w:lang w:val="en-US" w:eastAsia="zh-CN"/>
        </w:rPr>
        <w:t>参与资格审核和评审、</w:t>
      </w:r>
      <w:r>
        <w:rPr>
          <w:rFonts w:hint="eastAsia"/>
          <w:highlight w:val="none"/>
        </w:rPr>
        <w:t>资金</w:t>
      </w:r>
      <w:r>
        <w:rPr>
          <w:rFonts w:hint="eastAsia"/>
          <w:highlight w:val="none"/>
          <w:lang w:val="en-US" w:eastAsia="zh-CN"/>
        </w:rPr>
        <w:t>的</w:t>
      </w:r>
      <w:r>
        <w:rPr>
          <w:rFonts w:hint="eastAsia"/>
          <w:highlight w:val="none"/>
        </w:rPr>
        <w:t>申请拨付。</w:t>
      </w:r>
    </w:p>
    <w:p>
      <w:pPr>
        <w:spacing w:line="580" w:lineRule="exact"/>
        <w:ind w:firstLine="640"/>
        <w:rPr>
          <w:highlight w:val="none"/>
        </w:rPr>
      </w:pPr>
      <w:r>
        <w:rPr>
          <w:rFonts w:hint="eastAsia"/>
          <w:highlight w:val="none"/>
        </w:rPr>
        <w:t>（2）</w:t>
      </w:r>
      <w:r>
        <w:rPr>
          <w:rFonts w:hint="eastAsia"/>
          <w:highlight w:val="none"/>
          <w:lang w:val="en-US" w:eastAsia="zh-CN"/>
        </w:rPr>
        <w:t>科技局负责该项目的具体实施，包括对符合条件的人选和企业申报部署、申报推荐、形式审查、组织评审、综合论证、公示和研究审定，也负责对枣庄英才项目实施的日常管理、中期评估和期满验收工作。</w:t>
      </w:r>
    </w:p>
    <w:p>
      <w:pPr>
        <w:spacing w:line="580" w:lineRule="exact"/>
        <w:ind w:firstLine="640"/>
        <w:rPr>
          <w:rFonts w:hint="eastAsia" w:eastAsia="仿宋_GB2312"/>
          <w:highlight w:val="none"/>
          <w:lang w:eastAsia="zh-CN"/>
        </w:rPr>
      </w:pPr>
      <w:r>
        <w:rPr>
          <w:rFonts w:hint="eastAsia"/>
          <w:highlight w:val="none"/>
        </w:rPr>
        <w:t>3.项目管理组织架构</w:t>
      </w:r>
    </w:p>
    <w:p>
      <w:pPr>
        <w:spacing w:line="240" w:lineRule="auto"/>
        <w:ind w:firstLine="0" w:firstLineChars="0"/>
        <w:jc w:val="center"/>
        <w:rPr>
          <w:rFonts w:hint="eastAsia" w:eastAsia="仿宋_GB2312"/>
          <w:highlight w:val="none"/>
          <w:lang w:eastAsia="zh-CN"/>
        </w:rPr>
      </w:pPr>
      <w:r>
        <w:rPr>
          <w:rFonts w:hint="eastAsia" w:eastAsia="仿宋_GB2312"/>
          <w:highlight w:val="none"/>
          <w:lang w:eastAsia="zh-CN"/>
        </w:rPr>
        <w:drawing>
          <wp:inline distT="0" distB="0" distL="114300" distR="114300">
            <wp:extent cx="5613400" cy="2943225"/>
            <wp:effectExtent l="0" t="0" r="0" b="0"/>
            <wp:docPr id="10" name="ECB019B1-382A-4266-B25C-5B523AA43C14-1" descr="C:/Users/Administrator/AppData/Local/Temp/wps.nenKf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C:/Users/Administrator/AppData/Local/Temp/wps.nenKfOwps"/>
                    <pic:cNvPicPr>
                      <a:picLocks noChangeAspect="1"/>
                    </pic:cNvPicPr>
                  </pic:nvPicPr>
                  <pic:blipFill>
                    <a:blip r:embed="rId20"/>
                    <a:stretch>
                      <a:fillRect/>
                    </a:stretch>
                  </pic:blipFill>
                  <pic:spPr>
                    <a:xfrm>
                      <a:off x="0" y="0"/>
                      <a:ext cx="5613400" cy="2943225"/>
                    </a:xfrm>
                    <a:prstGeom prst="rect">
                      <a:avLst/>
                    </a:prstGeom>
                  </pic:spPr>
                </pic:pic>
              </a:graphicData>
            </a:graphic>
          </wp:inline>
        </w:drawing>
      </w:r>
    </w:p>
    <w:p>
      <w:pPr>
        <w:spacing w:line="580" w:lineRule="exact"/>
        <w:ind w:firstLine="0" w:firstLineChars="0"/>
        <w:jc w:val="center"/>
        <w:rPr>
          <w:rFonts w:hint="default" w:ascii="黑体" w:hAnsi="黑体" w:eastAsia="黑体"/>
          <w:sz w:val="24"/>
          <w:szCs w:val="24"/>
          <w:highlight w:val="none"/>
          <w:lang w:val="en-US" w:eastAsia="zh-CN"/>
        </w:rPr>
      </w:pPr>
      <w:r>
        <w:rPr>
          <w:rFonts w:hint="eastAsia" w:ascii="黑体" w:hAnsi="黑体" w:eastAsia="黑体"/>
          <w:sz w:val="24"/>
          <w:szCs w:val="24"/>
          <w:highlight w:val="none"/>
        </w:rPr>
        <w:t>图</w:t>
      </w:r>
      <w:r>
        <w:rPr>
          <w:rFonts w:hint="eastAsia" w:ascii="黑体" w:hAnsi="黑体" w:eastAsia="黑体"/>
          <w:sz w:val="24"/>
          <w:szCs w:val="24"/>
          <w:highlight w:val="none"/>
          <w:lang w:val="en-US" w:eastAsia="zh-CN"/>
        </w:rPr>
        <w:t>1</w:t>
      </w:r>
      <w:r>
        <w:rPr>
          <w:rFonts w:hint="eastAsia" w:ascii="黑体" w:hAnsi="黑体" w:eastAsia="黑体"/>
          <w:sz w:val="24"/>
          <w:szCs w:val="24"/>
          <w:highlight w:val="none"/>
        </w:rPr>
        <w:t>-1</w:t>
      </w:r>
      <w:r>
        <w:rPr>
          <w:rFonts w:hint="eastAsia" w:ascii="黑体" w:hAnsi="黑体" w:eastAsia="黑体"/>
          <w:sz w:val="24"/>
          <w:szCs w:val="24"/>
          <w:highlight w:val="none"/>
          <w:lang w:val="en-US" w:eastAsia="zh-CN"/>
        </w:rPr>
        <w:t xml:space="preserve">  </w:t>
      </w:r>
      <w:r>
        <w:rPr>
          <w:rFonts w:hint="eastAsia" w:ascii="黑体" w:hAnsi="黑体" w:eastAsia="黑体"/>
          <w:sz w:val="24"/>
          <w:szCs w:val="24"/>
          <w:highlight w:val="none"/>
        </w:rPr>
        <w:t>项目组织架构图</w:t>
      </w:r>
      <w:r>
        <w:rPr>
          <w:rFonts w:hint="eastAsia" w:ascii="黑体" w:hAnsi="黑体" w:eastAsia="黑体"/>
          <w:sz w:val="24"/>
          <w:szCs w:val="24"/>
          <w:highlight w:val="none"/>
          <w:lang w:val="en-US" w:eastAsia="zh-CN"/>
        </w:rPr>
        <w:t xml:space="preserve"> </w:t>
      </w:r>
    </w:p>
    <w:p>
      <w:pPr>
        <w:spacing w:line="580" w:lineRule="exact"/>
        <w:ind w:firstLine="640"/>
        <w:rPr>
          <w:highlight w:val="none"/>
        </w:rPr>
      </w:pPr>
      <w:bookmarkStart w:id="213" w:name="_Toc52121484"/>
      <w:bookmarkStart w:id="214" w:name="_Toc52275114"/>
      <w:r>
        <w:rPr>
          <w:rFonts w:hint="eastAsia"/>
          <w:highlight w:val="none"/>
        </w:rPr>
        <w:t>4.项目具体实施流程</w:t>
      </w:r>
      <w:bookmarkEnd w:id="213"/>
      <w:bookmarkEnd w:id="214"/>
    </w:p>
    <w:p>
      <w:pPr>
        <w:spacing w:line="580" w:lineRule="exact"/>
        <w:ind w:firstLine="640"/>
        <w:rPr>
          <w:rFonts w:hint="default"/>
          <w:highlight w:val="none"/>
          <w:lang w:val="en-US" w:eastAsia="zh-CN"/>
        </w:rPr>
      </w:pPr>
      <w:bookmarkStart w:id="215" w:name="_Toc52275115"/>
      <w:bookmarkStart w:id="216" w:name="_Toc52121485"/>
      <w:r>
        <w:rPr>
          <w:rFonts w:hint="eastAsia"/>
          <w:highlight w:val="none"/>
          <w:lang w:val="en-US" w:eastAsia="zh-CN"/>
        </w:rPr>
        <w:t>枣庄英才计划项目的实施先由申报人网上填报申报信息，第一，由高新区科技局摸排符合条件的人选和企业，启动申报工作。第二，由区科技局初审并出具前置考察报告，报区党群工作部审核把关后，推荐至枣庄市科技局。第三，由市、省、国家科技主管部门逐级受理并组织形式审查，确定有效人选名单。第四，在评审环节，依托评审系统组织同行专家进行答辩评审。第五，国家主管部门组织专家对初步人选进行综合论证后，确定初步建议人选名单。第六，对建议人选名单进行5个工作日公示。第七，由主管部门公布入选名单。第八，与入选人员或企业签订工作合同。第九，根据合同中任务完成情况、经费使用情况等进行中期评估。第十，项目管理期结束，对任务进行期满验收。</w:t>
      </w:r>
    </w:p>
    <w:p>
      <w:pPr>
        <w:spacing w:line="580" w:lineRule="exact"/>
        <w:ind w:firstLine="640"/>
        <w:rPr>
          <w:highlight w:val="none"/>
        </w:rPr>
      </w:pPr>
      <w:r>
        <w:rPr>
          <w:rFonts w:hint="eastAsia"/>
          <w:highlight w:val="none"/>
        </w:rPr>
        <w:t>5.资金拨付流程</w:t>
      </w:r>
      <w:bookmarkEnd w:id="215"/>
      <w:bookmarkEnd w:id="216"/>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highlight w:val="none"/>
          <w:lang w:val="en-US" w:eastAsia="zh-CN"/>
        </w:rPr>
      </w:pPr>
      <w:r>
        <w:rPr>
          <w:rFonts w:hint="eastAsia"/>
          <w:highlight w:val="none"/>
          <w:lang w:val="en-US" w:eastAsia="zh-CN"/>
        </w:rPr>
        <w:t>项目资金申请由枣庄八度阳光新能源科技有限公司、山东当康文化传播有限公司、山东天瀚新能源科技有限公司报至高新区党群工作部，再由高新区党群工作部负责向枣庄高新区财政金融局申请枣庄市市级资金及区级同比例配套资金，经区政府批准后，由区财政金融局向高新区党群工作部拨付，高新区党群工作部拨付至枣庄八度阳光新能源科技有限公司、山东当康文化传播有限公司、山东天瀚新能源科技有限公司。</w:t>
      </w:r>
    </w:p>
    <w:p>
      <w:pPr>
        <w:pStyle w:val="2"/>
        <w:rPr>
          <w:rFonts w:hint="eastAsia"/>
          <w:highlight w:val="none"/>
          <w:lang w:val="en-US" w:eastAsia="zh-CN"/>
        </w:rPr>
      </w:pPr>
    </w:p>
    <w:p>
      <w:pPr>
        <w:pStyle w:val="5"/>
        <w:rPr>
          <w:rFonts w:hint="eastAsia"/>
          <w:highlight w:val="none"/>
          <w:lang w:val="en-US" w:eastAsia="zh-CN"/>
        </w:rPr>
      </w:pPr>
    </w:p>
    <w:p>
      <w:pPr>
        <w:pStyle w:val="2"/>
        <w:rPr>
          <w:rFonts w:hint="eastAsia"/>
          <w:highlight w:val="none"/>
          <w:lang w:val="en-US" w:eastAsia="zh-CN"/>
        </w:rPr>
      </w:pPr>
    </w:p>
    <w:p>
      <w:pPr>
        <w:pStyle w:val="5"/>
        <w:rPr>
          <w:rFonts w:hint="eastAsia"/>
          <w:highlight w:val="none"/>
          <w:lang w:val="en-US" w:eastAsia="zh-CN"/>
        </w:rPr>
      </w:pPr>
    </w:p>
    <w:p>
      <w:pPr>
        <w:pStyle w:val="3"/>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166370</wp:posOffset>
                </wp:positionV>
                <wp:extent cx="1296035" cy="842010"/>
                <wp:effectExtent l="4445" t="4445" r="10160" b="6985"/>
                <wp:wrapNone/>
                <wp:docPr id="7" name="文本框 7"/>
                <wp:cNvGraphicFramePr/>
                <a:graphic xmlns:a="http://schemas.openxmlformats.org/drawingml/2006/main">
                  <a:graphicData uri="http://schemas.microsoft.com/office/word/2010/wordprocessingShape">
                    <wps:wsp>
                      <wps:cNvSpPr txBox="1"/>
                      <wps:spPr>
                        <a:xfrm>
                          <a:off x="0" y="0"/>
                          <a:ext cx="1296035" cy="842010"/>
                        </a:xfrm>
                        <a:prstGeom prst="rect">
                          <a:avLst/>
                        </a:prstGeom>
                        <a:solidFill>
                          <a:srgbClr val="00B0F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both"/>
                              <w:rPr>
                                <w:rFonts w:hint="eastAsia" w:ascii="宋体" w:hAnsi="宋体" w:eastAsia="仿宋_GB2312"/>
                                <w:b/>
                                <w:bCs/>
                                <w:caps/>
                                <w:sz w:val="13"/>
                                <w:szCs w:val="22"/>
                                <w:lang w:val="en-US" w:eastAsia="zh-CN"/>
                              </w:rPr>
                            </w:pPr>
                            <w:r>
                              <w:rPr>
                                <w:rFonts w:hint="eastAsia" w:ascii="宋体" w:hAnsi="宋体" w:eastAsia="仿宋_GB2312"/>
                                <w:b/>
                                <w:bCs/>
                                <w:caps/>
                                <w:sz w:val="13"/>
                                <w:szCs w:val="22"/>
                                <w:lang w:val="en-US" w:eastAsia="zh-CN"/>
                              </w:rPr>
                              <w:t>枣庄八度阳光新能源科技有限公司、山东当康文化传播有限公司、山东天瀚新能源科技有限公司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13.1pt;height:66.3pt;width:102.05pt;z-index:251661312;mso-width-relative:page;mso-height-relative:page;" fillcolor="#00B0F0" filled="t" stroked="t" coordsize="21600,21600" o:gfxdata="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ZH2m9YA&#10;AAAJAQAADwAAAAAAAAABACAAAAAiAAAAZHJzL2Rvd25yZXYueG1sUEsBAhQAFAAAAAgAh07iQOAi&#10;dTRaAgAAtwQAAA4AAAAAAAAAAQAgAAAAJQEAAGRycy9lMm9Eb2MueG1sUEsFBgAAAAAGAAYAWQEA&#10;APEFAAAAAA==&#10;">
                <v:fill on="t" focussize="0,0"/>
                <v:stroke weight="0.5pt" color="#000000 [3204]" joinstyle="round"/>
                <v:imagedata o:title=""/>
                <o:lock v:ext="edit" aspectratio="f"/>
                <v:textbox>
                  <w:txbxContent>
                    <w:p>
                      <w:pPr>
                        <w:adjustRightInd/>
                        <w:snapToGrid/>
                        <w:spacing w:line="300" w:lineRule="exact"/>
                        <w:ind w:firstLine="0" w:firstLineChars="0"/>
                        <w:jc w:val="both"/>
                        <w:rPr>
                          <w:rFonts w:hint="eastAsia" w:ascii="宋体" w:hAnsi="宋体" w:eastAsia="仿宋_GB2312"/>
                          <w:b/>
                          <w:bCs/>
                          <w:caps/>
                          <w:sz w:val="13"/>
                          <w:szCs w:val="22"/>
                          <w:lang w:val="en-US" w:eastAsia="zh-CN"/>
                        </w:rPr>
                      </w:pPr>
                      <w:r>
                        <w:rPr>
                          <w:rFonts w:hint="eastAsia" w:ascii="宋体" w:hAnsi="宋体" w:eastAsia="仿宋_GB2312"/>
                          <w:b/>
                          <w:bCs/>
                          <w:caps/>
                          <w:sz w:val="13"/>
                          <w:szCs w:val="22"/>
                          <w:lang w:val="en-US" w:eastAsia="zh-CN"/>
                        </w:rPr>
                        <w:t>枣庄八度阳光新能源科技有限公司、山东当康文化传播有限公司、山东天瀚新能源科技有限公司</w:t>
                      </w:r>
                    </w:p>
                  </w:txbxContent>
                </v:textbox>
              </v:shape>
            </w:pict>
          </mc:Fallback>
        </mc:AlternateContent>
      </w:r>
    </w:p>
    <w:p>
      <w:pPr>
        <w:adjustRightInd/>
        <w:snapToGrid/>
        <w:spacing w:line="600" w:lineRule="exact"/>
        <w:ind w:firstLine="640"/>
        <w:jc w:val="left"/>
        <w:rPr>
          <w:rFonts w:ascii="Arial" w:hAnsi="Arial" w:cs="Arial"/>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1932305</wp:posOffset>
                </wp:positionH>
                <wp:positionV relativeFrom="paragraph">
                  <wp:posOffset>136525</wp:posOffset>
                </wp:positionV>
                <wp:extent cx="1313180" cy="462280"/>
                <wp:effectExtent l="4445" t="4445" r="8255" b="5715"/>
                <wp:wrapNone/>
                <wp:docPr id="13" name="文本框 13"/>
                <wp:cNvGraphicFramePr/>
                <a:graphic xmlns:a="http://schemas.openxmlformats.org/drawingml/2006/main">
                  <a:graphicData uri="http://schemas.microsoft.com/office/word/2010/wordprocessingShape">
                    <wps:wsp>
                      <wps:cNvSpPr txBox="1"/>
                      <wps:spPr>
                        <a:xfrm>
                          <a:off x="3009900" y="3937000"/>
                          <a:ext cx="1313180" cy="462280"/>
                        </a:xfrm>
                        <a:prstGeom prst="rect">
                          <a:avLst/>
                        </a:prstGeom>
                        <a:solidFill>
                          <a:srgbClr val="00B05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rFonts w:hint="eastAsia"/>
                                <w:b/>
                                <w:bCs/>
                                <w:sz w:val="22"/>
                                <w:szCs w:val="22"/>
                                <w:lang w:val="en-US" w:eastAsia="zh-CN"/>
                              </w:rPr>
                              <w:t>高新区党群工作部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15pt;margin-top:10.75pt;height:36.4pt;width:103.4pt;z-index:251663360;mso-width-relative:page;mso-height-relative:page;" fillcolor="#00B050" filled="t" stroked="t" coordsize="21600,21600" o:gfxdata="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ngBr2QAAAAkBAAAPAAAAAAAAAAEAIAAAACIAAABkcnMvZG93bnJldi54bWxQSwECFAAU&#10;AAAACACHTuJAW8ePPGICAADFBAAADgAAAAAAAAABACAAAAAoAQAAZHJzL2Uyb0RvYy54bWxQSwUG&#10;AAAAAAYABgBZAQAA/AUAAAAA&#10;">
                <v:fill on="t" focussize="0,0"/>
                <v:stroke weight="0.5pt" color="#000000 [3204]" joinstyle="round"/>
                <v:imagedata o:title=""/>
                <o:lock v:ext="edit" aspectratio="f"/>
                <v:textbox>
                  <w:txbxContent>
                    <w:p>
                      <w:pPr>
                        <w:ind w:left="0" w:leftChars="0" w:firstLine="0" w:firstLineChars="0"/>
                      </w:pPr>
                      <w:r>
                        <w:rPr>
                          <w:rFonts w:hint="eastAsia"/>
                          <w:b/>
                          <w:bCs/>
                          <w:sz w:val="22"/>
                          <w:szCs w:val="22"/>
                          <w:lang w:val="en-US" w:eastAsia="zh-CN"/>
                        </w:rPr>
                        <w:t>高新区党群工作部</w:t>
                      </w: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olumn">
                  <wp:posOffset>4333240</wp:posOffset>
                </wp:positionH>
                <wp:positionV relativeFrom="paragraph">
                  <wp:posOffset>239395</wp:posOffset>
                </wp:positionV>
                <wp:extent cx="967740" cy="379095"/>
                <wp:effectExtent l="4445" t="4445" r="18415" b="16510"/>
                <wp:wrapNone/>
                <wp:docPr id="21" name="文本框 21"/>
                <wp:cNvGraphicFramePr/>
                <a:graphic xmlns:a="http://schemas.openxmlformats.org/drawingml/2006/main">
                  <a:graphicData uri="http://schemas.microsoft.com/office/word/2010/wordprocessingShape">
                    <wps:wsp>
                      <wps:cNvSpPr txBox="1"/>
                      <wps:spPr>
                        <a:xfrm>
                          <a:off x="5323205" y="3841750"/>
                          <a:ext cx="967740" cy="379095"/>
                        </a:xfrm>
                        <a:prstGeom prst="rect">
                          <a:avLst/>
                        </a:prstGeom>
                        <a:gradFill>
                          <a:gsLst>
                            <a:gs pos="0">
                              <a:srgbClr val="FE4444"/>
                            </a:gs>
                            <a:gs pos="100000">
                              <a:srgbClr val="832B2B"/>
                            </a:gs>
                          </a:gsLst>
                          <a:lin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b/>
                                <w:bCs/>
                                <w:sz w:val="22"/>
                                <w:szCs w:val="22"/>
                              </w:rPr>
                            </w:pPr>
                            <w:r>
                              <w:rPr>
                                <w:rFonts w:hint="eastAsia"/>
                                <w:b/>
                                <w:bCs/>
                                <w:sz w:val="22"/>
                                <w:szCs w:val="22"/>
                                <w:lang w:val="en-US" w:eastAsia="zh-CN"/>
                              </w:rPr>
                              <w:t>高新区</w:t>
                            </w:r>
                            <w:r>
                              <w:rPr>
                                <w:rFonts w:hint="eastAsia"/>
                                <w:b/>
                                <w:bCs/>
                                <w:sz w:val="22"/>
                                <w:szCs w:val="22"/>
                              </w:rPr>
                              <w:t>政府</w:t>
                            </w:r>
                          </w:p>
                          <w:p>
                            <w:pPr>
                              <w:ind w:firstLine="64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2pt;margin-top:18.85pt;height:29.85pt;width:76.2pt;z-index:251665408;mso-width-relative:page;mso-height-relative:page;" fillcolor="#FE4444" filled="t" stroked="t" coordsize="21600,21600" o:gfxdata="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JtnMNkAAAAJAQAADwAAAAAAAAABACAAAAAiAAAAZHJzL2Rvd25yZXYueG1sUEsBAhQAFAAAAAgA&#10;h07iQIzk8OeWAgAAMAUAAA4AAAAAAAAAAQAgAAAAKAEAAGRycy9lMm9Eb2MueG1sUEsFBgAAAAAG&#10;AAYAWQEAADAGAAAAAA==&#10;">
                <v:fill type="gradient" on="t" color2="#832B2B" angle="90" focus="100%" focussize="0,0" rotate="t">
                  <o:fill type="gradientUnscaled" v:ext="backwardCompatible"/>
                </v:fill>
                <v:stroke weight="0.5pt" color="#000000 [3204]" joinstyle="round"/>
                <v:imagedata o:title=""/>
                <o:lock v:ext="edit" aspectratio="f"/>
                <v:textbox>
                  <w:txbxContent>
                    <w:p>
                      <w:pPr>
                        <w:adjustRightInd/>
                        <w:snapToGrid/>
                        <w:spacing w:line="300" w:lineRule="exact"/>
                        <w:ind w:firstLine="0" w:firstLineChars="0"/>
                        <w:jc w:val="center"/>
                        <w:rPr>
                          <w:b/>
                          <w:bCs/>
                          <w:sz w:val="22"/>
                          <w:szCs w:val="22"/>
                        </w:rPr>
                      </w:pPr>
                      <w:r>
                        <w:rPr>
                          <w:rFonts w:hint="eastAsia"/>
                          <w:b/>
                          <w:bCs/>
                          <w:sz w:val="22"/>
                          <w:szCs w:val="22"/>
                          <w:lang w:val="en-US" w:eastAsia="zh-CN"/>
                        </w:rPr>
                        <w:t>高新区</w:t>
                      </w:r>
                      <w:r>
                        <w:rPr>
                          <w:rFonts w:hint="eastAsia"/>
                          <w:b/>
                          <w:bCs/>
                          <w:sz w:val="22"/>
                          <w:szCs w:val="22"/>
                        </w:rPr>
                        <w:t>政府</w:t>
                      </w:r>
                    </w:p>
                    <w:p>
                      <w:pPr>
                        <w:ind w:firstLine="640"/>
                      </w:pPr>
                    </w:p>
                  </w:txbxContent>
                </v:textbox>
              </v:shape>
            </w:pict>
          </mc:Fallback>
        </mc:AlternateContent>
      </w:r>
    </w:p>
    <w:p>
      <w:pPr>
        <w:adjustRightInd/>
        <w:snapToGrid/>
        <w:spacing w:line="600" w:lineRule="exact"/>
        <w:ind w:firstLine="640"/>
        <w:jc w:val="left"/>
        <w:rPr>
          <w:rFonts w:ascii="Arial" w:hAnsi="Arial" w:cs="Arial"/>
          <w:highlight w:val="none"/>
        </w:rPr>
      </w:pPr>
      <w:r>
        <w:rPr>
          <w:highlight w:val="none"/>
        </w:rPr>
        <mc:AlternateContent>
          <mc:Choice Requires="wps">
            <w:drawing>
              <wp:anchor distT="0" distB="0" distL="114300" distR="114300" simplePos="0" relativeHeight="251669504" behindDoc="0" locked="0" layoutInCell="1" allowOverlap="1">
                <wp:simplePos x="0" y="0"/>
                <wp:positionH relativeFrom="column">
                  <wp:posOffset>1246505</wp:posOffset>
                </wp:positionH>
                <wp:positionV relativeFrom="paragraph">
                  <wp:posOffset>277495</wp:posOffset>
                </wp:positionV>
                <wp:extent cx="782955" cy="331470"/>
                <wp:effectExtent l="4445" t="5080" r="5080" b="13970"/>
                <wp:wrapNone/>
                <wp:docPr id="34" name="文本框 34"/>
                <wp:cNvGraphicFramePr/>
                <a:graphic xmlns:a="http://schemas.openxmlformats.org/drawingml/2006/main">
                  <a:graphicData uri="http://schemas.microsoft.com/office/word/2010/wordprocessingShape">
                    <wps:wsp>
                      <wps:cNvSpPr txBox="1"/>
                      <wps:spPr>
                        <a:xfrm>
                          <a:off x="2166620" y="3705860"/>
                          <a:ext cx="782955"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sz w:val="21"/>
                                <w:szCs w:val="21"/>
                              </w:rPr>
                            </w:pPr>
                            <w:r>
                              <w:rPr>
                                <w:rFonts w:hint="eastAsia"/>
                                <w:sz w:val="21"/>
                                <w:szCs w:val="21"/>
                              </w:rPr>
                              <w:t>提交申请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15pt;margin-top:21.85pt;height:26.1pt;width:61.65pt;z-index:251669504;mso-width-relative:page;mso-height-relative:page;" fillcolor="#FFFFFF [3201]" filled="t" stroked="t" coordsize="21600,21600" o:gfxdata="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v/lAPVAAAACQEAAA8AAAAAAAAAAQAgAAAAIgAAAGRycy9kb3ducmV2LnhtbFBLAQIUABQA&#10;AAAIAIdO4kDz81yMZQIAAMQEAAAOAAAAAAAAAAEAIAAAACQBAABkcnMvZTJvRG9jLnhtbFBLBQYA&#10;AAAABgAGAFkBAAD7BQAAAAA=&#10;">
                <v:fill on="t" focussize="0,0"/>
                <v:stroke weight="0.5pt" color="#000000 [3204]" joinstyle="round"/>
                <v:imagedata o:title=""/>
                <o:lock v:ext="edit" aspectratio="f"/>
                <v:textbox>
                  <w:txbxContent>
                    <w:p>
                      <w:pPr>
                        <w:adjustRightInd/>
                        <w:snapToGrid/>
                        <w:spacing w:line="300" w:lineRule="exact"/>
                        <w:ind w:firstLine="0" w:firstLineChars="0"/>
                        <w:jc w:val="center"/>
                        <w:rPr>
                          <w:sz w:val="21"/>
                          <w:szCs w:val="21"/>
                        </w:rPr>
                      </w:pPr>
                      <w:r>
                        <w:rPr>
                          <w:rFonts w:hint="eastAsia"/>
                          <w:sz w:val="21"/>
                          <w:szCs w:val="21"/>
                        </w:rPr>
                        <w:t>提交申请</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1251585</wp:posOffset>
                </wp:positionH>
                <wp:positionV relativeFrom="paragraph">
                  <wp:posOffset>48260</wp:posOffset>
                </wp:positionV>
                <wp:extent cx="680720" cy="2540"/>
                <wp:effectExtent l="0" t="48895" r="5080" b="62865"/>
                <wp:wrapNone/>
                <wp:docPr id="9" name="直接箭头连接符 9"/>
                <wp:cNvGraphicFramePr/>
                <a:graphic xmlns:a="http://schemas.openxmlformats.org/drawingml/2006/main">
                  <a:graphicData uri="http://schemas.microsoft.com/office/word/2010/wordprocessingShape">
                    <wps:wsp>
                      <wps:cNvCnPr/>
                      <wps:spPr>
                        <a:xfrm flipV="1">
                          <a:off x="2044065" y="4045585"/>
                          <a:ext cx="68072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8.55pt;margin-top:3.8pt;height:0.2pt;width:53.6pt;z-index:251662336;mso-width-relative:page;mso-height-relative:page;" filled="f" stroked="t" coordsize="21600,21600" o:gfxdata="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vAEF1wAAAAcBAAAPAAAAAAAAAAEAIAAAACIAAABkcnMvZG93bnJldi54bWxQSwEC&#10;FAAUAAAACACHTuJAX82KQy4CAAAYBAAADgAAAAAAAAABACAAAAAmAQAAZHJzL2Uyb0RvYy54bWxQ&#10;SwUGAAAAAAYABgBZAQAAxgUAAAAA&#10;">
                <v:fill on="f" focussize="0,0"/>
                <v:stroke color="#4A7EBB [3204]" joinstyle="round" endarrow="open"/>
                <v:imagedata o:title=""/>
                <o:lock v:ext="edit" aspectratio="f"/>
              </v:shape>
            </w:pict>
          </mc:Fallback>
        </mc:AlternateContent>
      </w:r>
      <w:r>
        <w:rPr>
          <w:highlight w:val="none"/>
        </w:rPr>
        <mc:AlternateContent>
          <mc:Choice Requires="wps">
            <w:drawing>
              <wp:anchor distT="0" distB="0" distL="114300" distR="114300" simplePos="0" relativeHeight="251670528" behindDoc="0" locked="0" layoutInCell="1" allowOverlap="1">
                <wp:simplePos x="0" y="0"/>
                <wp:positionH relativeFrom="column">
                  <wp:posOffset>3336290</wp:posOffset>
                </wp:positionH>
                <wp:positionV relativeFrom="paragraph">
                  <wp:posOffset>101600</wp:posOffset>
                </wp:positionV>
                <wp:extent cx="883285" cy="331470"/>
                <wp:effectExtent l="4445" t="5080" r="7620" b="6350"/>
                <wp:wrapNone/>
                <wp:docPr id="36" name="文本框 36"/>
                <wp:cNvGraphicFramePr/>
                <a:graphic xmlns:a="http://schemas.openxmlformats.org/drawingml/2006/main">
                  <a:graphicData uri="http://schemas.microsoft.com/office/word/2010/wordprocessingShape">
                    <wps:wsp>
                      <wps:cNvSpPr txBox="1"/>
                      <wps:spPr>
                        <a:xfrm>
                          <a:off x="0" y="0"/>
                          <a:ext cx="883285"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sz w:val="21"/>
                                <w:szCs w:val="21"/>
                              </w:rPr>
                            </w:pPr>
                            <w:r>
                              <w:rPr>
                                <w:rFonts w:hint="eastAsia"/>
                                <w:sz w:val="21"/>
                                <w:szCs w:val="21"/>
                              </w:rPr>
                              <w:t>审核、申请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7pt;margin-top:8pt;height:26.1pt;width:69.55pt;z-index:251670528;mso-width-relative:page;mso-height-relative:page;" fillcolor="#FFFFFF [3201]" filled="t" stroked="t" coordsize="21600,21600" o:gfxdata="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qWi7tUA&#10;AAAJAQAADwAAAAAAAAABACAAAAAiAAAAZHJzL2Rvd25yZXYueG1sUEsBAhQAFAAAAAgAh07iQNS+&#10;VQxbAgAAuAQAAA4AAAAAAAAAAQAgAAAAJAEAAGRycy9lMm9Eb2MueG1sUEsFBgAAAAAGAAYAWQEA&#10;APEFAAAAAA==&#10;">
                <v:fill on="t" focussize="0,0"/>
                <v:stroke weight="0.5pt" color="#000000 [3204]" joinstyle="round"/>
                <v:imagedata o:title=""/>
                <o:lock v:ext="edit" aspectratio="f"/>
                <v:textbox>
                  <w:txbxContent>
                    <w:p>
                      <w:pPr>
                        <w:adjustRightInd/>
                        <w:snapToGrid/>
                        <w:spacing w:line="300" w:lineRule="exact"/>
                        <w:ind w:firstLine="0" w:firstLineChars="0"/>
                        <w:jc w:val="center"/>
                        <w:rPr>
                          <w:sz w:val="21"/>
                          <w:szCs w:val="21"/>
                        </w:rPr>
                      </w:pPr>
                      <w:r>
                        <w:rPr>
                          <w:rFonts w:hint="eastAsia"/>
                          <w:sz w:val="21"/>
                          <w:szCs w:val="21"/>
                        </w:rPr>
                        <w:t>审核、申请</w:t>
                      </w:r>
                    </w:p>
                  </w:txbxContent>
                </v:textbox>
              </v:shap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olumn">
                  <wp:posOffset>3898900</wp:posOffset>
                </wp:positionH>
                <wp:positionV relativeFrom="paragraph">
                  <wp:posOffset>48260</wp:posOffset>
                </wp:positionV>
                <wp:extent cx="1402080" cy="939165"/>
                <wp:effectExtent l="0" t="4445" r="255270" b="66040"/>
                <wp:wrapNone/>
                <wp:docPr id="22" name="肘形连接符 22"/>
                <wp:cNvGraphicFramePr/>
                <a:graphic xmlns:a="http://schemas.openxmlformats.org/drawingml/2006/main">
                  <a:graphicData uri="http://schemas.microsoft.com/office/word/2010/wordprocessingShape">
                    <wps:wsp>
                      <wps:cNvCnPr/>
                      <wps:spPr>
                        <a:xfrm flipH="1">
                          <a:off x="5200650" y="4100195"/>
                          <a:ext cx="1402080" cy="939165"/>
                        </a:xfrm>
                        <a:prstGeom prst="bentConnector3">
                          <a:avLst>
                            <a:gd name="adj1" fmla="val -16984"/>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307pt;margin-top:3.8pt;height:73.95pt;width:110.4pt;z-index:251666432;mso-width-relative:page;mso-height-relative:page;" filled="f" stroked="t" coordsize="21600,21600" o:gfxdata="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SeyDtkAAAAJAQAADwAAAAAAAAABACAAAAAi&#10;AAAAZHJzL2Rvd25yZXYueG1sUEsBAhQAFAAAAAgAh07iQKwQM6JCAgAAQQQAAA4AAAAAAAAAAQAg&#10;AAAAKAEAAGRycy9lMm9Eb2MueG1sUEsFBgAAAAAGAAYAWQEAANwFAAAAAA==&#10;" adj="-3669">
                <v:fill on="f" focussize="0,0"/>
                <v:stroke color="#4A7EBB [3204]" joinstyle="round" endarrow="open"/>
                <v:imagedata o:title=""/>
                <o:lock v:ext="edit" aspectratio="f"/>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3245485</wp:posOffset>
                </wp:positionH>
                <wp:positionV relativeFrom="paragraph">
                  <wp:posOffset>41910</wp:posOffset>
                </wp:positionV>
                <wp:extent cx="1047750" cy="6350"/>
                <wp:effectExtent l="0" t="48895" r="0" b="59055"/>
                <wp:wrapNone/>
                <wp:docPr id="14" name="直接箭头连接符 14"/>
                <wp:cNvGraphicFramePr/>
                <a:graphic xmlns:a="http://schemas.openxmlformats.org/drawingml/2006/main">
                  <a:graphicData uri="http://schemas.microsoft.com/office/word/2010/wordprocessingShape">
                    <wps:wsp>
                      <wps:cNvCnPr/>
                      <wps:spPr>
                        <a:xfrm flipV="1">
                          <a:off x="4262120" y="4059555"/>
                          <a:ext cx="104775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5.55pt;margin-top:3.3pt;height:0.5pt;width:82.5pt;z-index:251664384;mso-width-relative:page;mso-height-relative:page;" filled="f" stroked="t" coordsize="21600,21600" o:gfxdata="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jiqdYAAAAHAQAADwAAAAAAAAABACAAAAAiAAAAZHJzL2Rvd25yZXYueG1sUEsBAhQA&#10;FAAAAAgAh07iQIprfSUtAgAAGwQAAA4AAAAAAAAAAQAgAAAAJQEAAGRycy9lMm9Eb2MueG1sUEsF&#10;BgAAAAAGAAYAWQEAAMQFAAAAAA==&#10;">
                <v:fill on="f" focussize="0,0"/>
                <v:stroke color="#4A7EBB [3204]" joinstyle="round" endarrow="open"/>
                <v:imagedata o:title=""/>
                <o:lock v:ext="edit" aspectratio="f"/>
              </v:shape>
            </w:pict>
          </mc:Fallback>
        </mc:AlternateContent>
      </w:r>
    </w:p>
    <w:p>
      <w:pPr>
        <w:adjustRightInd/>
        <w:snapToGrid/>
        <w:spacing w:line="600" w:lineRule="exact"/>
        <w:ind w:firstLine="640"/>
        <w:jc w:val="left"/>
        <w:rPr>
          <w:rFonts w:ascii="Arial" w:hAnsi="Arial" w:cs="Arial"/>
          <w:highlight w:val="none"/>
        </w:rPr>
      </w:pPr>
      <w:r>
        <w:rPr>
          <w:highlight w:val="none"/>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121920</wp:posOffset>
                </wp:positionV>
                <wp:extent cx="718820" cy="331470"/>
                <wp:effectExtent l="4445" t="4445" r="19685" b="6985"/>
                <wp:wrapNone/>
                <wp:docPr id="17" name="文本框 17"/>
                <wp:cNvGraphicFramePr/>
                <a:graphic xmlns:a="http://schemas.openxmlformats.org/drawingml/2006/main">
                  <a:graphicData uri="http://schemas.microsoft.com/office/word/2010/wordprocessingShape">
                    <wps:wsp>
                      <wps:cNvSpPr txBox="1"/>
                      <wps:spPr>
                        <a:xfrm>
                          <a:off x="0" y="0"/>
                          <a:ext cx="718820"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sz w:val="21"/>
                                <w:szCs w:val="21"/>
                              </w:rPr>
                            </w:pPr>
                            <w:r>
                              <w:rPr>
                                <w:rFonts w:hint="eastAsia"/>
                                <w:sz w:val="21"/>
                                <w:szCs w:val="21"/>
                              </w:rPr>
                              <w:t>拨付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pt;margin-top:9.6pt;height:26.1pt;width:56.6pt;z-index:251675648;mso-width-relative:page;mso-height-relative:page;" fillcolor="#FFFFFF [3201]" filled="t" stroked="t" coordsize="21600,21600" o:gfxdata="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yfl5tYA&#10;AAAIAQAADwAAAAAAAAABACAAAAAiAAAAZHJzL2Rvd25yZXYueG1sUEsBAhQAFAAAAAgAh07iQHIk&#10;X8JaAgAAuAQAAA4AAAAAAAAAAQAgAAAAJQEAAGRycy9lMm9Eb2MueG1sUEsFBgAAAAAGAAYAWQEA&#10;APEFAAAAAA==&#10;">
                <v:fill on="t" focussize="0,0"/>
                <v:stroke weight="0.5pt" color="#000000 [3204]" joinstyle="round"/>
                <v:imagedata o:title=""/>
                <o:lock v:ext="edit" aspectratio="f"/>
                <v:textbox>
                  <w:txbxContent>
                    <w:p>
                      <w:pPr>
                        <w:adjustRightInd/>
                        <w:snapToGrid/>
                        <w:spacing w:line="300" w:lineRule="exact"/>
                        <w:ind w:firstLine="0" w:firstLineChars="0"/>
                        <w:jc w:val="center"/>
                        <w:rPr>
                          <w:sz w:val="21"/>
                          <w:szCs w:val="21"/>
                        </w:rPr>
                      </w:pPr>
                      <w:r>
                        <w:rPr>
                          <w:rFonts w:hint="eastAsia"/>
                          <w:sz w:val="21"/>
                          <w:szCs w:val="21"/>
                        </w:rPr>
                        <w:t>拨付</w:t>
                      </w:r>
                    </w:p>
                  </w:txbxContent>
                </v:textbox>
              </v:shape>
            </w:pict>
          </mc:Fallback>
        </mc:AlternateContent>
      </w:r>
      <w:r>
        <w:rPr>
          <w:highlight w:val="none"/>
        </w:rPr>
        <mc:AlternateContent>
          <mc:Choice Requires="wps">
            <w:drawing>
              <wp:anchor distT="0" distB="0" distL="114300" distR="114300" simplePos="0" relativeHeight="251674624" behindDoc="0" locked="0" layoutInCell="1" allowOverlap="1">
                <wp:simplePos x="0" y="0"/>
                <wp:positionH relativeFrom="column">
                  <wp:posOffset>853440</wp:posOffset>
                </wp:positionH>
                <wp:positionV relativeFrom="paragraph">
                  <wp:posOffset>-61595</wp:posOffset>
                </wp:positionV>
                <wp:extent cx="8255" cy="562610"/>
                <wp:effectExtent l="41910" t="0" r="64135" b="8890"/>
                <wp:wrapNone/>
                <wp:docPr id="15" name="直接箭头连接符 15"/>
                <wp:cNvGraphicFramePr/>
                <a:graphic xmlns:a="http://schemas.openxmlformats.org/drawingml/2006/main">
                  <a:graphicData uri="http://schemas.microsoft.com/office/word/2010/wordprocessingShape">
                    <wps:wsp>
                      <wps:cNvCnPr/>
                      <wps:spPr>
                        <a:xfrm flipV="1">
                          <a:off x="0" y="0"/>
                          <a:ext cx="8255" cy="562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7.2pt;margin-top:-4.85pt;height:44.3pt;width:0.65pt;z-index:251674624;mso-width-relative:page;mso-height-relative:page;" filled="f" stroked="t" coordsize="21600,21600" o:gfxdata="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3q&#10;VknaAAAACQEAAA8AAAAAAAAAAQAgAAAAIgAAAGRycy9kb3ducmV2LnhtbFBLAQIUABQAAAAIAIdO&#10;4kCqaeFsIQIAAA4EAAAOAAAAAAAAAAEAIAAAACkBAABkcnMvZTJvRG9jLnhtbFBLBQYAAAAABgAG&#10;AFkBAAC8BQAAAAA=&#10;">
                <v:fill on="f" focussize="0,0"/>
                <v:stroke color="#4A7EBB [3204]" joinstyle="round" endarrow="open"/>
                <v:imagedata o:title=""/>
                <o:lock v:ext="edit" aspectratio="f"/>
              </v:shape>
            </w:pict>
          </mc:Fallback>
        </mc:AlternateContent>
      </w:r>
    </w:p>
    <w:p>
      <w:pPr>
        <w:adjustRightInd/>
        <w:snapToGrid/>
        <w:spacing w:line="600" w:lineRule="exact"/>
        <w:ind w:firstLine="640"/>
        <w:jc w:val="left"/>
        <w:rPr>
          <w:rFonts w:ascii="Arial" w:hAnsi="Arial" w:cs="Arial"/>
          <w:highlight w:val="none"/>
        </w:rPr>
      </w:pPr>
      <w:r>
        <w:rPr>
          <w:highlight w:val="none"/>
        </w:rPr>
        <mc:AlternateContent>
          <mc:Choice Requires="wps">
            <w:drawing>
              <wp:anchor distT="0" distB="0" distL="114300" distR="114300" simplePos="0" relativeHeight="251667456" behindDoc="0" locked="0" layoutInCell="1" allowOverlap="1">
                <wp:simplePos x="0" y="0"/>
                <wp:positionH relativeFrom="column">
                  <wp:posOffset>2726055</wp:posOffset>
                </wp:positionH>
                <wp:positionV relativeFrom="paragraph">
                  <wp:posOffset>78740</wp:posOffset>
                </wp:positionV>
                <wp:extent cx="1404620" cy="584835"/>
                <wp:effectExtent l="4445" t="4445" r="8255" b="5080"/>
                <wp:wrapNone/>
                <wp:docPr id="23" name="文本框 23"/>
                <wp:cNvGraphicFramePr/>
                <a:graphic xmlns:a="http://schemas.openxmlformats.org/drawingml/2006/main">
                  <a:graphicData uri="http://schemas.microsoft.com/office/word/2010/wordprocessingShape">
                    <wps:wsp>
                      <wps:cNvSpPr txBox="1"/>
                      <wps:spPr>
                        <a:xfrm>
                          <a:off x="3976370" y="4780915"/>
                          <a:ext cx="1404620" cy="584835"/>
                        </a:xfrm>
                        <a:prstGeom prst="rect">
                          <a:avLst/>
                        </a:prstGeom>
                        <a:solidFill>
                          <a:srgbClr val="92D05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0" w:firstLineChars="0"/>
                              <w:jc w:val="center"/>
                              <w:rPr>
                                <w:rFonts w:hint="default" w:eastAsia="仿宋_GB2312"/>
                                <w:lang w:val="en-US" w:eastAsia="zh-CN"/>
                              </w:rPr>
                            </w:pPr>
                            <w:r>
                              <w:rPr>
                                <w:rFonts w:hint="eastAsia"/>
                                <w:b/>
                                <w:bCs/>
                                <w:sz w:val="22"/>
                                <w:szCs w:val="22"/>
                                <w:lang w:val="en-US" w:eastAsia="zh-CN"/>
                              </w:rPr>
                              <w:t>枣庄高新区</w:t>
                            </w:r>
                            <w:r>
                              <w:rPr>
                                <w:rFonts w:hint="eastAsia"/>
                                <w:b/>
                                <w:bCs/>
                                <w:sz w:val="22"/>
                                <w:szCs w:val="22"/>
                              </w:rPr>
                              <w:t>财政</w:t>
                            </w:r>
                            <w:r>
                              <w:rPr>
                                <w:rFonts w:hint="eastAsia"/>
                                <w:b/>
                                <w:bCs/>
                                <w:sz w:val="22"/>
                                <w:szCs w:val="22"/>
                                <w:lang w:val="en-US" w:eastAsia="zh-CN"/>
                              </w:rPr>
                              <w:t>金融</w:t>
                            </w:r>
                            <w:r>
                              <w:rPr>
                                <w:rFonts w:hint="eastAsia"/>
                                <w:b/>
                                <w:bCs/>
                                <w:sz w:val="22"/>
                                <w:szCs w:val="22"/>
                              </w:rPr>
                              <w:t>局</w:t>
                            </w:r>
                            <w:r>
                              <w:rPr>
                                <w:rFonts w:hint="eastAsia"/>
                                <w:b/>
                                <w:bCs/>
                                <w:sz w:val="22"/>
                                <w:szCs w:val="22"/>
                                <w:lang w:eastAsia="zh-CN"/>
                              </w:rPr>
                              <w:t>、</w:t>
                            </w:r>
                            <w:r>
                              <w:rPr>
                                <w:rFonts w:hint="eastAsia"/>
                                <w:b/>
                                <w:bCs/>
                                <w:sz w:val="22"/>
                                <w:szCs w:val="22"/>
                                <w:lang w:val="en-US" w:eastAsia="zh-CN"/>
                              </w:rPr>
                              <w:t>枣庄市财政局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65pt;margin-top:6.2pt;height:46.05pt;width:110.6pt;z-index:251667456;mso-width-relative:page;mso-height-relative:page;" fillcolor="#92D050" filled="t" stroked="t" coordsize="21600,21600" o:gfxdata="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RZlcfZAAAACgEAAA8AAAAAAAAAAQAgAAAAIgAAAGRycy9kb3ducmV2LnhtbFBL&#10;AQIUABQAAAAIAIdO4kC8pJEuZwIAAMUEAAAOAAAAAAAAAAEAIAAAACgBAABkcnMvZTJvRG9jLnht&#10;bFBLBQYAAAAABgAGAFkBAAABBgAAAAA=&#10;">
                <v:fill on="t" focussize="0,0"/>
                <v:stroke weight="0.5pt" color="#000000 [3204]" joinstyle="round"/>
                <v:imagedata o:title=""/>
                <o:lock v:ext="edit" aspectratio="f"/>
                <v:textbox>
                  <w:txbxContent>
                    <w:p>
                      <w:pPr>
                        <w:spacing w:line="360" w:lineRule="auto"/>
                        <w:ind w:firstLine="0" w:firstLineChars="0"/>
                        <w:jc w:val="center"/>
                        <w:rPr>
                          <w:rFonts w:hint="default" w:eastAsia="仿宋_GB2312"/>
                          <w:lang w:val="en-US" w:eastAsia="zh-CN"/>
                        </w:rPr>
                      </w:pPr>
                      <w:r>
                        <w:rPr>
                          <w:rFonts w:hint="eastAsia"/>
                          <w:b/>
                          <w:bCs/>
                          <w:sz w:val="22"/>
                          <w:szCs w:val="22"/>
                          <w:lang w:val="en-US" w:eastAsia="zh-CN"/>
                        </w:rPr>
                        <w:t>枣庄高新区</w:t>
                      </w:r>
                      <w:r>
                        <w:rPr>
                          <w:rFonts w:hint="eastAsia"/>
                          <w:b/>
                          <w:bCs/>
                          <w:sz w:val="22"/>
                          <w:szCs w:val="22"/>
                        </w:rPr>
                        <w:t>财政</w:t>
                      </w:r>
                      <w:r>
                        <w:rPr>
                          <w:rFonts w:hint="eastAsia"/>
                          <w:b/>
                          <w:bCs/>
                          <w:sz w:val="22"/>
                          <w:szCs w:val="22"/>
                          <w:lang w:val="en-US" w:eastAsia="zh-CN"/>
                        </w:rPr>
                        <w:t>金融</w:t>
                      </w:r>
                      <w:r>
                        <w:rPr>
                          <w:rFonts w:hint="eastAsia"/>
                          <w:b/>
                          <w:bCs/>
                          <w:sz w:val="22"/>
                          <w:szCs w:val="22"/>
                        </w:rPr>
                        <w:t>局</w:t>
                      </w:r>
                      <w:r>
                        <w:rPr>
                          <w:rFonts w:hint="eastAsia"/>
                          <w:b/>
                          <w:bCs/>
                          <w:sz w:val="22"/>
                          <w:szCs w:val="22"/>
                          <w:lang w:eastAsia="zh-CN"/>
                        </w:rPr>
                        <w:t>、</w:t>
                      </w:r>
                      <w:r>
                        <w:rPr>
                          <w:rFonts w:hint="eastAsia"/>
                          <w:b/>
                          <w:bCs/>
                          <w:sz w:val="22"/>
                          <w:szCs w:val="22"/>
                          <w:lang w:val="en-US" w:eastAsia="zh-CN"/>
                        </w:rPr>
                        <w:t>枣庄市财政局</w:t>
                      </w:r>
                    </w:p>
                  </w:txbxContent>
                </v:textbox>
              </v:shape>
            </w:pict>
          </mc:Fallback>
        </mc:AlternateContent>
      </w:r>
      <w:r>
        <w:rPr>
          <w:highlight w:val="none"/>
        </w:rPr>
        <mc:AlternateContent>
          <mc:Choice Requires="wps">
            <w:drawing>
              <wp:anchor distT="0" distB="0" distL="114300" distR="114300" simplePos="0" relativeHeight="251668480" behindDoc="0" locked="0" layoutInCell="1" allowOverlap="1">
                <wp:simplePos x="0" y="0"/>
                <wp:positionH relativeFrom="column">
                  <wp:posOffset>1849120</wp:posOffset>
                </wp:positionH>
                <wp:positionV relativeFrom="paragraph">
                  <wp:posOffset>276225</wp:posOffset>
                </wp:positionV>
                <wp:extent cx="866140" cy="8255"/>
                <wp:effectExtent l="0" t="41910" r="10160" b="64135"/>
                <wp:wrapNone/>
                <wp:docPr id="24" name="直接箭头连接符 24"/>
                <wp:cNvGraphicFramePr/>
                <a:graphic xmlns:a="http://schemas.openxmlformats.org/drawingml/2006/main">
                  <a:graphicData uri="http://schemas.microsoft.com/office/word/2010/wordprocessingShape">
                    <wps:wsp>
                      <wps:cNvCnPr/>
                      <wps:spPr>
                        <a:xfrm flipH="1">
                          <a:off x="2656205" y="5012055"/>
                          <a:ext cx="86614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5.6pt;margin-top:21.75pt;height:0.65pt;width:68.2pt;z-index:251668480;mso-width-relative:page;mso-height-relative:page;" filled="f" stroked="t" coordsize="21600,21600" o:gfxdata="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m0eD3aAAAACQEAAA8AAAAAAAAAAQAgAAAAIgAAAGRycy9kb3ducmV2LnhtbFBL&#10;AQIUABQAAAAIAIdO4kBoW32YLQIAABoEAAAOAAAAAAAAAAEAIAAAACkBAABkcnMvZTJvRG9jLnht&#10;bFBLBQYAAAAABgAGAFkBAADIBQAAAAA=&#10;">
                <v:fill on="f" focussize="0,0"/>
                <v:stroke color="#4A7EBB [3204]" joinstyle="round" endarrow="open"/>
                <v:imagedata o:title=""/>
                <o:lock v:ext="edit" aspectratio="f"/>
              </v:shape>
            </w:pict>
          </mc:Fallback>
        </mc:AlternateContent>
      </w:r>
      <w:r>
        <w:rPr>
          <w:highlight w:val="none"/>
        </w:rPr>
        <mc:AlternateContent>
          <mc:Choice Requires="wps">
            <w:drawing>
              <wp:anchor distT="0" distB="0" distL="114300" distR="114300" simplePos="0" relativeHeight="251673600" behindDoc="0" locked="0" layoutInCell="1" allowOverlap="1">
                <wp:simplePos x="0" y="0"/>
                <wp:positionH relativeFrom="column">
                  <wp:posOffset>465455</wp:posOffset>
                </wp:positionH>
                <wp:positionV relativeFrom="paragraph">
                  <wp:posOffset>161290</wp:posOffset>
                </wp:positionV>
                <wp:extent cx="1313180" cy="339090"/>
                <wp:effectExtent l="4445" t="4445" r="15875" b="18415"/>
                <wp:wrapNone/>
                <wp:docPr id="12" name="文本框 12"/>
                <wp:cNvGraphicFramePr/>
                <a:graphic xmlns:a="http://schemas.openxmlformats.org/drawingml/2006/main">
                  <a:graphicData uri="http://schemas.microsoft.com/office/word/2010/wordprocessingShape">
                    <wps:wsp>
                      <wps:cNvSpPr txBox="1"/>
                      <wps:spPr>
                        <a:xfrm>
                          <a:off x="0" y="0"/>
                          <a:ext cx="1313180" cy="339090"/>
                        </a:xfrm>
                        <a:prstGeom prst="rect">
                          <a:avLst/>
                        </a:prstGeom>
                        <a:solidFill>
                          <a:srgbClr val="00B05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rFonts w:hint="eastAsia" w:eastAsia="仿宋_GB2312"/>
                                <w:b/>
                                <w:bCs/>
                                <w:sz w:val="22"/>
                                <w:szCs w:val="22"/>
                                <w:lang w:eastAsia="zh-CN"/>
                              </w:rPr>
                            </w:pPr>
                            <w:r>
                              <w:rPr>
                                <w:rFonts w:hint="eastAsia"/>
                                <w:b/>
                                <w:bCs/>
                                <w:sz w:val="22"/>
                                <w:szCs w:val="22"/>
                                <w:lang w:val="en-US" w:eastAsia="zh-CN"/>
                              </w:rPr>
                              <w:t>高新区党群工作部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5pt;margin-top:12.7pt;height:26.7pt;width:103.4pt;z-index:251673600;mso-width-relative:page;mso-height-relative:page;" fillcolor="#00B050" filled="t" stroked="t" coordsize="21600,21600" o:gfxdata="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cCk8/Y&#10;AAAACAEAAA8AAAAAAAAAAQAgAAAAIgAAAGRycy9kb3ducmV2LnhtbFBLAQIUABQAAAAIAIdO4kBa&#10;JcQYWQIAALkEAAAOAAAAAAAAAAEAIAAAACcBAABkcnMvZTJvRG9jLnhtbFBLBQYAAAAABgAGAFkB&#10;AADyBQAAAAA=&#10;">
                <v:fill on="t" focussize="0,0"/>
                <v:stroke weight="0.5pt" color="#000000 [3204]" joinstyle="round"/>
                <v:imagedata o:title=""/>
                <o:lock v:ext="edit" aspectratio="f"/>
                <v:textbox>
                  <w:txbxContent>
                    <w:p>
                      <w:pPr>
                        <w:adjustRightInd/>
                        <w:snapToGrid/>
                        <w:spacing w:line="300" w:lineRule="exact"/>
                        <w:ind w:firstLine="0" w:firstLineChars="0"/>
                        <w:jc w:val="center"/>
                        <w:rPr>
                          <w:rFonts w:hint="eastAsia" w:eastAsia="仿宋_GB2312"/>
                          <w:b/>
                          <w:bCs/>
                          <w:sz w:val="22"/>
                          <w:szCs w:val="22"/>
                          <w:lang w:eastAsia="zh-CN"/>
                        </w:rPr>
                      </w:pPr>
                      <w:r>
                        <w:rPr>
                          <w:rFonts w:hint="eastAsia"/>
                          <w:b/>
                          <w:bCs/>
                          <w:sz w:val="22"/>
                          <w:szCs w:val="22"/>
                          <w:lang w:val="en-US" w:eastAsia="zh-CN"/>
                        </w:rPr>
                        <w:t>高新区党群工作部</w:t>
                      </w:r>
                    </w:p>
                  </w:txbxContent>
                </v:textbox>
              </v:shape>
            </w:pict>
          </mc:Fallback>
        </mc:AlternateContent>
      </w:r>
    </w:p>
    <w:p>
      <w:pPr>
        <w:adjustRightInd/>
        <w:snapToGrid/>
        <w:spacing w:line="600" w:lineRule="exact"/>
        <w:ind w:firstLine="640"/>
        <w:jc w:val="left"/>
        <w:rPr>
          <w:highlight w:val="none"/>
        </w:rPr>
      </w:pPr>
      <w:r>
        <w:rPr>
          <w:highlight w:val="none"/>
        </w:rPr>
        <mc:AlternateContent>
          <mc:Choice Requires="wps">
            <w:drawing>
              <wp:anchor distT="0" distB="0" distL="114300" distR="114300" simplePos="0" relativeHeight="251672576" behindDoc="0" locked="0" layoutInCell="1" allowOverlap="1">
                <wp:simplePos x="0" y="0"/>
                <wp:positionH relativeFrom="column">
                  <wp:posOffset>1912620</wp:posOffset>
                </wp:positionH>
                <wp:positionV relativeFrom="paragraph">
                  <wp:posOffset>4445</wp:posOffset>
                </wp:positionV>
                <wp:extent cx="718820" cy="331470"/>
                <wp:effectExtent l="4445" t="4445" r="19685" b="6985"/>
                <wp:wrapNone/>
                <wp:docPr id="38" name="文本框 38"/>
                <wp:cNvGraphicFramePr/>
                <a:graphic xmlns:a="http://schemas.openxmlformats.org/drawingml/2006/main">
                  <a:graphicData uri="http://schemas.microsoft.com/office/word/2010/wordprocessingShape">
                    <wps:wsp>
                      <wps:cNvSpPr txBox="1"/>
                      <wps:spPr>
                        <a:xfrm>
                          <a:off x="0" y="0"/>
                          <a:ext cx="718820"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sz w:val="21"/>
                                <w:szCs w:val="21"/>
                              </w:rPr>
                            </w:pPr>
                            <w:r>
                              <w:rPr>
                                <w:rFonts w:hint="eastAsia"/>
                                <w:sz w:val="21"/>
                                <w:szCs w:val="21"/>
                              </w:rPr>
                              <w:t>拨付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6pt;margin-top:0.35pt;height:26.1pt;width:56.6pt;z-index:251672576;mso-width-relative:page;mso-height-relative:page;" fillcolor="#FFFFFF [3201]" filled="t" stroked="t" coordsize="21600,21600" o:gfxdata="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zsrOTUAAAA&#10;BwEAAA8AAAAAAAAAAQAgAAAAIgAAAGRycy9kb3ducmV2LnhtbFBLAQIUABQAAAAIAIdO4kAHPL4q&#10;WgIAALgEAAAOAAAAAAAAAAEAIAAAACMBAABkcnMvZTJvRG9jLnhtbFBLBQYAAAAABgAGAFkBAADv&#10;BQAAAAA=&#10;">
                <v:fill on="t" focussize="0,0"/>
                <v:stroke weight="0.5pt" color="#000000 [3204]" joinstyle="round"/>
                <v:imagedata o:title=""/>
                <o:lock v:ext="edit" aspectratio="f"/>
                <v:textbox>
                  <w:txbxContent>
                    <w:p>
                      <w:pPr>
                        <w:adjustRightInd/>
                        <w:snapToGrid/>
                        <w:spacing w:line="300" w:lineRule="exact"/>
                        <w:ind w:firstLine="0" w:firstLineChars="0"/>
                        <w:jc w:val="center"/>
                        <w:rPr>
                          <w:sz w:val="21"/>
                          <w:szCs w:val="21"/>
                        </w:rPr>
                      </w:pPr>
                      <w:r>
                        <w:rPr>
                          <w:rFonts w:hint="eastAsia"/>
                          <w:sz w:val="21"/>
                          <w:szCs w:val="21"/>
                        </w:rPr>
                        <w:t>拨付</w:t>
                      </w:r>
                    </w:p>
                  </w:txbxContent>
                </v:textbox>
              </v:shape>
            </w:pict>
          </mc:Fallback>
        </mc:AlternateContent>
      </w:r>
      <w:r>
        <w:rPr>
          <w:highlight w:val="none"/>
        </w:rPr>
        <mc:AlternateContent>
          <mc:Choice Requires="wps">
            <w:drawing>
              <wp:anchor distT="0" distB="0" distL="114300" distR="114300" simplePos="0" relativeHeight="251671552" behindDoc="0" locked="0" layoutInCell="1" allowOverlap="1">
                <wp:simplePos x="0" y="0"/>
                <wp:positionH relativeFrom="column">
                  <wp:posOffset>4854575</wp:posOffset>
                </wp:positionH>
                <wp:positionV relativeFrom="paragraph">
                  <wp:posOffset>46990</wp:posOffset>
                </wp:positionV>
                <wp:extent cx="883285" cy="331470"/>
                <wp:effectExtent l="4445" t="5080" r="7620" b="6350"/>
                <wp:wrapNone/>
                <wp:docPr id="37" name="文本框 37"/>
                <wp:cNvGraphicFramePr/>
                <a:graphic xmlns:a="http://schemas.openxmlformats.org/drawingml/2006/main">
                  <a:graphicData uri="http://schemas.microsoft.com/office/word/2010/wordprocessingShape">
                    <wps:wsp>
                      <wps:cNvSpPr txBox="1"/>
                      <wps:spPr>
                        <a:xfrm>
                          <a:off x="0" y="0"/>
                          <a:ext cx="883285"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snapToGrid/>
                              <w:spacing w:line="300" w:lineRule="exact"/>
                              <w:ind w:firstLine="0" w:firstLineChars="0"/>
                              <w:jc w:val="center"/>
                              <w:rPr>
                                <w:sz w:val="21"/>
                                <w:szCs w:val="21"/>
                              </w:rPr>
                            </w:pPr>
                            <w:r>
                              <w:rPr>
                                <w:rFonts w:hint="eastAsia"/>
                                <w:sz w:val="21"/>
                                <w:szCs w:val="21"/>
                              </w:rPr>
                              <w:t>审核、批准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25pt;margin-top:3.7pt;height:26.1pt;width:69.55pt;z-index:251671552;mso-width-relative:page;mso-height-relative:page;" fillcolor="#FFFFFF [3201]" filled="t" stroked="t" coordsize="21600,21600" o:gfxdata="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c0VrW&#10;AAAACAEAAA8AAAAAAAAAAQAgAAAAIgAAAGRycy9kb3ducmV2LnhtbFBLAQIUABQAAAAIAIdO4kCQ&#10;0Wi7WwIAALgEAAAOAAAAAAAAAAEAIAAAACUBAABkcnMvZTJvRG9jLnhtbFBLBQYAAAAABgAGAFkB&#10;AADyBQAAAAA=&#10;">
                <v:fill on="t" focussize="0,0"/>
                <v:stroke weight="0.5pt" color="#000000 [3204]" joinstyle="round"/>
                <v:imagedata o:title=""/>
                <o:lock v:ext="edit" aspectratio="f"/>
                <v:textbox>
                  <w:txbxContent>
                    <w:p>
                      <w:pPr>
                        <w:adjustRightInd/>
                        <w:snapToGrid/>
                        <w:spacing w:line="300" w:lineRule="exact"/>
                        <w:ind w:firstLine="0" w:firstLineChars="0"/>
                        <w:jc w:val="center"/>
                        <w:rPr>
                          <w:sz w:val="21"/>
                          <w:szCs w:val="21"/>
                        </w:rPr>
                      </w:pPr>
                      <w:r>
                        <w:rPr>
                          <w:rFonts w:hint="eastAsia"/>
                          <w:sz w:val="21"/>
                          <w:szCs w:val="21"/>
                        </w:rPr>
                        <w:t>审核、批准</w:t>
                      </w:r>
                    </w:p>
                  </w:txbxContent>
                </v:textbox>
              </v:shape>
            </w:pict>
          </mc:Fallback>
        </mc:AlternateContent>
      </w:r>
    </w:p>
    <w:p>
      <w:pPr>
        <w:spacing w:line="600" w:lineRule="exact"/>
        <w:ind w:firstLine="0" w:firstLineChars="0"/>
        <w:jc w:val="center"/>
        <w:rPr>
          <w:rFonts w:hint="eastAsia" w:ascii="黑体" w:hAnsi="黑体" w:eastAsia="黑体"/>
          <w:sz w:val="28"/>
          <w:szCs w:val="28"/>
          <w:highlight w:val="none"/>
        </w:rPr>
      </w:pPr>
    </w:p>
    <w:p>
      <w:pPr>
        <w:spacing w:line="600" w:lineRule="exact"/>
        <w:ind w:firstLine="0" w:firstLineChars="0"/>
        <w:jc w:val="center"/>
        <w:rPr>
          <w:rFonts w:ascii="黑体" w:hAnsi="黑体" w:eastAsia="黑体"/>
          <w:sz w:val="24"/>
          <w:szCs w:val="24"/>
          <w:highlight w:val="none"/>
        </w:rPr>
      </w:pPr>
      <w:r>
        <w:rPr>
          <w:rFonts w:hint="eastAsia" w:ascii="黑体" w:hAnsi="黑体" w:eastAsia="黑体"/>
          <w:sz w:val="24"/>
          <w:szCs w:val="24"/>
          <w:highlight w:val="none"/>
        </w:rPr>
        <w:t>图</w:t>
      </w:r>
      <w:r>
        <w:rPr>
          <w:rFonts w:hint="eastAsia" w:ascii="黑体" w:hAnsi="黑体" w:eastAsia="黑体"/>
          <w:sz w:val="24"/>
          <w:szCs w:val="24"/>
          <w:highlight w:val="none"/>
          <w:lang w:val="en-US" w:eastAsia="zh-CN"/>
        </w:rPr>
        <w:t>1</w:t>
      </w:r>
      <w:r>
        <w:rPr>
          <w:rFonts w:hint="eastAsia" w:ascii="黑体" w:hAnsi="黑体" w:eastAsia="黑体"/>
          <w:sz w:val="24"/>
          <w:szCs w:val="24"/>
          <w:highlight w:val="none"/>
        </w:rPr>
        <w:t>-</w:t>
      </w:r>
      <w:r>
        <w:rPr>
          <w:rFonts w:hint="eastAsia" w:ascii="黑体" w:hAnsi="黑体" w:eastAsia="黑体"/>
          <w:sz w:val="24"/>
          <w:szCs w:val="24"/>
          <w:highlight w:val="none"/>
          <w:lang w:val="en-US" w:eastAsia="zh-CN"/>
        </w:rPr>
        <w:t xml:space="preserve">2 </w:t>
      </w:r>
      <w:r>
        <w:rPr>
          <w:rFonts w:hint="eastAsia" w:ascii="黑体" w:hAnsi="黑体" w:eastAsia="黑体"/>
          <w:sz w:val="24"/>
          <w:szCs w:val="24"/>
          <w:highlight w:val="none"/>
        </w:rPr>
        <w:t>资金拨付流程图</w:t>
      </w:r>
    </w:p>
    <w:p>
      <w:pPr>
        <w:pStyle w:val="7"/>
        <w:spacing w:line="640" w:lineRule="exact"/>
        <w:ind w:firstLine="605"/>
        <w:rPr>
          <w:highlight w:val="none"/>
        </w:rPr>
      </w:pPr>
      <w:bookmarkStart w:id="217" w:name="_Toc25554"/>
      <w:r>
        <w:rPr>
          <w:rFonts w:hint="eastAsia"/>
          <w:highlight w:val="none"/>
        </w:rPr>
        <w:t>二、项目绩效目标</w:t>
      </w:r>
      <w:bookmarkEnd w:id="217"/>
    </w:p>
    <w:p>
      <w:pPr>
        <w:pStyle w:val="8"/>
        <w:spacing w:line="580" w:lineRule="exact"/>
        <w:ind w:firstLine="605"/>
        <w:rPr>
          <w:highlight w:val="none"/>
        </w:rPr>
      </w:pPr>
      <w:bookmarkStart w:id="218" w:name="_Toc52275117"/>
      <w:bookmarkStart w:id="219" w:name="_Toc9041"/>
      <w:bookmarkStart w:id="220" w:name="_Toc8526"/>
      <w:bookmarkStart w:id="221" w:name="_Toc52121487"/>
      <w:r>
        <w:rPr>
          <w:rFonts w:hint="eastAsia"/>
          <w:highlight w:val="none"/>
        </w:rPr>
        <w:t>（一）项目总体目标</w:t>
      </w:r>
      <w:bookmarkEnd w:id="218"/>
      <w:bookmarkEnd w:id="219"/>
      <w:bookmarkEnd w:id="220"/>
      <w:bookmarkEnd w:id="221"/>
    </w:p>
    <w:p>
      <w:pPr>
        <w:pStyle w:val="30"/>
        <w:spacing w:line="580" w:lineRule="exact"/>
        <w:ind w:firstLine="640"/>
        <w:rPr>
          <w:rFonts w:hint="eastAsia" w:eastAsia="仿宋_GB2312"/>
          <w:highlight w:val="none"/>
          <w:lang w:eastAsia="zh-CN"/>
        </w:rPr>
      </w:pPr>
      <w:r>
        <w:rPr>
          <w:rFonts w:hint="eastAsia"/>
          <w:highlight w:val="none"/>
          <w:lang w:val="en-US" w:eastAsia="zh-CN"/>
        </w:rPr>
        <w:t>吸引人才在当地发展项目，从而</w:t>
      </w:r>
      <w:r>
        <w:rPr>
          <w:rFonts w:hint="eastAsia"/>
          <w:highlight w:val="none"/>
        </w:rPr>
        <w:t>突破关键技术、</w:t>
      </w:r>
      <w:r>
        <w:rPr>
          <w:rFonts w:hint="eastAsia"/>
          <w:highlight w:val="none"/>
          <w:lang w:val="en-US" w:eastAsia="zh-CN"/>
        </w:rPr>
        <w:t>推动新旧动能转换、</w:t>
      </w:r>
      <w:r>
        <w:rPr>
          <w:rFonts w:hint="eastAsia"/>
          <w:highlight w:val="none"/>
        </w:rPr>
        <w:t>发展高新技术产业、带动新兴产业和新兴学科的创新创业领军人才，使</w:t>
      </w:r>
      <w:r>
        <w:rPr>
          <w:rFonts w:hint="eastAsia"/>
          <w:highlight w:val="none"/>
          <w:lang w:val="en-US" w:eastAsia="zh-CN"/>
        </w:rPr>
        <w:t>枣庄市</w:t>
      </w:r>
      <w:r>
        <w:rPr>
          <w:rFonts w:hint="eastAsia"/>
          <w:highlight w:val="none"/>
        </w:rPr>
        <w:t>高层次人才规模不断扩大，人才创新创业能力不断提升，逐步形成枣庄人才竞争优势</w:t>
      </w:r>
      <w:r>
        <w:rPr>
          <w:rFonts w:hint="eastAsia"/>
          <w:highlight w:val="none"/>
          <w:lang w:eastAsia="zh-CN"/>
        </w:rPr>
        <w:t>。</w:t>
      </w:r>
    </w:p>
    <w:p>
      <w:pPr>
        <w:pStyle w:val="8"/>
        <w:spacing w:line="580" w:lineRule="exact"/>
        <w:ind w:firstLine="605"/>
        <w:rPr>
          <w:highlight w:val="none"/>
        </w:rPr>
      </w:pPr>
      <w:bookmarkStart w:id="222" w:name="_Toc32720"/>
      <w:bookmarkStart w:id="223" w:name="_Toc15959"/>
      <w:r>
        <w:rPr>
          <w:rFonts w:hint="eastAsia"/>
          <w:highlight w:val="none"/>
        </w:rPr>
        <w:t>（二）202</w:t>
      </w:r>
      <w:r>
        <w:rPr>
          <w:rFonts w:hint="eastAsia"/>
          <w:highlight w:val="none"/>
          <w:lang w:val="en-US" w:eastAsia="zh-CN"/>
        </w:rPr>
        <w:t>2</w:t>
      </w:r>
      <w:r>
        <w:rPr>
          <w:rFonts w:hint="eastAsia"/>
          <w:highlight w:val="none"/>
        </w:rPr>
        <w:t>年阶段性绩效目标</w:t>
      </w:r>
      <w:bookmarkEnd w:id="222"/>
      <w:bookmarkEnd w:id="223"/>
    </w:p>
    <w:p>
      <w:pPr>
        <w:spacing w:line="580" w:lineRule="exact"/>
        <w:ind w:firstLine="640"/>
        <w:rPr>
          <w:highlight w:val="none"/>
        </w:rPr>
      </w:pPr>
      <w:r>
        <w:rPr>
          <w:rFonts w:hint="eastAsia"/>
          <w:highlight w:val="none"/>
          <w:lang w:val="en-US" w:eastAsia="zh-CN"/>
        </w:rPr>
        <w:t>完成对山东天瀚新能源科技有限公司金永成、山东当康文化传播有限公司刘路军、枣庄八度阳光新能源科技有限公司王超群，三家枣庄英才计划企业奖补金的发放，2022年发放项目启动资金，共计125万元。促进关键性材料的开发及磷酸锰铁锂复合正极电池样品的研发、搭建图书全链条循环利用体系、智慧光伏项目按进度落地。</w:t>
      </w:r>
    </w:p>
    <w:p>
      <w:pPr>
        <w:pStyle w:val="7"/>
        <w:spacing w:line="640" w:lineRule="exact"/>
        <w:ind w:firstLine="605"/>
        <w:rPr>
          <w:highlight w:val="none"/>
        </w:rPr>
      </w:pPr>
      <w:bookmarkStart w:id="224" w:name="_Toc26451"/>
      <w:r>
        <w:rPr>
          <w:rFonts w:hint="eastAsia"/>
          <w:highlight w:val="none"/>
        </w:rPr>
        <w:t>三、评价基本情况</w:t>
      </w:r>
      <w:bookmarkEnd w:id="224"/>
    </w:p>
    <w:p>
      <w:pPr>
        <w:pStyle w:val="8"/>
        <w:spacing w:line="580" w:lineRule="exact"/>
        <w:ind w:firstLine="605"/>
        <w:rPr>
          <w:highlight w:val="none"/>
        </w:rPr>
      </w:pPr>
      <w:bookmarkStart w:id="225" w:name="_Toc15072"/>
      <w:bookmarkStart w:id="226" w:name="_Toc4089"/>
      <w:r>
        <w:rPr>
          <w:rFonts w:hint="eastAsia"/>
          <w:highlight w:val="none"/>
        </w:rPr>
        <w:t>（一）绩效评价目的</w:t>
      </w:r>
      <w:bookmarkEnd w:id="225"/>
      <w:bookmarkEnd w:id="226"/>
    </w:p>
    <w:p>
      <w:pPr>
        <w:spacing w:line="580" w:lineRule="exact"/>
        <w:ind w:firstLine="640"/>
        <w:rPr>
          <w:highlight w:val="none"/>
        </w:rPr>
      </w:pPr>
      <w:r>
        <w:rPr>
          <w:rFonts w:hint="eastAsia"/>
          <w:highlight w:val="none"/>
        </w:rPr>
        <w:t>评价组根据设定的绩效目标，运用科学、合理的绩效评价指标、评价标准和评价方法，对</w:t>
      </w:r>
      <w:r>
        <w:rPr>
          <w:rFonts w:hint="eastAsia"/>
          <w:highlight w:val="none"/>
          <w:lang w:eastAsia="zh-CN"/>
        </w:rPr>
        <w:t>枣庄英才计划项目</w:t>
      </w:r>
      <w:r>
        <w:rPr>
          <w:rFonts w:hint="eastAsia"/>
          <w:highlight w:val="none"/>
        </w:rPr>
        <w:t>资金的使用情况、项目的实施管理情况以及项目效果做出客观公正的评价，以便强化预算绩效管理，强化支出责任，建立科学、合理的预算支出绩效评价管理体系，提高财政资金使用效益。</w:t>
      </w:r>
    </w:p>
    <w:p>
      <w:pPr>
        <w:pStyle w:val="8"/>
        <w:spacing w:line="580" w:lineRule="exact"/>
        <w:ind w:firstLine="605"/>
        <w:rPr>
          <w:highlight w:val="none"/>
        </w:rPr>
      </w:pPr>
      <w:bookmarkStart w:id="227" w:name="_Toc16948"/>
      <w:bookmarkStart w:id="228" w:name="_Toc13797"/>
      <w:r>
        <w:rPr>
          <w:rFonts w:hint="eastAsia"/>
          <w:highlight w:val="none"/>
        </w:rPr>
        <w:t>（二）评价对象和范围</w:t>
      </w:r>
      <w:bookmarkEnd w:id="227"/>
      <w:bookmarkEnd w:id="228"/>
    </w:p>
    <w:p>
      <w:pPr>
        <w:spacing w:line="580" w:lineRule="exact"/>
        <w:ind w:firstLine="640"/>
        <w:rPr>
          <w:highlight w:val="none"/>
        </w:rPr>
      </w:pPr>
      <w:r>
        <w:rPr>
          <w:rFonts w:hint="eastAsia"/>
          <w:highlight w:val="none"/>
        </w:rPr>
        <w:t>绩效评价对象为</w:t>
      </w:r>
      <w:r>
        <w:rPr>
          <w:rFonts w:hint="eastAsia"/>
          <w:highlight w:val="none"/>
          <w:lang w:val="en-US" w:eastAsia="zh-CN"/>
        </w:rPr>
        <w:t>2022</w:t>
      </w:r>
      <w:r>
        <w:rPr>
          <w:rFonts w:hint="eastAsia"/>
          <w:highlight w:val="none"/>
        </w:rPr>
        <w:t>年执行的</w:t>
      </w:r>
      <w:r>
        <w:rPr>
          <w:rFonts w:hint="eastAsia"/>
          <w:highlight w:val="none"/>
          <w:lang w:val="en-US" w:eastAsia="zh-CN"/>
        </w:rPr>
        <w:t>枣庄高新区</w:t>
      </w:r>
      <w:r>
        <w:rPr>
          <w:rFonts w:hint="eastAsia"/>
          <w:highlight w:val="none"/>
          <w:lang w:eastAsia="zh-CN"/>
        </w:rPr>
        <w:t>英才计划项目</w:t>
      </w:r>
      <w:r>
        <w:rPr>
          <w:rFonts w:hint="eastAsia"/>
          <w:highlight w:val="none"/>
        </w:rPr>
        <w:t>。</w:t>
      </w:r>
    </w:p>
    <w:p>
      <w:pPr>
        <w:spacing w:line="580" w:lineRule="exact"/>
        <w:ind w:firstLine="640"/>
        <w:rPr>
          <w:highlight w:val="none"/>
        </w:rPr>
      </w:pPr>
      <w:r>
        <w:rPr>
          <w:rFonts w:hint="eastAsia"/>
          <w:highlight w:val="none"/>
        </w:rPr>
        <w:t>绩效评价范围</w:t>
      </w:r>
      <w:r>
        <w:rPr>
          <w:rFonts w:hint="eastAsia"/>
          <w:highlight w:val="none"/>
          <w:lang w:val="en-US" w:eastAsia="zh-CN"/>
        </w:rPr>
        <w:t>2022</w:t>
      </w:r>
      <w:r>
        <w:rPr>
          <w:rFonts w:hint="eastAsia"/>
          <w:highlight w:val="none"/>
        </w:rPr>
        <w:t>年执行的</w:t>
      </w:r>
      <w:r>
        <w:rPr>
          <w:rFonts w:hint="eastAsia"/>
          <w:highlight w:val="none"/>
          <w:lang w:val="en-US" w:eastAsia="zh-CN"/>
        </w:rPr>
        <w:t>枣庄高新区</w:t>
      </w:r>
      <w:r>
        <w:rPr>
          <w:rFonts w:hint="eastAsia"/>
          <w:highlight w:val="none"/>
          <w:lang w:eastAsia="zh-CN"/>
        </w:rPr>
        <w:t>枣庄英才计划项目</w:t>
      </w:r>
      <w:r>
        <w:rPr>
          <w:rFonts w:hint="eastAsia"/>
          <w:highlight w:val="none"/>
        </w:rPr>
        <w:t>，以及项目资金金额</w:t>
      </w:r>
      <w:r>
        <w:rPr>
          <w:rFonts w:hint="eastAsia"/>
          <w:highlight w:val="none"/>
          <w:lang w:val="en-US" w:eastAsia="zh-CN"/>
        </w:rPr>
        <w:t>250</w:t>
      </w:r>
      <w:r>
        <w:rPr>
          <w:rFonts w:hint="eastAsia"/>
          <w:highlight w:val="none"/>
        </w:rPr>
        <w:t>万元。</w:t>
      </w:r>
    </w:p>
    <w:p>
      <w:pPr>
        <w:pStyle w:val="8"/>
        <w:spacing w:line="580" w:lineRule="exact"/>
        <w:ind w:firstLine="605"/>
        <w:rPr>
          <w:highlight w:val="none"/>
        </w:rPr>
      </w:pPr>
      <w:bookmarkStart w:id="229" w:name="_Toc7636"/>
      <w:bookmarkStart w:id="230" w:name="_Toc27703"/>
      <w:r>
        <w:rPr>
          <w:rFonts w:hint="eastAsia"/>
          <w:highlight w:val="none"/>
        </w:rPr>
        <w:t>（三）评价依据</w:t>
      </w:r>
      <w:bookmarkEnd w:id="229"/>
      <w:bookmarkEnd w:id="230"/>
    </w:p>
    <w:p>
      <w:pPr>
        <w:spacing w:line="580" w:lineRule="exact"/>
        <w:ind w:firstLine="640"/>
        <w:rPr>
          <w:highlight w:val="none"/>
        </w:rPr>
      </w:pPr>
      <w:r>
        <w:rPr>
          <w:rFonts w:hint="eastAsia"/>
          <w:highlight w:val="none"/>
        </w:rPr>
        <w:t>（1）《中华人民共和国预算法》</w:t>
      </w:r>
    </w:p>
    <w:p>
      <w:pPr>
        <w:spacing w:line="580" w:lineRule="exact"/>
        <w:ind w:firstLine="640"/>
        <w:rPr>
          <w:highlight w:val="none"/>
        </w:rPr>
      </w:pPr>
      <w:r>
        <w:rPr>
          <w:rFonts w:hint="eastAsia"/>
          <w:highlight w:val="none"/>
        </w:rPr>
        <w:t>（2）《中共中央国务院关于全面实施预算绩效管理的意见》（中发〔2018〕34号）</w:t>
      </w:r>
    </w:p>
    <w:p>
      <w:pPr>
        <w:spacing w:line="580" w:lineRule="exact"/>
        <w:ind w:firstLine="640"/>
        <w:rPr>
          <w:rFonts w:ascii="Times New Roman" w:hAnsi="Times New Roman" w:cs="Times New Roman"/>
          <w:kern w:val="2"/>
          <w:highlight w:val="none"/>
        </w:rPr>
      </w:pPr>
      <w:r>
        <w:rPr>
          <w:rFonts w:hint="eastAsia"/>
          <w:highlight w:val="none"/>
        </w:rPr>
        <w:t>（3）《财政部关于印发&lt;项目支出绩效评价管理办法&gt;的通知》（财预〔2020〕10号</w:t>
      </w:r>
      <w:r>
        <w:rPr>
          <w:rFonts w:hint="eastAsia" w:ascii="Times New Roman" w:hAnsi="Times New Roman" w:cs="Times New Roman"/>
          <w:kern w:val="2"/>
          <w:highlight w:val="none"/>
        </w:rPr>
        <w:t>）</w:t>
      </w:r>
    </w:p>
    <w:p>
      <w:pPr>
        <w:spacing w:line="580" w:lineRule="exact"/>
        <w:ind w:firstLine="640"/>
        <w:rPr>
          <w:rFonts w:hint="eastAsia"/>
          <w:highlight w:val="none"/>
        </w:rPr>
      </w:pPr>
      <w:r>
        <w:rPr>
          <w:rFonts w:hint="eastAsia"/>
          <w:highlight w:val="none"/>
        </w:rPr>
        <w:t>（4）《山东省财政厅关于印发&lt;山东省省级项目支出绩效单位自评工作规程&gt;和&lt;山东省省级项目支出绩效财政评价和部门评价工作规程&gt;的通知》（鲁财绩〔2020〕4号）</w:t>
      </w:r>
    </w:p>
    <w:p>
      <w:pPr>
        <w:pStyle w:val="3"/>
        <w:rPr>
          <w:rFonts w:hint="eastAsia"/>
          <w:highlight w:val="none"/>
          <w:lang w:eastAsia="zh-CN"/>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（5）</w:t>
      </w:r>
      <w:r>
        <w:rPr>
          <w:rFonts w:hint="eastAsia"/>
          <w:highlight w:val="none"/>
        </w:rPr>
        <w:t>《关于实施枣庄英才集聚工程的意见》（枣办发〔2014〕28号）</w:t>
      </w:r>
    </w:p>
    <w:p>
      <w:pPr>
        <w:pStyle w:val="3"/>
        <w:rPr>
          <w:rFonts w:hint="eastAsia"/>
          <w:highlight w:val="none"/>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cs="仿宋_GB2312"/>
          <w:color w:val="000000" w:themeColor="text1"/>
          <w:sz w:val="32"/>
          <w:szCs w:val="32"/>
          <w:highlight w:val="none"/>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highlight w:val="none"/>
        </w:rPr>
        <w:t>《关于做好人才支撑新旧动能转换工作的实施意见》（枣发〔2018〕13号）</w:t>
      </w:r>
    </w:p>
    <w:p>
      <w:pPr>
        <w:pStyle w:val="5"/>
        <w:ind w:left="0" w:leftChars="0" w:firstLine="640" w:firstLineChars="200"/>
        <w:jc w:val="both"/>
        <w:rPr>
          <w:rFonts w:hint="eastAsia"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cs="仿宋_GB2312"/>
          <w:color w:val="000000" w:themeColor="text1"/>
          <w:sz w:val="32"/>
          <w:szCs w:val="32"/>
          <w:highlight w:val="none"/>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cs="仿宋_GB2312"/>
          <w:color w:val="000000" w:themeColor="text1"/>
          <w:sz w:val="32"/>
          <w:szCs w:val="32"/>
          <w:highlight w:val="none"/>
          <w:lang w:val="en-US" w:eastAsia="zh-CN" w:bidi="ar-SA"/>
          <w14:textFill>
            <w14:solidFill>
              <w14:schemeClr w14:val="tx1"/>
            </w14:solidFill>
          </w14:textFill>
        </w:rPr>
        <w:t>枣庄英才工作合同</w:t>
      </w:r>
    </w:p>
    <w:p>
      <w:pPr>
        <w:pStyle w:val="2"/>
        <w:ind w:firstLine="640" w:firstLineChars="200"/>
        <w:rPr>
          <w:rFonts w:hint="default"/>
          <w:highlight w:val="none"/>
          <w:lang w:val="en-US" w:eastAsia="zh-CN"/>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cs="仿宋_GB2312"/>
          <w:color w:val="000000" w:themeColor="text1"/>
          <w:sz w:val="32"/>
          <w:szCs w:val="32"/>
          <w:highlight w:val="none"/>
          <w:lang w:val="en-US" w:eastAsia="zh-CN" w:bidi="ar-SA"/>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r>
        <w:rPr>
          <w:rFonts w:hint="eastAsia" w:cs="仿宋_GB2312"/>
          <w:color w:val="000000" w:themeColor="text1"/>
          <w:sz w:val="32"/>
          <w:szCs w:val="32"/>
          <w:highlight w:val="none"/>
          <w:lang w:val="en-US" w:eastAsia="zh-CN" w:bidi="ar-SA"/>
          <w14:textFill>
            <w14:solidFill>
              <w14:schemeClr w14:val="tx1"/>
            </w14:solidFill>
          </w14:textFill>
        </w:rPr>
        <w:t>项目资金拨付凭证</w:t>
      </w:r>
    </w:p>
    <w:p>
      <w:pPr>
        <w:pStyle w:val="8"/>
        <w:spacing w:line="580" w:lineRule="exact"/>
        <w:ind w:firstLine="605"/>
        <w:rPr>
          <w:highlight w:val="none"/>
        </w:rPr>
      </w:pPr>
      <w:bookmarkStart w:id="231" w:name="_Toc31216"/>
      <w:bookmarkStart w:id="232" w:name="_Toc10443"/>
      <w:r>
        <w:rPr>
          <w:rFonts w:hint="eastAsia"/>
          <w:highlight w:val="none"/>
        </w:rPr>
        <w:t>（四）评价原则、评价方法</w:t>
      </w:r>
      <w:bookmarkEnd w:id="231"/>
      <w:bookmarkEnd w:id="232"/>
    </w:p>
    <w:p>
      <w:pPr>
        <w:pStyle w:val="30"/>
        <w:spacing w:line="580" w:lineRule="exact"/>
        <w:ind w:firstLine="640"/>
        <w:rPr>
          <w:highlight w:val="none"/>
        </w:rPr>
      </w:pPr>
      <w:bookmarkStart w:id="233" w:name="_Toc27220"/>
      <w:bookmarkStart w:id="234" w:name="_Toc52275124"/>
      <w:bookmarkStart w:id="235" w:name="_Toc120282153"/>
      <w:bookmarkStart w:id="236" w:name="_Toc52121494"/>
      <w:bookmarkStart w:id="237" w:name="_Toc23675"/>
      <w:bookmarkStart w:id="238" w:name="_Toc120281572"/>
      <w:bookmarkStart w:id="239" w:name="_Toc83377036"/>
      <w:bookmarkStart w:id="240" w:name="_Toc119629935"/>
      <w:r>
        <w:rPr>
          <w:rFonts w:hint="eastAsia"/>
          <w:highlight w:val="none"/>
        </w:rPr>
        <w:t>1.评价原则</w:t>
      </w:r>
      <w:bookmarkEnd w:id="233"/>
      <w:bookmarkEnd w:id="234"/>
      <w:bookmarkEnd w:id="235"/>
      <w:bookmarkEnd w:id="236"/>
      <w:bookmarkEnd w:id="237"/>
      <w:bookmarkEnd w:id="238"/>
      <w:bookmarkEnd w:id="239"/>
      <w:bookmarkEnd w:id="240"/>
    </w:p>
    <w:p>
      <w:pPr>
        <w:spacing w:line="580" w:lineRule="exact"/>
        <w:ind w:firstLine="640"/>
        <w:rPr>
          <w:highlight w:val="none"/>
        </w:rPr>
      </w:pPr>
      <w:r>
        <w:rPr>
          <w:rFonts w:hint="eastAsia"/>
          <w:highlight w:val="none"/>
        </w:rPr>
        <w:t>本次绩效评价指标按照以下原则：</w:t>
      </w:r>
    </w:p>
    <w:p>
      <w:pPr>
        <w:spacing w:line="580" w:lineRule="exact"/>
        <w:ind w:firstLine="640"/>
        <w:rPr>
          <w:highlight w:val="none"/>
        </w:rPr>
      </w:pPr>
      <w:r>
        <w:rPr>
          <w:rFonts w:hint="eastAsia"/>
          <w:highlight w:val="none"/>
        </w:rPr>
        <w:t>（1）科学公正。绩效评价应当运用科学合理的方法，按照规范的程序，对项目绩效进行客观、公正的反映。</w:t>
      </w:r>
    </w:p>
    <w:p>
      <w:pPr>
        <w:spacing w:line="580" w:lineRule="exact"/>
        <w:ind w:firstLine="640"/>
        <w:rPr>
          <w:highlight w:val="none"/>
        </w:rPr>
      </w:pPr>
      <w:r>
        <w:rPr>
          <w:rFonts w:hint="eastAsia"/>
          <w:highlight w:val="none"/>
        </w:rPr>
        <w:t>（2）统筹兼顾。财政绩效评价应在单位自评的基础上开展，职责明确，各有侧重，相互衔接。</w:t>
      </w:r>
    </w:p>
    <w:p>
      <w:pPr>
        <w:pStyle w:val="30"/>
        <w:spacing w:line="580" w:lineRule="exact"/>
        <w:ind w:firstLine="640"/>
        <w:rPr>
          <w:rFonts w:hint="eastAsia" w:eastAsia="仿宋_GB2312"/>
          <w:highlight w:val="none"/>
          <w:lang w:eastAsia="zh-CN"/>
        </w:rPr>
      </w:pPr>
      <w:bookmarkStart w:id="241" w:name="_Toc52121495"/>
      <w:bookmarkStart w:id="242" w:name="_Toc119629936"/>
      <w:bookmarkStart w:id="243" w:name="_Toc32114"/>
      <w:bookmarkStart w:id="244" w:name="_Toc52275125"/>
      <w:bookmarkStart w:id="245" w:name="_Toc120281573"/>
      <w:bookmarkStart w:id="246" w:name="_Toc120282154"/>
      <w:bookmarkStart w:id="247" w:name="_Toc21057"/>
      <w:bookmarkStart w:id="248" w:name="_Toc83377037"/>
      <w:r>
        <w:rPr>
          <w:rFonts w:hint="eastAsia"/>
          <w:highlight w:val="none"/>
        </w:rPr>
        <w:t>2.评价方法</w:t>
      </w:r>
      <w:bookmarkEnd w:id="241"/>
      <w:bookmarkEnd w:id="242"/>
      <w:bookmarkEnd w:id="243"/>
      <w:bookmarkEnd w:id="244"/>
      <w:bookmarkEnd w:id="245"/>
      <w:bookmarkEnd w:id="246"/>
      <w:bookmarkEnd w:id="247"/>
      <w:bookmarkEnd w:id="248"/>
    </w:p>
    <w:p>
      <w:pPr>
        <w:spacing w:line="580" w:lineRule="exact"/>
        <w:ind w:firstLine="640"/>
        <w:rPr>
          <w:rFonts w:hint="eastAsia"/>
          <w:highlight w:val="none"/>
          <w:lang w:val="zh-CN"/>
        </w:rPr>
      </w:pPr>
      <w:r>
        <w:rPr>
          <w:rFonts w:hint="eastAsia"/>
          <w:highlight w:val="none"/>
          <w:lang w:val="zh-CN"/>
        </w:rPr>
        <w:t>根据前期调研资料，本次评价针对</w:t>
      </w:r>
      <w:r>
        <w:rPr>
          <w:rFonts w:hint="eastAsia"/>
          <w:highlight w:val="none"/>
          <w:lang w:val="en-US" w:eastAsia="zh-CN"/>
        </w:rPr>
        <w:t>2022年</w:t>
      </w:r>
      <w:r>
        <w:rPr>
          <w:rFonts w:hint="eastAsia"/>
          <w:highlight w:val="none"/>
          <w:lang w:eastAsia="zh-CN"/>
        </w:rPr>
        <w:t>枣庄英才计划项目</w:t>
      </w:r>
      <w:r>
        <w:rPr>
          <w:rFonts w:hint="eastAsia"/>
          <w:highlight w:val="none"/>
          <w:lang w:val="zh-CN"/>
        </w:rPr>
        <w:t>的具体情况，适用比较法及公众评判法。</w:t>
      </w:r>
    </w:p>
    <w:p>
      <w:pPr>
        <w:pStyle w:val="3"/>
        <w:rPr>
          <w:rFonts w:hint="eastAsia"/>
          <w:highlight w:val="none"/>
          <w:lang w:val="zh-CN"/>
        </w:rPr>
      </w:pPr>
      <w:r>
        <w:rPr>
          <w:rFonts w:hint="eastAsia"/>
          <w:highlight w:val="none"/>
          <w:lang w:val="zh-CN"/>
        </w:rPr>
        <w:t>（1）比较法</w:t>
      </w:r>
    </w:p>
    <w:p>
      <w:pPr>
        <w:pStyle w:val="3"/>
        <w:rPr>
          <w:highlight w:val="none"/>
          <w:lang w:val="zh-CN"/>
        </w:rPr>
      </w:pPr>
      <w:r>
        <w:rPr>
          <w:rFonts w:hint="eastAsia"/>
          <w:highlight w:val="none"/>
          <w:lang w:val="zh-CN"/>
        </w:rPr>
        <w:t>枣庄英才奖补科技创业类企业数量、枣庄英才奖补产业创新类企业数量、奖补资金发放及时率等</w:t>
      </w:r>
      <w:r>
        <w:rPr>
          <w:rFonts w:hint="eastAsia"/>
          <w:highlight w:val="none"/>
          <w:lang w:val="en-US" w:eastAsia="zh-CN"/>
        </w:rPr>
        <w:t>项目</w:t>
      </w:r>
      <w:r>
        <w:rPr>
          <w:rFonts w:hint="eastAsia"/>
          <w:highlight w:val="none"/>
          <w:lang w:val="zh-CN"/>
        </w:rPr>
        <w:t>关键性指标</w:t>
      </w:r>
      <w:r>
        <w:rPr>
          <w:rFonts w:hint="eastAsia"/>
          <w:highlight w:val="none"/>
          <w:lang w:val="en-US" w:eastAsia="zh-CN"/>
        </w:rPr>
        <w:t>的</w:t>
      </w:r>
      <w:r>
        <w:rPr>
          <w:rFonts w:hint="eastAsia"/>
          <w:highlight w:val="none"/>
          <w:lang w:val="zh-CN"/>
        </w:rPr>
        <w:t>实际完成情况需要与年初计划进行比较，因此本项目适合采用比较法。</w:t>
      </w:r>
    </w:p>
    <w:p>
      <w:pPr>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仿宋_GB2312" w:hAnsi="宋体" w:eastAsia="仿宋_GB2312" w:cs="宋体"/>
          <w:szCs w:val="32"/>
          <w:highlight w:val="none"/>
          <w:lang w:val="en-US" w:eastAsia="zh-CN"/>
        </w:rPr>
      </w:pPr>
      <w:r>
        <w:rPr>
          <w:rFonts w:hint="eastAsia" w:ascii="仿宋_GB2312" w:hAnsi="宋体" w:eastAsia="仿宋_GB2312" w:cs="宋体"/>
          <w:szCs w:val="32"/>
          <w:highlight w:val="none"/>
          <w:lang w:val="en-US" w:eastAsia="zh-CN"/>
        </w:rPr>
        <w:t>（2）</w:t>
      </w:r>
      <w:r>
        <w:rPr>
          <w:rFonts w:hint="eastAsia" w:ascii="仿宋_GB2312" w:hAnsi="仿宋_GB2312" w:eastAsia="仿宋_GB2312" w:cs="仿宋_GB2312"/>
          <w:sz w:val="32"/>
          <w:szCs w:val="32"/>
          <w:highlight w:val="none"/>
          <w:lang w:eastAsia="en-US"/>
        </w:rPr>
        <w:t>公众评判</w:t>
      </w:r>
      <w:r>
        <w:rPr>
          <w:rFonts w:hint="eastAsia" w:ascii="仿宋_GB2312" w:hAnsi="仿宋_GB2312" w:eastAsia="仿宋_GB2312" w:cs="仿宋_GB2312"/>
          <w:sz w:val="32"/>
          <w:szCs w:val="32"/>
          <w:highlight w:val="none"/>
          <w:lang w:eastAsia="en-US"/>
        </w:rPr>
        <w:t>法</w:t>
      </w:r>
    </w:p>
    <w:p>
      <w:pPr>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仿宋_GB2312" w:hAnsi="宋体" w:eastAsia="仿宋_GB2312" w:cs="宋体"/>
          <w:szCs w:val="32"/>
          <w:highlight w:val="none"/>
          <w:lang w:eastAsia="zh-CN"/>
        </w:rPr>
      </w:pPr>
      <w:r>
        <w:rPr>
          <w:rFonts w:hint="eastAsia" w:hAnsi="宋体" w:cs="宋体"/>
          <w:szCs w:val="32"/>
          <w:highlight w:val="none"/>
          <w:lang w:val="en-US" w:eastAsia="zh-CN"/>
        </w:rPr>
        <w:t>该项目</w:t>
      </w:r>
      <w:r>
        <w:rPr>
          <w:rFonts w:hint="eastAsia" w:ascii="仿宋_GB2312" w:hAnsi="宋体" w:eastAsia="仿宋_GB2312" w:cs="宋体"/>
          <w:szCs w:val="32"/>
          <w:highlight w:val="none"/>
          <w:lang w:val="en-US" w:eastAsia="zh-CN"/>
        </w:rPr>
        <w:t>绩效评价工作，结合</w:t>
      </w:r>
      <w:r>
        <w:rPr>
          <w:rFonts w:hint="eastAsia" w:hAnsi="宋体" w:cs="宋体"/>
          <w:szCs w:val="32"/>
          <w:highlight w:val="none"/>
          <w:lang w:val="en-US" w:eastAsia="zh-CN"/>
        </w:rPr>
        <w:t>英才集聚工程</w:t>
      </w:r>
      <w:r>
        <w:rPr>
          <w:rFonts w:hint="eastAsia" w:ascii="仿宋_GB2312" w:hAnsi="宋体" w:eastAsia="仿宋_GB2312" w:cs="宋体"/>
          <w:szCs w:val="32"/>
          <w:highlight w:val="none"/>
          <w:lang w:val="en-US" w:eastAsia="zh-CN"/>
        </w:rPr>
        <w:t>政策研究</w:t>
      </w:r>
      <w:r>
        <w:rPr>
          <w:rFonts w:hint="eastAsia" w:hAnsi="宋体" w:cs="宋体"/>
          <w:szCs w:val="32"/>
          <w:highlight w:val="none"/>
          <w:lang w:val="en-US" w:eastAsia="zh-CN"/>
        </w:rPr>
        <w:t>，</w:t>
      </w:r>
      <w:r>
        <w:rPr>
          <w:rFonts w:hint="eastAsia" w:ascii="仿宋_GB2312" w:hAnsi="宋体" w:eastAsia="仿宋_GB2312" w:cs="宋体"/>
          <w:szCs w:val="32"/>
          <w:highlight w:val="none"/>
          <w:lang w:val="en-US" w:eastAsia="zh-CN"/>
        </w:rPr>
        <w:t>深入</w:t>
      </w:r>
      <w:r>
        <w:rPr>
          <w:rFonts w:hint="eastAsia" w:hAnsi="宋体" w:cs="宋体"/>
          <w:szCs w:val="32"/>
          <w:highlight w:val="none"/>
          <w:lang w:val="en-US" w:eastAsia="zh-CN"/>
        </w:rPr>
        <w:t>三家获奖补企业</w:t>
      </w:r>
      <w:r>
        <w:rPr>
          <w:rFonts w:hint="eastAsia" w:ascii="仿宋_GB2312" w:hAnsi="宋体" w:eastAsia="仿宋_GB2312" w:cs="宋体"/>
          <w:szCs w:val="32"/>
          <w:highlight w:val="none"/>
          <w:lang w:val="en-US" w:eastAsia="zh-CN"/>
        </w:rPr>
        <w:t>，向</w:t>
      </w:r>
      <w:r>
        <w:rPr>
          <w:rFonts w:hint="eastAsia" w:hAnsi="宋体" w:cs="宋体"/>
          <w:szCs w:val="32"/>
          <w:highlight w:val="none"/>
          <w:lang w:val="en-US" w:eastAsia="zh-CN"/>
        </w:rPr>
        <w:t>企业工作人员</w:t>
      </w:r>
      <w:r>
        <w:rPr>
          <w:rFonts w:hint="eastAsia" w:ascii="仿宋_GB2312" w:hAnsi="宋体" w:eastAsia="仿宋_GB2312" w:cs="宋体"/>
          <w:szCs w:val="32"/>
          <w:highlight w:val="none"/>
          <w:lang w:val="en-US" w:eastAsia="zh-CN"/>
        </w:rPr>
        <w:t>开展访谈、座谈、问卷调查，对枣庄英才计划的审定结果、</w:t>
      </w:r>
      <w:r>
        <w:rPr>
          <w:rFonts w:hint="eastAsia" w:hAnsi="宋体" w:cs="宋体"/>
          <w:szCs w:val="32"/>
          <w:highlight w:val="none"/>
          <w:lang w:val="en-US" w:eastAsia="zh-CN"/>
        </w:rPr>
        <w:t>评定流程</w:t>
      </w:r>
      <w:r>
        <w:rPr>
          <w:rFonts w:hint="eastAsia" w:ascii="仿宋_GB2312" w:hAnsi="宋体" w:eastAsia="仿宋_GB2312" w:cs="宋体"/>
          <w:szCs w:val="32"/>
          <w:highlight w:val="none"/>
          <w:lang w:val="en-US" w:eastAsia="zh-CN"/>
        </w:rPr>
        <w:t>、</w:t>
      </w:r>
      <w:r>
        <w:rPr>
          <w:rFonts w:hint="eastAsia" w:hAnsi="宋体" w:cs="宋体"/>
          <w:szCs w:val="32"/>
          <w:highlight w:val="none"/>
          <w:lang w:val="en-US" w:eastAsia="zh-CN"/>
        </w:rPr>
        <w:t>奖补标准</w:t>
      </w:r>
      <w:r>
        <w:rPr>
          <w:rFonts w:hint="eastAsia" w:ascii="仿宋_GB2312" w:hAnsi="宋体" w:eastAsia="仿宋_GB2312" w:cs="宋体"/>
          <w:szCs w:val="32"/>
          <w:highlight w:val="none"/>
          <w:lang w:val="en-US" w:eastAsia="zh-CN"/>
        </w:rPr>
        <w:t>等关系到</w:t>
      </w:r>
      <w:r>
        <w:rPr>
          <w:rFonts w:hint="eastAsia" w:hAnsi="宋体" w:cs="宋体"/>
          <w:szCs w:val="32"/>
          <w:highlight w:val="none"/>
          <w:lang w:val="en-US" w:eastAsia="zh-CN"/>
        </w:rPr>
        <w:t>项目具体实施流程的问题</w:t>
      </w:r>
      <w:r>
        <w:rPr>
          <w:rFonts w:hint="eastAsia" w:ascii="仿宋_GB2312" w:hAnsi="宋体" w:eastAsia="仿宋_GB2312" w:cs="宋体"/>
          <w:szCs w:val="32"/>
          <w:highlight w:val="none"/>
          <w:lang w:val="en-US" w:eastAsia="zh-CN"/>
        </w:rPr>
        <w:t>进行综合考量</w:t>
      </w:r>
      <w:r>
        <w:rPr>
          <w:rFonts w:hint="eastAsia" w:hAnsi="宋体" w:cs="宋体"/>
          <w:szCs w:val="32"/>
          <w:highlight w:val="none"/>
          <w:lang w:val="en-US" w:eastAsia="zh-CN"/>
        </w:rPr>
        <w:t>，</w:t>
      </w:r>
      <w:r>
        <w:rPr>
          <w:rFonts w:hint="eastAsia"/>
          <w:highlight w:val="none"/>
          <w:lang w:val="zh-CN"/>
        </w:rPr>
        <w:t>因此适宜采用公众评判法</w:t>
      </w:r>
      <w:r>
        <w:rPr>
          <w:rFonts w:hint="eastAsia" w:ascii="仿宋_GB2312" w:hAnsi="宋体" w:eastAsia="仿宋_GB2312" w:cs="宋体"/>
          <w:szCs w:val="32"/>
          <w:highlight w:val="none"/>
          <w:lang w:val="en-US" w:eastAsia="zh-CN"/>
        </w:rPr>
        <w:t>。</w:t>
      </w:r>
    </w:p>
    <w:p>
      <w:pPr>
        <w:pStyle w:val="8"/>
        <w:spacing w:line="580" w:lineRule="exact"/>
        <w:ind w:left="0" w:leftChars="0" w:firstLine="608" w:firstLineChars="200"/>
        <w:rPr>
          <w:highlight w:val="none"/>
        </w:rPr>
      </w:pPr>
      <w:bookmarkStart w:id="249" w:name="_Toc5707"/>
      <w:bookmarkStart w:id="250" w:name="_Toc1000"/>
      <w:r>
        <w:rPr>
          <w:rFonts w:hint="eastAsia"/>
          <w:highlight w:val="none"/>
        </w:rPr>
        <w:t>（五）绩效评价指标体系</w:t>
      </w:r>
      <w:bookmarkEnd w:id="249"/>
      <w:bookmarkEnd w:id="250"/>
    </w:p>
    <w:p>
      <w:pPr>
        <w:pStyle w:val="30"/>
        <w:spacing w:line="580" w:lineRule="exact"/>
        <w:ind w:firstLine="640"/>
        <w:rPr>
          <w:rFonts w:hint="eastAsia" w:eastAsia="仿宋_GB2312"/>
          <w:highlight w:val="none"/>
          <w:lang w:eastAsia="zh-CN"/>
        </w:rPr>
      </w:pPr>
      <w:bookmarkStart w:id="251" w:name="_Toc11525"/>
      <w:bookmarkStart w:id="252" w:name="_Toc52121497"/>
      <w:bookmarkStart w:id="253" w:name="_Toc120281575"/>
      <w:bookmarkStart w:id="254" w:name="_Toc52275127"/>
      <w:bookmarkStart w:id="255" w:name="_Toc83377039"/>
      <w:bookmarkStart w:id="256" w:name="_Toc119629938"/>
      <w:bookmarkStart w:id="257" w:name="_Toc120282156"/>
      <w:bookmarkStart w:id="258" w:name="_Toc17075"/>
      <w:r>
        <w:rPr>
          <w:rFonts w:hint="eastAsia"/>
          <w:highlight w:val="none"/>
        </w:rPr>
        <w:t>1.</w:t>
      </w:r>
      <w:r>
        <w:rPr>
          <w:highlight w:val="none"/>
        </w:rPr>
        <w:t>绩效评价指标</w:t>
      </w:r>
      <w:bookmarkEnd w:id="251"/>
      <w:bookmarkEnd w:id="252"/>
      <w:bookmarkEnd w:id="253"/>
      <w:bookmarkEnd w:id="254"/>
      <w:bookmarkEnd w:id="255"/>
      <w:bookmarkEnd w:id="256"/>
      <w:bookmarkEnd w:id="257"/>
      <w:bookmarkEnd w:id="258"/>
    </w:p>
    <w:p>
      <w:pPr>
        <w:spacing w:line="580" w:lineRule="exact"/>
        <w:ind w:firstLine="640"/>
        <w:rPr>
          <w:rFonts w:hint="eastAsia"/>
          <w:highlight w:val="none"/>
        </w:rPr>
      </w:pPr>
      <w:r>
        <w:rPr>
          <w:rFonts w:hint="eastAsia" w:ascii="仿宋_GB2312" w:hAnsi="仿宋_GB2312" w:eastAsia="仿宋_GB2312" w:cs="仿宋_GB2312"/>
          <w:kern w:val="2"/>
          <w:sz w:val="32"/>
          <w:szCs w:val="32"/>
          <w:highlight w:val="none"/>
          <w:lang w:val="en-US" w:eastAsia="zh-CN" w:bidi="ar-SA"/>
        </w:rPr>
        <w:t>2022年度枣庄高新区英才计划项目</w:t>
      </w:r>
      <w:r>
        <w:rPr>
          <w:rFonts w:hint="eastAsia" w:cs="仿宋_GB2312"/>
          <w:kern w:val="2"/>
          <w:sz w:val="32"/>
          <w:szCs w:val="32"/>
          <w:highlight w:val="none"/>
          <w:lang w:val="en-US" w:eastAsia="zh-CN" w:bidi="ar-SA"/>
        </w:rPr>
        <w:t>绩效评价</w:t>
      </w:r>
      <w:r>
        <w:rPr>
          <w:rFonts w:hint="eastAsia" w:ascii="仿宋_GB2312" w:hAnsi="仿宋_GB2312" w:eastAsia="仿宋_GB2312" w:cs="仿宋_GB2312"/>
          <w:kern w:val="2"/>
          <w:sz w:val="32"/>
          <w:szCs w:val="32"/>
          <w:highlight w:val="none"/>
          <w:lang w:val="en-US" w:eastAsia="zh-CN" w:bidi="ar-SA"/>
        </w:rPr>
        <w:t>指标</w:t>
      </w:r>
      <w:r>
        <w:rPr>
          <w:rFonts w:hint="eastAsia" w:cs="仿宋_GB2312"/>
          <w:kern w:val="2"/>
          <w:sz w:val="32"/>
          <w:szCs w:val="32"/>
          <w:highlight w:val="none"/>
          <w:lang w:val="en-US" w:eastAsia="zh-CN" w:bidi="ar-SA"/>
        </w:rPr>
        <w:t>以</w:t>
      </w:r>
      <w:r>
        <w:rPr>
          <w:rFonts w:hint="eastAsia"/>
          <w:highlight w:val="none"/>
        </w:rPr>
        <w:t>《山东省财政厅关于印发&lt;山东省省级项目支出绩效单位自评工作规程&gt;和&lt;山东省省级项目支出绩效财政评价和部门评价工作规程&gt;的通知》（鲁财绩〔2020〕4号）</w:t>
      </w:r>
      <w:r>
        <w:rPr>
          <w:rFonts w:hint="eastAsia" w:ascii="仿宋_GB2312" w:hAnsi="仿宋_GB2312" w:eastAsia="仿宋_GB2312" w:cs="仿宋_GB2312"/>
          <w:kern w:val="2"/>
          <w:sz w:val="32"/>
          <w:szCs w:val="32"/>
          <w:highlight w:val="none"/>
          <w:lang w:val="en-US" w:eastAsia="zh-CN" w:bidi="ar-SA"/>
        </w:rPr>
        <w:t>等相关文件为依据，设置</w:t>
      </w:r>
      <w:r>
        <w:rPr>
          <w:rFonts w:hint="eastAsia"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个一级指标、</w:t>
      </w:r>
      <w:r>
        <w:rPr>
          <w:rFonts w:hint="eastAsia" w:cs="仿宋_GB2312"/>
          <w:kern w:val="2"/>
          <w:sz w:val="32"/>
          <w:szCs w:val="32"/>
          <w:highlight w:val="none"/>
          <w:lang w:val="en-US" w:eastAsia="zh-CN" w:bidi="ar-SA"/>
        </w:rPr>
        <w:t>13</w:t>
      </w:r>
      <w:r>
        <w:rPr>
          <w:rFonts w:hint="eastAsia" w:ascii="仿宋_GB2312" w:hAnsi="仿宋_GB2312" w:eastAsia="仿宋_GB2312" w:cs="仿宋_GB2312"/>
          <w:kern w:val="2"/>
          <w:sz w:val="32"/>
          <w:szCs w:val="32"/>
          <w:highlight w:val="none"/>
          <w:lang w:val="en-US" w:eastAsia="zh-CN" w:bidi="ar-SA"/>
        </w:rPr>
        <w:t>个二级指标</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28个三级指标</w:t>
      </w:r>
      <w:r>
        <w:rPr>
          <w:rFonts w:hint="eastAsia" w:cs="仿宋_GB2312"/>
          <w:kern w:val="2"/>
          <w:sz w:val="32"/>
          <w:szCs w:val="32"/>
          <w:highlight w:val="none"/>
          <w:lang w:val="en-US" w:eastAsia="zh-CN" w:bidi="ar-SA"/>
        </w:rPr>
        <w:t>。一级指标为决策、过程、产出、效益，其中决策和过程细化出的二、三级指标为共性指标，产出和效益细化出的二、三级指标为个性指标，个性指标依据该项目特点进行设置，此项目以</w:t>
      </w:r>
      <w:r>
        <w:rPr>
          <w:rFonts w:hint="eastAsia"/>
          <w:highlight w:val="none"/>
        </w:rPr>
        <w:t>《关于实施枣庄英才集聚工程的意见》（枣办发〔2014〕28号）</w:t>
      </w:r>
      <w:r>
        <w:rPr>
          <w:rFonts w:hint="eastAsia" w:eastAsia="仿宋_GB2312"/>
          <w:highlight w:val="none"/>
          <w:lang w:eastAsia="zh-CN"/>
        </w:rPr>
        <w:t>、</w:t>
      </w:r>
      <w:r>
        <w:rPr>
          <w:rFonts w:hint="eastAsia"/>
          <w:highlight w:val="none"/>
        </w:rPr>
        <w:t>《关于做好人才支撑新旧动能转换工作的实施意见》（枣发〔2018〕13号）</w:t>
      </w:r>
      <w:r>
        <w:rPr>
          <w:rFonts w:hint="eastAsia" w:ascii="仿宋_GB2312" w:eastAsia="仿宋_GB2312"/>
          <w:highlight w:val="none"/>
          <w:lang w:val="en-US" w:eastAsia="zh-CN"/>
        </w:rPr>
        <w:t>和枣庄英才工作合同</w:t>
      </w:r>
      <w:r>
        <w:rPr>
          <w:rFonts w:hint="eastAsia" w:ascii="仿宋_GB2312" w:hAnsi="仿宋_GB2312" w:eastAsia="仿宋_GB2312" w:cs="仿宋_GB2312"/>
          <w:kern w:val="2"/>
          <w:sz w:val="32"/>
          <w:szCs w:val="32"/>
          <w:highlight w:val="none"/>
          <w:lang w:val="en-US" w:eastAsia="zh-CN" w:bidi="ar-SA"/>
        </w:rPr>
        <w:t>等相关文件为依据</w:t>
      </w:r>
      <w:r>
        <w:rPr>
          <w:rFonts w:hint="eastAsia" w:cs="仿宋_GB2312"/>
          <w:kern w:val="2"/>
          <w:sz w:val="32"/>
          <w:szCs w:val="32"/>
          <w:highlight w:val="none"/>
          <w:lang w:val="en-US" w:eastAsia="zh-CN" w:bidi="ar-SA"/>
        </w:rPr>
        <w:t>将产出和效益细化出枣庄英才奖补科技创业类企业数量、枣庄英才奖补产业创新类企业数量、获奖补企业经济贡献程度等17</w:t>
      </w:r>
      <w:r>
        <w:rPr>
          <w:rFonts w:hint="eastAsia" w:ascii="仿宋_GB2312" w:hAnsi="仿宋_GB2312" w:eastAsia="仿宋_GB2312" w:cs="仿宋_GB2312"/>
          <w:kern w:val="2"/>
          <w:sz w:val="32"/>
          <w:szCs w:val="32"/>
          <w:highlight w:val="none"/>
          <w:lang w:val="en-US" w:eastAsia="zh-CN" w:bidi="ar-SA"/>
        </w:rPr>
        <w:t>个三级指标</w:t>
      </w:r>
      <w:r>
        <w:rPr>
          <w:rFonts w:hint="eastAsia" w:cs="仿宋_GB2312"/>
          <w:kern w:val="2"/>
          <w:sz w:val="32"/>
          <w:szCs w:val="32"/>
          <w:highlight w:val="none"/>
          <w:lang w:val="en-US" w:eastAsia="zh-CN" w:bidi="ar-SA"/>
        </w:rPr>
        <w:t>。</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（1）共性指标</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本次绩效评价指标可细分为共性指标和特性指标。其中共性指标包括：</w:t>
      </w:r>
      <w:r>
        <w:rPr>
          <w:rFonts w:hint="eastAsia" w:ascii="仿宋_GB2312" w:hAnsi="仿宋_GB2312" w:eastAsia="仿宋_GB2312" w:cs="仿宋_GB2312"/>
          <w:kern w:val="2"/>
          <w:sz w:val="32"/>
          <w:szCs w:val="32"/>
          <w:highlight w:val="none"/>
          <w:lang w:val="zh-CN" w:eastAsia="zh-CN" w:bidi="ar-SA"/>
        </w:rPr>
        <w:t>项目立项</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zh-CN" w:eastAsia="zh-CN" w:bidi="ar-SA"/>
        </w:rPr>
        <w:t>绩效目标</w:t>
      </w:r>
      <w:r>
        <w:rPr>
          <w:rFonts w:hint="eastAsia" w:ascii="仿宋_GB2312" w:hAnsi="仿宋_GB2312" w:eastAsia="仿宋_GB2312" w:cs="仿宋_GB2312"/>
          <w:kern w:val="2"/>
          <w:sz w:val="32"/>
          <w:szCs w:val="32"/>
          <w:highlight w:val="none"/>
          <w:lang w:val="en-US" w:eastAsia="zh-CN" w:bidi="ar-SA"/>
        </w:rPr>
        <w:t>、资金投入、资金管理、组织实施，是参照共性框架指标内容设计。</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根据项目支出绩效财政评价</w:t>
      </w:r>
      <w:r>
        <w:rPr>
          <w:rFonts w:hint="eastAsia" w:cs="仿宋_GB2312"/>
          <w:kern w:val="2"/>
          <w:sz w:val="32"/>
          <w:szCs w:val="32"/>
          <w:highlight w:val="none"/>
          <w:lang w:val="en-US" w:eastAsia="zh-CN" w:bidi="ar-SA"/>
        </w:rPr>
        <w:t>要点</w:t>
      </w:r>
      <w:r>
        <w:rPr>
          <w:rFonts w:hint="eastAsia" w:ascii="仿宋_GB2312" w:hAnsi="仿宋_GB2312" w:eastAsia="仿宋_GB2312" w:cs="仿宋_GB2312"/>
          <w:kern w:val="2"/>
          <w:sz w:val="32"/>
          <w:szCs w:val="32"/>
          <w:highlight w:val="none"/>
          <w:lang w:val="en-US" w:eastAsia="zh-CN" w:bidi="ar-SA"/>
        </w:rPr>
        <w:t>，本次绩效评价需要评价项目立项依据</w:t>
      </w:r>
      <w:r>
        <w:rPr>
          <w:rFonts w:hint="eastAsia" w:cs="仿宋_GB2312"/>
          <w:kern w:val="2"/>
          <w:sz w:val="32"/>
          <w:szCs w:val="32"/>
          <w:highlight w:val="none"/>
          <w:lang w:val="en-US" w:eastAsia="zh-CN" w:bidi="ar-SA"/>
        </w:rPr>
        <w:t>是否</w:t>
      </w:r>
      <w:r>
        <w:rPr>
          <w:rFonts w:hint="eastAsia" w:ascii="仿宋_GB2312" w:hAnsi="仿宋_GB2312" w:eastAsia="仿宋_GB2312" w:cs="仿宋_GB2312"/>
          <w:kern w:val="2"/>
          <w:sz w:val="32"/>
          <w:szCs w:val="32"/>
          <w:highlight w:val="none"/>
          <w:lang w:val="en-US" w:eastAsia="zh-CN" w:bidi="ar-SA"/>
        </w:rPr>
        <w:t>充分性、立项程序是否规范、绩效目标</w:t>
      </w:r>
      <w:r>
        <w:rPr>
          <w:rFonts w:hint="eastAsia" w:cs="仿宋_GB2312"/>
          <w:kern w:val="2"/>
          <w:sz w:val="32"/>
          <w:szCs w:val="32"/>
          <w:highlight w:val="none"/>
          <w:lang w:val="en-US" w:eastAsia="zh-CN" w:bidi="ar-SA"/>
        </w:rPr>
        <w:t>是否</w:t>
      </w:r>
      <w:r>
        <w:rPr>
          <w:rFonts w:hint="eastAsia" w:ascii="仿宋_GB2312" w:hAnsi="仿宋_GB2312" w:eastAsia="仿宋_GB2312" w:cs="仿宋_GB2312"/>
          <w:kern w:val="2"/>
          <w:sz w:val="32"/>
          <w:szCs w:val="32"/>
          <w:highlight w:val="none"/>
          <w:lang w:val="en-US" w:eastAsia="zh-CN" w:bidi="ar-SA"/>
        </w:rPr>
        <w:t>合理、绩效指标</w:t>
      </w:r>
      <w:r>
        <w:rPr>
          <w:rFonts w:hint="eastAsia" w:cs="仿宋_GB2312"/>
          <w:kern w:val="2"/>
          <w:sz w:val="32"/>
          <w:szCs w:val="32"/>
          <w:highlight w:val="none"/>
          <w:lang w:val="en-US" w:eastAsia="zh-CN" w:bidi="ar-SA"/>
        </w:rPr>
        <w:t>是否</w:t>
      </w:r>
      <w:r>
        <w:rPr>
          <w:rFonts w:hint="eastAsia" w:ascii="仿宋_GB2312" w:hAnsi="仿宋_GB2312" w:eastAsia="仿宋_GB2312" w:cs="仿宋_GB2312"/>
          <w:kern w:val="2"/>
          <w:sz w:val="32"/>
          <w:szCs w:val="32"/>
          <w:highlight w:val="none"/>
          <w:lang w:val="en-US" w:eastAsia="zh-CN" w:bidi="ar-SA"/>
        </w:rPr>
        <w:t>明确、预算编制</w:t>
      </w:r>
      <w:r>
        <w:rPr>
          <w:rFonts w:hint="eastAsia" w:cs="仿宋_GB2312"/>
          <w:kern w:val="2"/>
          <w:sz w:val="32"/>
          <w:szCs w:val="32"/>
          <w:highlight w:val="none"/>
          <w:lang w:val="en-US" w:eastAsia="zh-CN" w:bidi="ar-SA"/>
        </w:rPr>
        <w:t>是否</w:t>
      </w:r>
      <w:r>
        <w:rPr>
          <w:rFonts w:hint="eastAsia" w:ascii="仿宋_GB2312" w:hAnsi="仿宋_GB2312" w:eastAsia="仿宋_GB2312" w:cs="仿宋_GB2312"/>
          <w:kern w:val="2"/>
          <w:sz w:val="32"/>
          <w:szCs w:val="32"/>
          <w:highlight w:val="none"/>
          <w:lang w:val="en-US" w:eastAsia="zh-CN" w:bidi="ar-SA"/>
        </w:rPr>
        <w:t>科学性、资金分配</w:t>
      </w:r>
      <w:r>
        <w:rPr>
          <w:rFonts w:hint="eastAsia" w:cs="仿宋_GB2312"/>
          <w:kern w:val="2"/>
          <w:sz w:val="32"/>
          <w:szCs w:val="32"/>
          <w:highlight w:val="none"/>
          <w:lang w:val="en-US" w:eastAsia="zh-CN" w:bidi="ar-SA"/>
        </w:rPr>
        <w:t>是否</w:t>
      </w:r>
      <w:r>
        <w:rPr>
          <w:rFonts w:hint="eastAsia" w:ascii="仿宋_GB2312" w:hAnsi="仿宋_GB2312" w:eastAsia="仿宋_GB2312" w:cs="仿宋_GB2312"/>
          <w:kern w:val="2"/>
          <w:sz w:val="32"/>
          <w:szCs w:val="32"/>
          <w:highlight w:val="none"/>
          <w:lang w:val="en-US" w:eastAsia="zh-CN" w:bidi="ar-SA"/>
        </w:rPr>
        <w:t>合理</w:t>
      </w:r>
      <w:r>
        <w:rPr>
          <w:rFonts w:hint="eastAsia" w:cs="仿宋_GB2312"/>
          <w:kern w:val="2"/>
          <w:sz w:val="32"/>
          <w:szCs w:val="32"/>
          <w:highlight w:val="none"/>
          <w:lang w:val="en-US" w:eastAsia="zh-CN" w:bidi="ar-SA"/>
        </w:rPr>
        <w:t>、资金使用是否合规</w:t>
      </w:r>
      <w:r>
        <w:rPr>
          <w:rFonts w:hint="eastAsia" w:ascii="仿宋_GB2312" w:hAnsi="仿宋_GB2312" w:eastAsia="仿宋_GB2312" w:cs="仿宋_GB2312"/>
          <w:kern w:val="2"/>
          <w:sz w:val="32"/>
          <w:szCs w:val="32"/>
          <w:highlight w:val="none"/>
          <w:lang w:val="en-US" w:eastAsia="zh-CN" w:bidi="ar-SA"/>
        </w:rPr>
        <w:t>、制度执行</w:t>
      </w:r>
      <w:r>
        <w:rPr>
          <w:rFonts w:hint="eastAsia" w:cs="仿宋_GB2312"/>
          <w:kern w:val="2"/>
          <w:sz w:val="32"/>
          <w:szCs w:val="32"/>
          <w:highlight w:val="none"/>
          <w:lang w:val="en-US" w:eastAsia="zh-CN" w:bidi="ar-SA"/>
        </w:rPr>
        <w:t>是否有效</w:t>
      </w:r>
      <w:r>
        <w:rPr>
          <w:rFonts w:hint="eastAsia" w:ascii="仿宋_GB2312" w:hAnsi="仿宋_GB2312" w:eastAsia="仿宋_GB2312" w:cs="仿宋_GB2312"/>
          <w:kern w:val="2"/>
          <w:sz w:val="32"/>
          <w:szCs w:val="32"/>
          <w:highlight w:val="none"/>
          <w:lang w:val="en-US" w:eastAsia="zh-CN" w:bidi="ar-SA"/>
        </w:rPr>
        <w:t>等，所以本次绩效评价一级共性指标包括了</w:t>
      </w:r>
      <w:r>
        <w:rPr>
          <w:rFonts w:hint="eastAsia" w:cs="仿宋_GB2312"/>
          <w:kern w:val="2"/>
          <w:sz w:val="32"/>
          <w:szCs w:val="32"/>
          <w:highlight w:val="none"/>
          <w:lang w:val="en-US" w:eastAsia="zh-CN" w:bidi="ar-SA"/>
        </w:rPr>
        <w:t>决策（</w:t>
      </w:r>
      <w:r>
        <w:rPr>
          <w:rFonts w:hint="eastAsia" w:ascii="仿宋_GB2312" w:hAnsi="仿宋_GB2312" w:eastAsia="仿宋_GB2312" w:cs="仿宋_GB2312"/>
          <w:kern w:val="2"/>
          <w:sz w:val="32"/>
          <w:szCs w:val="32"/>
          <w:highlight w:val="none"/>
          <w:lang w:val="zh-CN" w:eastAsia="zh-CN" w:bidi="ar-SA"/>
        </w:rPr>
        <w:t>项目立项</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zh-CN" w:eastAsia="zh-CN" w:bidi="ar-SA"/>
        </w:rPr>
        <w:t>绩效目标</w:t>
      </w:r>
      <w:r>
        <w:rPr>
          <w:rFonts w:hint="eastAsia" w:cs="仿宋_GB2312"/>
          <w:kern w:val="2"/>
          <w:sz w:val="32"/>
          <w:szCs w:val="32"/>
          <w:highlight w:val="none"/>
          <w:lang w:val="zh-CN" w:eastAsia="zh-CN" w:bidi="ar-SA"/>
        </w:rPr>
        <w:t>、</w:t>
      </w:r>
      <w:r>
        <w:rPr>
          <w:rFonts w:hint="eastAsia" w:ascii="仿宋_GB2312" w:hAnsi="仿宋_GB2312" w:eastAsia="仿宋_GB2312" w:cs="仿宋_GB2312"/>
          <w:kern w:val="2"/>
          <w:sz w:val="32"/>
          <w:szCs w:val="32"/>
          <w:highlight w:val="none"/>
          <w:lang w:val="en-US" w:eastAsia="zh-CN" w:bidi="ar-SA"/>
        </w:rPr>
        <w:t>资金投入</w:t>
      </w:r>
      <w:r>
        <w:rPr>
          <w:rFonts w:hint="eastAsia" w:cs="仿宋_GB2312"/>
          <w:kern w:val="2"/>
          <w:sz w:val="32"/>
          <w:szCs w:val="32"/>
          <w:highlight w:val="none"/>
          <w:lang w:val="zh-CN" w:eastAsia="zh-CN" w:bidi="ar-SA"/>
        </w:rPr>
        <w:t>）</w:t>
      </w:r>
      <w:r>
        <w:rPr>
          <w:rFonts w:hint="eastAsia" w:cs="仿宋_GB2312"/>
          <w:kern w:val="2"/>
          <w:sz w:val="32"/>
          <w:szCs w:val="32"/>
          <w:highlight w:val="none"/>
          <w:lang w:val="en-US" w:eastAsia="zh-CN" w:bidi="ar-SA"/>
        </w:rPr>
        <w:t>、</w:t>
      </w:r>
      <w:r>
        <w:rPr>
          <w:rFonts w:hint="eastAsia" w:cs="仿宋_GB2312"/>
          <w:kern w:val="2"/>
          <w:sz w:val="32"/>
          <w:szCs w:val="32"/>
          <w:highlight w:val="none"/>
          <w:lang w:val="zh-CN" w:eastAsia="zh-CN" w:bidi="ar-SA"/>
        </w:rPr>
        <w:t>过程</w:t>
      </w:r>
      <w:r>
        <w:rPr>
          <w:rFonts w:hint="eastAsia" w:cs="仿宋_GB2312"/>
          <w:kern w:val="2"/>
          <w:sz w:val="32"/>
          <w:szCs w:val="32"/>
          <w:highlight w:val="none"/>
          <w:lang w:val="en-US" w:eastAsia="zh-CN" w:bidi="ar-SA"/>
        </w:rPr>
        <w:t>（资金管理、组织实施）2</w:t>
      </w:r>
      <w:r>
        <w:rPr>
          <w:rFonts w:hint="eastAsia" w:ascii="仿宋_GB2312" w:hAnsi="仿宋_GB2312" w:eastAsia="仿宋_GB2312" w:cs="仿宋_GB2312"/>
          <w:kern w:val="2"/>
          <w:sz w:val="32"/>
          <w:szCs w:val="32"/>
          <w:highlight w:val="none"/>
          <w:lang w:val="en-US" w:eastAsia="zh-CN" w:bidi="ar-SA"/>
        </w:rPr>
        <w:t>个一级指标。二级指标、三级指标的设计均根据评价要点进行了相应的设计。</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权重设计方面，</w:t>
      </w:r>
      <w:r>
        <w:rPr>
          <w:rFonts w:hint="eastAsia" w:cs="仿宋_GB2312"/>
          <w:kern w:val="2"/>
          <w:sz w:val="32"/>
          <w:szCs w:val="32"/>
          <w:highlight w:val="none"/>
          <w:lang w:val="en-US" w:eastAsia="zh-CN" w:bidi="ar-SA"/>
        </w:rPr>
        <w:t>决策指标</w:t>
      </w:r>
      <w:r>
        <w:rPr>
          <w:rFonts w:hint="eastAsia" w:ascii="仿宋_GB2312" w:hAnsi="仿宋_GB2312" w:eastAsia="仿宋_GB2312" w:cs="仿宋_GB2312"/>
          <w:kern w:val="2"/>
          <w:sz w:val="32"/>
          <w:szCs w:val="32"/>
          <w:highlight w:val="none"/>
          <w:lang w:val="en-US" w:eastAsia="zh-CN" w:bidi="ar-SA"/>
        </w:rPr>
        <w:t>侧重于考察</w:t>
      </w:r>
      <w:r>
        <w:rPr>
          <w:rFonts w:hint="eastAsia" w:ascii="仿宋_GB2312" w:hAnsi="仿宋_GB2312" w:eastAsia="仿宋_GB2312" w:cs="仿宋_GB2312"/>
          <w:color w:val="000000"/>
          <w:szCs w:val="21"/>
          <w:highlight w:val="none"/>
          <w:lang w:eastAsia="zh-CN"/>
        </w:rPr>
        <w:t>项目立项</w:t>
      </w:r>
      <w:r>
        <w:rPr>
          <w:rFonts w:hint="eastAsia" w:cs="仿宋_GB2312"/>
          <w:color w:val="000000"/>
          <w:szCs w:val="21"/>
          <w:highlight w:val="none"/>
          <w:lang w:val="en-US" w:eastAsia="zh-CN"/>
        </w:rPr>
        <w:t>情况、绩效目标编制的合理</w:t>
      </w:r>
      <w:r>
        <w:rPr>
          <w:rFonts w:hint="eastAsia" w:ascii="仿宋_GB2312" w:hAnsi="仿宋_GB2312" w:eastAsia="仿宋_GB2312" w:cs="仿宋_GB2312"/>
          <w:color w:val="000000"/>
          <w:szCs w:val="21"/>
          <w:highlight w:val="none"/>
          <w:lang w:eastAsia="zh-CN"/>
        </w:rPr>
        <w:t>情况</w:t>
      </w:r>
      <w:r>
        <w:rPr>
          <w:rFonts w:hint="eastAsia" w:cs="仿宋_GB2312"/>
          <w:color w:val="000000"/>
          <w:szCs w:val="21"/>
          <w:highlight w:val="none"/>
          <w:lang w:val="en-US" w:eastAsia="zh-CN"/>
        </w:rPr>
        <w:t>和资金投入情况</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权重设置为</w:t>
      </w:r>
      <w:r>
        <w:rPr>
          <w:rFonts w:hint="eastAsia"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0%；</w:t>
      </w:r>
      <w:r>
        <w:rPr>
          <w:rFonts w:hint="eastAsia" w:cs="仿宋_GB2312"/>
          <w:kern w:val="2"/>
          <w:sz w:val="32"/>
          <w:szCs w:val="32"/>
          <w:highlight w:val="none"/>
          <w:lang w:val="en-US" w:eastAsia="zh-CN" w:bidi="ar-SA"/>
        </w:rPr>
        <w:t>过程指标</w:t>
      </w:r>
      <w:r>
        <w:rPr>
          <w:rFonts w:hint="eastAsia" w:ascii="仿宋_GB2312" w:hAnsi="仿宋_GB2312" w:eastAsia="仿宋_GB2312" w:cs="仿宋_GB2312"/>
          <w:kern w:val="2"/>
          <w:sz w:val="32"/>
          <w:szCs w:val="32"/>
          <w:highlight w:val="none"/>
          <w:lang w:val="en-US" w:eastAsia="zh-CN" w:bidi="ar-SA"/>
        </w:rPr>
        <w:t>主要从资金</w:t>
      </w:r>
      <w:r>
        <w:rPr>
          <w:rFonts w:hint="eastAsia" w:cs="仿宋_GB2312"/>
          <w:kern w:val="2"/>
          <w:sz w:val="32"/>
          <w:szCs w:val="32"/>
          <w:highlight w:val="none"/>
          <w:lang w:val="en-US" w:eastAsia="zh-CN" w:bidi="ar-SA"/>
        </w:rPr>
        <w:t>管理情况</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组织实施</w:t>
      </w:r>
      <w:r>
        <w:rPr>
          <w:rFonts w:hint="eastAsia" w:ascii="仿宋_GB2312" w:hAnsi="仿宋_GB2312" w:eastAsia="仿宋_GB2312" w:cs="仿宋_GB2312"/>
          <w:kern w:val="2"/>
          <w:sz w:val="32"/>
          <w:szCs w:val="32"/>
          <w:highlight w:val="none"/>
          <w:lang w:val="en-US" w:eastAsia="zh-CN" w:bidi="ar-SA"/>
        </w:rPr>
        <w:t>情况进行考核，</w:t>
      </w:r>
      <w:r>
        <w:rPr>
          <w:rFonts w:hint="eastAsia" w:ascii="仿宋_GB2312" w:hAnsi="仿宋_GB2312" w:eastAsia="仿宋_GB2312" w:cs="仿宋_GB2312"/>
          <w:kern w:val="2"/>
          <w:sz w:val="32"/>
          <w:szCs w:val="32"/>
          <w:highlight w:val="none"/>
          <w:lang w:val="en-US" w:eastAsia="zh-CN" w:bidi="ar-SA"/>
        </w:rPr>
        <w:t>权重设置为</w:t>
      </w:r>
      <w:r>
        <w:rPr>
          <w:rFonts w:hint="eastAsia"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0%</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二级</w:t>
      </w:r>
      <w:r>
        <w:rPr>
          <w:rFonts w:hint="eastAsia" w:ascii="仿宋_GB2312" w:hAnsi="仿宋_GB2312" w:eastAsia="仿宋_GB2312" w:cs="仿宋_GB2312"/>
          <w:kern w:val="2"/>
          <w:sz w:val="32"/>
          <w:szCs w:val="32"/>
          <w:highlight w:val="none"/>
          <w:lang w:val="en-US" w:eastAsia="zh-CN" w:bidi="ar-SA"/>
        </w:rPr>
        <w:t>指标、三级指标的权重均为根据</w:t>
      </w:r>
      <w:r>
        <w:rPr>
          <w:rFonts w:hint="eastAsia" w:cs="仿宋_GB2312"/>
          <w:kern w:val="2"/>
          <w:sz w:val="32"/>
          <w:szCs w:val="32"/>
          <w:highlight w:val="none"/>
          <w:lang w:val="en-US" w:eastAsia="zh-CN" w:bidi="ar-SA"/>
        </w:rPr>
        <w:t>项目</w:t>
      </w:r>
      <w:r>
        <w:rPr>
          <w:rFonts w:hint="eastAsia" w:ascii="仿宋_GB2312" w:hAnsi="仿宋_GB2312" w:eastAsia="仿宋_GB2312" w:cs="仿宋_GB2312"/>
          <w:kern w:val="2"/>
          <w:sz w:val="32"/>
          <w:szCs w:val="32"/>
          <w:highlight w:val="none"/>
          <w:lang w:val="en-US" w:eastAsia="zh-CN" w:bidi="ar-SA"/>
        </w:rPr>
        <w:t>绩效评价指标体系中一级指标权重及内容的重要程度进行了细化、量化后权衡设置的。</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（2）特性指标</w:t>
      </w:r>
    </w:p>
    <w:p>
      <w:pPr>
        <w:spacing w:line="580" w:lineRule="exact"/>
        <w:ind w:firstLine="640"/>
        <w:rPr>
          <w:rFonts w:hint="eastAsia"/>
          <w:highlight w:val="none"/>
        </w:rPr>
      </w:pPr>
      <w:r>
        <w:rPr>
          <w:rFonts w:hint="eastAsia" w:ascii="仿宋_GB2312" w:hAnsi="仿宋_GB2312" w:eastAsia="仿宋_GB2312" w:cs="仿宋_GB2312"/>
          <w:kern w:val="2"/>
          <w:sz w:val="32"/>
          <w:szCs w:val="32"/>
          <w:highlight w:val="none"/>
          <w:lang w:val="en-US" w:eastAsia="zh-CN" w:bidi="ar-SA"/>
        </w:rPr>
        <w:t>根据项目支出绩效财政评价</w:t>
      </w:r>
      <w:r>
        <w:rPr>
          <w:rFonts w:hint="eastAsia" w:cs="仿宋_GB2312"/>
          <w:kern w:val="2"/>
          <w:sz w:val="32"/>
          <w:szCs w:val="32"/>
          <w:highlight w:val="none"/>
          <w:lang w:val="en-US" w:eastAsia="zh-CN" w:bidi="ar-SA"/>
        </w:rPr>
        <w:t>要点</w:t>
      </w:r>
      <w:r>
        <w:rPr>
          <w:rFonts w:hint="eastAsia" w:ascii="仿宋_GB2312" w:hAnsi="仿宋_GB2312" w:eastAsia="仿宋_GB2312" w:cs="仿宋_GB2312"/>
          <w:kern w:val="2"/>
          <w:sz w:val="32"/>
          <w:szCs w:val="32"/>
          <w:highlight w:val="none"/>
          <w:lang w:val="en-US" w:eastAsia="zh-CN" w:bidi="ar-SA"/>
        </w:rPr>
        <w:t>，本次绩效评价需要评价</w:t>
      </w:r>
      <w:r>
        <w:rPr>
          <w:rFonts w:hint="eastAsia" w:cs="仿宋_GB2312"/>
          <w:kern w:val="2"/>
          <w:sz w:val="32"/>
          <w:szCs w:val="32"/>
          <w:highlight w:val="none"/>
          <w:lang w:val="en-US" w:eastAsia="zh-CN" w:bidi="ar-SA"/>
        </w:rPr>
        <w:t>该项目的产出数量和质量</w:t>
      </w:r>
      <w:r>
        <w:rPr>
          <w:rFonts w:hint="eastAsia" w:ascii="仿宋_GB2312" w:hAnsi="仿宋_GB2312" w:eastAsia="仿宋_GB2312" w:cs="仿宋_GB2312"/>
          <w:kern w:val="2"/>
          <w:sz w:val="32"/>
          <w:szCs w:val="32"/>
          <w:highlight w:val="none"/>
          <w:lang w:val="en-US" w:eastAsia="zh-CN" w:bidi="ar-SA"/>
        </w:rPr>
        <w:t>是否</w:t>
      </w:r>
      <w:r>
        <w:rPr>
          <w:rFonts w:hint="eastAsia" w:cs="仿宋_GB2312"/>
          <w:kern w:val="2"/>
          <w:sz w:val="32"/>
          <w:szCs w:val="32"/>
          <w:highlight w:val="none"/>
          <w:lang w:val="en-US" w:eastAsia="zh-CN" w:bidi="ar-SA"/>
        </w:rPr>
        <w:t>完成年度计划</w:t>
      </w:r>
      <w:r>
        <w:rPr>
          <w:rFonts w:hint="eastAsia" w:ascii="仿宋_GB2312" w:hAnsi="仿宋_GB2312" w:eastAsia="仿宋_GB2312" w:cs="仿宋_GB2312"/>
          <w:kern w:val="2"/>
          <w:sz w:val="32"/>
          <w:szCs w:val="32"/>
          <w:highlight w:val="none"/>
          <w:lang w:val="en-US" w:eastAsia="zh-CN" w:bidi="ar-SA"/>
        </w:rPr>
        <w:t>、是否</w:t>
      </w:r>
      <w:r>
        <w:rPr>
          <w:rFonts w:hint="eastAsia" w:cs="仿宋_GB2312"/>
          <w:kern w:val="2"/>
          <w:sz w:val="32"/>
          <w:szCs w:val="32"/>
          <w:highlight w:val="none"/>
          <w:lang w:val="en-US" w:eastAsia="zh-CN" w:bidi="ar-SA"/>
        </w:rPr>
        <w:t>及时完成产出目标、是否带来经济效益和社会效益</w:t>
      </w:r>
      <w:r>
        <w:rPr>
          <w:rFonts w:hint="eastAsia" w:ascii="仿宋_GB2312" w:hAnsi="仿宋_GB2312" w:eastAsia="仿宋_GB2312" w:cs="仿宋_GB2312"/>
          <w:kern w:val="2"/>
          <w:sz w:val="32"/>
          <w:szCs w:val="32"/>
          <w:highlight w:val="none"/>
          <w:lang w:val="en-US" w:eastAsia="zh-CN" w:bidi="ar-SA"/>
        </w:rPr>
        <w:t>、服务对象是否满意</w:t>
      </w:r>
      <w:r>
        <w:rPr>
          <w:rFonts w:hint="eastAsia" w:cs="仿宋_GB2312"/>
          <w:kern w:val="2"/>
          <w:sz w:val="32"/>
          <w:szCs w:val="32"/>
          <w:highlight w:val="none"/>
          <w:lang w:val="en-US" w:eastAsia="zh-CN" w:bidi="ar-SA"/>
        </w:rPr>
        <w:t>等</w:t>
      </w:r>
      <w:r>
        <w:rPr>
          <w:rFonts w:hint="eastAsia" w:ascii="仿宋_GB2312" w:hAnsi="仿宋_GB2312" w:eastAsia="仿宋_GB2312" w:cs="仿宋_GB2312"/>
          <w:kern w:val="2"/>
          <w:sz w:val="32"/>
          <w:szCs w:val="32"/>
          <w:highlight w:val="none"/>
          <w:lang w:val="en-US" w:eastAsia="zh-CN" w:bidi="ar-SA"/>
        </w:rPr>
        <w:t>，所以本次绩效评价一级个性指标包括了</w:t>
      </w:r>
      <w:r>
        <w:rPr>
          <w:rFonts w:hint="eastAsia" w:cs="仿宋_GB2312"/>
          <w:kern w:val="2"/>
          <w:sz w:val="32"/>
          <w:szCs w:val="32"/>
          <w:highlight w:val="none"/>
          <w:lang w:val="en-US" w:eastAsia="zh-CN" w:bidi="ar-SA"/>
        </w:rPr>
        <w:t>产出</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效益2</w:t>
      </w:r>
      <w:r>
        <w:rPr>
          <w:rFonts w:hint="eastAsia" w:ascii="仿宋_GB2312" w:hAnsi="仿宋_GB2312" w:eastAsia="仿宋_GB2312" w:cs="仿宋_GB2312"/>
          <w:kern w:val="2"/>
          <w:sz w:val="32"/>
          <w:szCs w:val="32"/>
          <w:highlight w:val="none"/>
          <w:lang w:val="en-US" w:eastAsia="zh-CN" w:bidi="ar-SA"/>
        </w:rPr>
        <w:t>个一级指标。</w:t>
      </w:r>
    </w:p>
    <w:p>
      <w:pPr>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指标名称及指标值的设置主要依据《关于实施枣庄英才集聚工程的意见》（枣办发〔2014〕28号）、《关于做好人才支撑新旧动能转换工作的实施意见》（枣发〔2018〕13号）和枣庄英才工作合同等相关文件，</w:t>
      </w:r>
      <w:r>
        <w:rPr>
          <w:rFonts w:hint="eastAsia" w:cs="仿宋_GB2312"/>
          <w:kern w:val="2"/>
          <w:sz w:val="32"/>
          <w:szCs w:val="32"/>
          <w:highlight w:val="none"/>
          <w:lang w:val="en-US" w:eastAsia="zh-CN" w:bidi="ar-SA"/>
        </w:rPr>
        <w:t>产出</w:t>
      </w:r>
      <w:r>
        <w:rPr>
          <w:rFonts w:hint="eastAsia" w:ascii="仿宋_GB2312" w:hAnsi="仿宋_GB2312" w:eastAsia="仿宋_GB2312" w:cs="仿宋_GB2312"/>
          <w:kern w:val="2"/>
          <w:sz w:val="32"/>
          <w:szCs w:val="32"/>
          <w:highlight w:val="none"/>
          <w:lang w:val="en-US" w:eastAsia="zh-CN" w:bidi="ar-SA"/>
        </w:rPr>
        <w:t>主要从产出数量</w:t>
      </w:r>
      <w:r>
        <w:rPr>
          <w:rFonts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产出</w:t>
      </w:r>
      <w:r>
        <w:rPr>
          <w:rFonts w:hint="eastAsia" w:cs="仿宋_GB2312"/>
          <w:kern w:val="2"/>
          <w:sz w:val="32"/>
          <w:szCs w:val="32"/>
          <w:highlight w:val="none"/>
          <w:lang w:val="en-US" w:eastAsia="zh-CN" w:bidi="ar-SA"/>
        </w:rPr>
        <w:t>质量</w:t>
      </w:r>
      <w:r>
        <w:rPr>
          <w:rFonts w:hint="eastAsia" w:ascii="仿宋_GB2312" w:hAnsi="仿宋_GB2312" w:eastAsia="仿宋_GB2312" w:cs="仿宋_GB2312"/>
          <w:kern w:val="2"/>
          <w:sz w:val="32"/>
          <w:szCs w:val="32"/>
          <w:highlight w:val="none"/>
          <w:lang w:val="en-US" w:eastAsia="zh-CN" w:bidi="ar-SA"/>
        </w:rPr>
        <w:t>、产出时效</w:t>
      </w:r>
      <w:r>
        <w:rPr>
          <w:rFonts w:hint="eastAsia" w:cs="仿宋_GB2312"/>
          <w:kern w:val="2"/>
          <w:sz w:val="32"/>
          <w:szCs w:val="32"/>
          <w:highlight w:val="none"/>
          <w:lang w:val="en-US" w:eastAsia="zh-CN" w:bidi="ar-SA"/>
        </w:rPr>
        <w:t>、产出成本</w:t>
      </w:r>
      <w:r>
        <w:rPr>
          <w:rFonts w:hint="eastAsia" w:ascii="仿宋_GB2312" w:hAnsi="仿宋_GB2312" w:eastAsia="仿宋_GB2312" w:cs="仿宋_GB2312"/>
          <w:kern w:val="2"/>
          <w:sz w:val="32"/>
          <w:szCs w:val="32"/>
          <w:highlight w:val="none"/>
          <w:lang w:val="en-US" w:eastAsia="zh-CN" w:bidi="ar-SA"/>
        </w:rPr>
        <w:t>等方面进行系统评价，是</w:t>
      </w:r>
      <w:r>
        <w:rPr>
          <w:rFonts w:hint="eastAsia" w:cs="仿宋_GB2312"/>
          <w:kern w:val="2"/>
          <w:sz w:val="32"/>
          <w:szCs w:val="32"/>
          <w:highlight w:val="none"/>
          <w:lang w:val="en-US" w:eastAsia="zh-CN" w:bidi="ar-SA"/>
        </w:rPr>
        <w:t>项目</w:t>
      </w:r>
      <w:r>
        <w:rPr>
          <w:rFonts w:hint="eastAsia" w:ascii="仿宋_GB2312" w:hAnsi="仿宋_GB2312" w:eastAsia="仿宋_GB2312" w:cs="仿宋_GB2312"/>
          <w:kern w:val="2"/>
          <w:sz w:val="32"/>
          <w:szCs w:val="32"/>
          <w:highlight w:val="none"/>
          <w:lang w:val="en-US" w:eastAsia="zh-CN" w:bidi="ar-SA"/>
        </w:rPr>
        <w:t>绩效实现的核心</w:t>
      </w:r>
      <w:r>
        <w:rPr>
          <w:rFonts w:hint="eastAsia" w:cs="仿宋_GB2312"/>
          <w:kern w:val="2"/>
          <w:sz w:val="32"/>
          <w:szCs w:val="32"/>
          <w:highlight w:val="none"/>
          <w:lang w:val="en-US" w:eastAsia="zh-CN" w:bidi="ar-SA"/>
        </w:rPr>
        <w:t>，根据该项目特点主要考察英才计划奖补企业数量、获奖企业资格符合率、奖补资金发放及时率等，</w:t>
      </w:r>
      <w:r>
        <w:rPr>
          <w:rFonts w:hint="eastAsia" w:ascii="仿宋_GB2312" w:hAnsi="仿宋_GB2312" w:eastAsia="仿宋_GB2312" w:cs="仿宋_GB2312"/>
          <w:kern w:val="2"/>
          <w:sz w:val="32"/>
          <w:szCs w:val="32"/>
          <w:highlight w:val="none"/>
          <w:lang w:val="en-US" w:eastAsia="zh-CN" w:bidi="ar-SA"/>
        </w:rPr>
        <w:t>权重设置为</w:t>
      </w:r>
      <w:r>
        <w:rPr>
          <w:rFonts w:hint="eastAsia" w:cs="仿宋_GB2312"/>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效益指标</w:t>
      </w:r>
      <w:r>
        <w:rPr>
          <w:rFonts w:hint="eastAsia" w:ascii="仿宋_GB2312" w:hAnsi="仿宋_GB2312" w:eastAsia="仿宋_GB2312" w:cs="仿宋_GB2312"/>
          <w:kern w:val="2"/>
          <w:sz w:val="32"/>
          <w:szCs w:val="32"/>
          <w:highlight w:val="none"/>
          <w:lang w:val="en-US" w:eastAsia="zh-CN" w:bidi="ar-SA"/>
        </w:rPr>
        <w:t>主要从社会效益</w:t>
      </w:r>
      <w:r>
        <w:rPr>
          <w:rFonts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经济效益、可持续影响、满意度</w:t>
      </w:r>
      <w:r>
        <w:rPr>
          <w:rFonts w:hint="eastAsia" w:ascii="仿宋_GB2312" w:hAnsi="仿宋_GB2312" w:eastAsia="仿宋_GB2312" w:cs="仿宋_GB2312"/>
          <w:kern w:val="2"/>
          <w:sz w:val="32"/>
          <w:szCs w:val="32"/>
          <w:highlight w:val="none"/>
          <w:lang w:val="en-US" w:eastAsia="zh-CN" w:bidi="ar-SA"/>
        </w:rPr>
        <w:t>等方面进行系统评价，</w:t>
      </w:r>
      <w:r>
        <w:rPr>
          <w:rFonts w:hint="eastAsia" w:cs="仿宋_GB2312"/>
          <w:kern w:val="2"/>
          <w:sz w:val="32"/>
          <w:szCs w:val="32"/>
          <w:highlight w:val="none"/>
          <w:lang w:val="en-US" w:eastAsia="zh-CN" w:bidi="ar-SA"/>
        </w:rPr>
        <w:t>根据该项目特点主要考察项目按进度落地情况、就业拉动情况、申请国家专利或计算机软件著作权数量、获奖补企业经济贡献程度、英才计划机制健全性和获奖补企业满意度等，</w:t>
      </w:r>
      <w:r>
        <w:rPr>
          <w:rFonts w:hint="eastAsia" w:ascii="仿宋_GB2312" w:hAnsi="仿宋_GB2312" w:eastAsia="仿宋_GB2312" w:cs="仿宋_GB2312"/>
          <w:kern w:val="2"/>
          <w:sz w:val="32"/>
          <w:szCs w:val="32"/>
          <w:highlight w:val="none"/>
          <w:lang w:val="en-US" w:eastAsia="zh-CN" w:bidi="ar-SA"/>
        </w:rPr>
        <w:t>权重设置为</w:t>
      </w:r>
      <w:r>
        <w:rPr>
          <w:rFonts w:hint="eastAsia" w:cs="仿宋_GB2312"/>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二级指标、三级指标的权重均是根据部门绩效评价指标体系中一级指标权重及内容的重要程度进行了细化、量化后权衡设置的。</w:t>
      </w:r>
    </w:p>
    <w:p>
      <w:pPr>
        <w:spacing w:line="580" w:lineRule="exact"/>
        <w:ind w:firstLine="664"/>
        <w:rPr>
          <w:rFonts w:hAnsi="RGPCGC+FangSong_GB2312" w:cs="RGPCGC+FangSong_GB2312"/>
          <w:spacing w:val="6"/>
          <w:highlight w:val="none"/>
        </w:rPr>
      </w:pPr>
      <w:r>
        <w:rPr>
          <w:rFonts w:hint="eastAsia" w:hAnsi="RGPCGC+FangSong_GB2312" w:cs="RGPCGC+FangSong_GB2312"/>
          <w:spacing w:val="6"/>
          <w:highlight w:val="none"/>
        </w:rPr>
        <w:t>根据本项目指标体系设计的总体思路，本项目各项指标名称、指标解释、指标说明详见附件一。</w:t>
      </w:r>
      <w:bookmarkStart w:id="259" w:name="_Toc52121498"/>
      <w:bookmarkStart w:id="260" w:name="_Toc52275128"/>
      <w:bookmarkStart w:id="261" w:name="_Toc81994017"/>
    </w:p>
    <w:p>
      <w:pPr>
        <w:pStyle w:val="30"/>
        <w:spacing w:line="580" w:lineRule="exact"/>
        <w:ind w:firstLine="640"/>
        <w:rPr>
          <w:highlight w:val="none"/>
        </w:rPr>
      </w:pPr>
      <w:bookmarkStart w:id="262" w:name="_Toc119629939"/>
      <w:bookmarkStart w:id="263" w:name="_Toc120282157"/>
      <w:bookmarkStart w:id="264" w:name="_Toc7206"/>
      <w:bookmarkStart w:id="265" w:name="_Toc83377040"/>
      <w:bookmarkStart w:id="266" w:name="_Toc25477"/>
      <w:bookmarkStart w:id="267" w:name="_Toc120281576"/>
      <w:r>
        <w:rPr>
          <w:rFonts w:hint="eastAsia"/>
          <w:highlight w:val="none"/>
        </w:rPr>
        <w:t>2.</w:t>
      </w:r>
      <w:r>
        <w:rPr>
          <w:highlight w:val="none"/>
        </w:rPr>
        <w:t>评价标准</w:t>
      </w:r>
      <w:bookmarkEnd w:id="259"/>
      <w:bookmarkEnd w:id="260"/>
      <w:bookmarkEnd w:id="261"/>
      <w:bookmarkEnd w:id="262"/>
      <w:bookmarkEnd w:id="263"/>
      <w:bookmarkEnd w:id="264"/>
      <w:bookmarkEnd w:id="265"/>
      <w:bookmarkEnd w:id="266"/>
      <w:bookmarkEnd w:id="267"/>
    </w:p>
    <w:p>
      <w:pPr>
        <w:spacing w:line="580" w:lineRule="exact"/>
        <w:ind w:firstLine="640"/>
        <w:rPr>
          <w:highlight w:val="none"/>
        </w:rPr>
      </w:pPr>
      <w:r>
        <w:rPr>
          <w:rFonts w:hint="eastAsia"/>
          <w:highlight w:val="none"/>
        </w:rPr>
        <w:t>本次绩效评价按照政府性预算资金的分配方式，为考查资金使用效益和配置效率，指标体系评价标准及评价方式的确定拟按照以下标准：</w:t>
      </w:r>
    </w:p>
    <w:p>
      <w:pPr>
        <w:spacing w:line="580" w:lineRule="exact"/>
        <w:ind w:firstLine="640"/>
        <w:rPr>
          <w:highlight w:val="none"/>
        </w:rPr>
      </w:pPr>
      <w:r>
        <w:rPr>
          <w:rFonts w:hint="eastAsia"/>
          <w:highlight w:val="none"/>
        </w:rPr>
        <w:t>（1）计划标准。以</w:t>
      </w:r>
      <w:r>
        <w:rPr>
          <w:rFonts w:hint="eastAsia"/>
          <w:highlight w:val="none"/>
          <w:lang w:val="en-US" w:eastAsia="zh-CN"/>
        </w:rPr>
        <w:t>2022</w:t>
      </w:r>
      <w:r>
        <w:rPr>
          <w:rFonts w:hint="eastAsia"/>
          <w:highlight w:val="none"/>
        </w:rPr>
        <w:t>年制定的计划、预算、定额等作为评价标准。</w:t>
      </w:r>
    </w:p>
    <w:p>
      <w:pPr>
        <w:spacing w:line="580" w:lineRule="exact"/>
        <w:ind w:firstLine="640"/>
        <w:rPr>
          <w:highlight w:val="none"/>
        </w:rPr>
      </w:pPr>
      <w:r>
        <w:rPr>
          <w:rFonts w:hint="eastAsia"/>
          <w:highlight w:val="none"/>
        </w:rPr>
        <w:t>（2）行业标准。参照国家公布的行业指标数据及各项目行业内的指标数据。</w:t>
      </w:r>
    </w:p>
    <w:p>
      <w:pPr>
        <w:spacing w:line="580" w:lineRule="exact"/>
        <w:ind w:firstLine="640"/>
        <w:rPr>
          <w:highlight w:val="none"/>
        </w:rPr>
      </w:pPr>
      <w:r>
        <w:rPr>
          <w:rFonts w:hint="eastAsia"/>
          <w:highlight w:val="none"/>
        </w:rPr>
        <w:t>（3）通用标准。取值一般在0—100%之间，这类标准适用于管理类和产出类指标。</w:t>
      </w:r>
    </w:p>
    <w:p>
      <w:pPr>
        <w:pStyle w:val="30"/>
        <w:spacing w:line="580" w:lineRule="exact"/>
        <w:ind w:firstLine="640"/>
        <w:rPr>
          <w:highlight w:val="none"/>
        </w:rPr>
      </w:pPr>
      <w:bookmarkStart w:id="268" w:name="_Toc9820"/>
      <w:bookmarkStart w:id="269" w:name="_Toc120281577"/>
      <w:bookmarkStart w:id="270" w:name="_Toc120282158"/>
      <w:bookmarkStart w:id="271" w:name="_Toc119629940"/>
      <w:bookmarkStart w:id="272" w:name="_Toc52275129"/>
      <w:bookmarkStart w:id="273" w:name="_Toc81994018"/>
      <w:bookmarkStart w:id="274" w:name="_Toc52121499"/>
      <w:bookmarkStart w:id="275" w:name="_Toc83377041"/>
      <w:bookmarkStart w:id="276" w:name="_Toc26934"/>
      <w:r>
        <w:rPr>
          <w:rFonts w:hint="eastAsia"/>
          <w:highlight w:val="none"/>
        </w:rPr>
        <w:t>3.</w:t>
      </w:r>
      <w:r>
        <w:rPr>
          <w:highlight w:val="none"/>
        </w:rPr>
        <w:t>指标权重</w:t>
      </w:r>
      <w:bookmarkEnd w:id="268"/>
      <w:bookmarkEnd w:id="269"/>
      <w:bookmarkEnd w:id="270"/>
      <w:bookmarkEnd w:id="271"/>
      <w:bookmarkEnd w:id="272"/>
      <w:bookmarkEnd w:id="273"/>
      <w:bookmarkEnd w:id="274"/>
      <w:bookmarkEnd w:id="275"/>
      <w:bookmarkEnd w:id="276"/>
    </w:p>
    <w:p>
      <w:pPr>
        <w:spacing w:line="580" w:lineRule="exact"/>
        <w:ind w:firstLine="640"/>
        <w:rPr>
          <w:highlight w:val="none"/>
        </w:rPr>
      </w:pPr>
      <w:r>
        <w:rPr>
          <w:rFonts w:hint="eastAsia"/>
          <w:highlight w:val="none"/>
        </w:rPr>
        <w:t>本次绩效评价指标权重根据《财政部关于印发〈项目支出绩效评价管理办法〉的通知》（财预〔2020〕10号）文件相关要求及各项指标的重要性确定，由于</w:t>
      </w:r>
      <w:r>
        <w:rPr>
          <w:rFonts w:hint="eastAsia"/>
          <w:highlight w:val="none"/>
          <w:lang w:eastAsia="zh-CN"/>
        </w:rPr>
        <w:t>枣庄英才计划项目</w:t>
      </w:r>
      <w:r>
        <w:rPr>
          <w:rFonts w:hint="eastAsia"/>
          <w:highlight w:val="none"/>
        </w:rPr>
        <w:t>其产出效益比较突出，故产出和效益指标权重设置占比相对较高。具体权重如下：</w:t>
      </w:r>
    </w:p>
    <w:p>
      <w:pPr>
        <w:spacing w:line="580" w:lineRule="exact"/>
        <w:ind w:firstLine="640"/>
        <w:rPr>
          <w:highlight w:val="none"/>
        </w:rPr>
      </w:pPr>
      <w:r>
        <w:rPr>
          <w:rFonts w:hint="eastAsia"/>
          <w:highlight w:val="none"/>
        </w:rPr>
        <w:t>决策指标权重20%：决策主要考察项目立项、绩效目标、资金投入情况，故在决策指标设置权重占比20%。</w:t>
      </w:r>
    </w:p>
    <w:p>
      <w:pPr>
        <w:spacing w:line="580" w:lineRule="exact"/>
        <w:ind w:firstLine="640"/>
        <w:rPr>
          <w:highlight w:val="none"/>
        </w:rPr>
      </w:pPr>
      <w:r>
        <w:rPr>
          <w:rFonts w:hint="eastAsia"/>
          <w:highlight w:val="none"/>
        </w:rPr>
        <w:t>过程指标权重20%：过程主要考察本项目资金管理情况、组织实施情况，由于资金管理、组织实施对项目实施有一定的影响，故在项目过程指标权重设置占比20%。</w:t>
      </w:r>
    </w:p>
    <w:p>
      <w:pPr>
        <w:spacing w:line="580" w:lineRule="exact"/>
        <w:ind w:firstLine="640"/>
        <w:rPr>
          <w:highlight w:val="none"/>
        </w:rPr>
      </w:pPr>
      <w:r>
        <w:rPr>
          <w:rFonts w:hint="eastAsia"/>
          <w:highlight w:val="none"/>
        </w:rPr>
        <w:t>产出指标权重30%：本次绩效评价产出指标主要是对</w:t>
      </w:r>
      <w:r>
        <w:rPr>
          <w:rFonts w:hint="eastAsia"/>
          <w:highlight w:val="none"/>
          <w:lang w:eastAsia="zh-CN"/>
        </w:rPr>
        <w:t>枣庄英才计划项目</w:t>
      </w:r>
      <w:r>
        <w:rPr>
          <w:rFonts w:hint="eastAsia"/>
          <w:highlight w:val="none"/>
        </w:rPr>
        <w:t>产出方面进行评价，故在项目产出设置权重30%。</w:t>
      </w:r>
    </w:p>
    <w:p>
      <w:pPr>
        <w:spacing w:line="580" w:lineRule="exact"/>
        <w:ind w:firstLine="640"/>
        <w:rPr>
          <w:highlight w:val="none"/>
        </w:rPr>
      </w:pPr>
      <w:r>
        <w:rPr>
          <w:rFonts w:hint="eastAsia"/>
          <w:highlight w:val="none"/>
        </w:rPr>
        <w:t>效益指标权重30%：本项目通过社会效益、经济效益、可持续影响、满意度来评价项目实施产生的效益是否达到项目的预期效果，设置权重30%。</w:t>
      </w:r>
    </w:p>
    <w:p>
      <w:pPr>
        <w:pStyle w:val="30"/>
        <w:spacing w:line="580" w:lineRule="exact"/>
        <w:ind w:firstLine="640"/>
        <w:rPr>
          <w:highlight w:val="none"/>
        </w:rPr>
      </w:pPr>
      <w:bookmarkStart w:id="277" w:name="_Toc20103"/>
      <w:bookmarkStart w:id="278" w:name="_Toc83377042"/>
      <w:bookmarkStart w:id="279" w:name="_Toc81994019"/>
      <w:bookmarkStart w:id="280" w:name="_Toc120281578"/>
      <w:bookmarkStart w:id="281" w:name="_Toc12928"/>
      <w:bookmarkStart w:id="282" w:name="_Toc120282159"/>
      <w:bookmarkStart w:id="283" w:name="_Toc52275130"/>
      <w:bookmarkStart w:id="284" w:name="_Toc52121500"/>
      <w:bookmarkStart w:id="285" w:name="_Toc119629941"/>
      <w:r>
        <w:rPr>
          <w:rFonts w:hint="eastAsia"/>
          <w:highlight w:val="none"/>
        </w:rPr>
        <w:t>4.</w:t>
      </w:r>
      <w:r>
        <w:rPr>
          <w:highlight w:val="none"/>
        </w:rPr>
        <w:t>数据来源</w:t>
      </w:r>
      <w:r>
        <w:rPr>
          <w:rFonts w:hint="eastAsia"/>
          <w:highlight w:val="none"/>
        </w:rPr>
        <w:t>、</w:t>
      </w:r>
      <w:r>
        <w:rPr>
          <w:highlight w:val="none"/>
        </w:rPr>
        <w:t>证据收集方式</w:t>
      </w:r>
      <w:bookmarkEnd w:id="277"/>
      <w:bookmarkEnd w:id="278"/>
      <w:bookmarkEnd w:id="279"/>
      <w:bookmarkEnd w:id="280"/>
      <w:bookmarkEnd w:id="281"/>
      <w:bookmarkEnd w:id="282"/>
      <w:bookmarkEnd w:id="283"/>
      <w:bookmarkEnd w:id="284"/>
      <w:bookmarkEnd w:id="285"/>
    </w:p>
    <w:p>
      <w:pPr>
        <w:spacing w:line="580" w:lineRule="exact"/>
        <w:ind w:firstLine="640"/>
        <w:rPr>
          <w:highlight w:val="none"/>
        </w:rPr>
      </w:pPr>
      <w:r>
        <w:rPr>
          <w:rFonts w:hint="eastAsia"/>
          <w:highlight w:val="none"/>
        </w:rPr>
        <w:t>本项目数据来源是通过资料收集、现场访谈、现场调研、微信和电话等方式与</w:t>
      </w:r>
      <w:r>
        <w:rPr>
          <w:rFonts w:hint="eastAsia"/>
          <w:highlight w:val="none"/>
          <w:lang w:eastAsia="zh-CN"/>
        </w:rPr>
        <w:t>枣庄高新区党群工作部</w:t>
      </w:r>
      <w:r>
        <w:rPr>
          <w:rFonts w:hint="eastAsia"/>
          <w:highlight w:val="none"/>
        </w:rPr>
        <w:t>、</w:t>
      </w:r>
      <w:r>
        <w:rPr>
          <w:rFonts w:hint="eastAsia" w:ascii="宋体" w:hAnsi="宋体"/>
          <w:caps/>
          <w:highlight w:val="none"/>
          <w:lang w:val="en-US" w:eastAsia="zh-CN"/>
        </w:rPr>
        <w:t>科技局和三家获枣庄英才奖补企业</w:t>
      </w:r>
      <w:r>
        <w:rPr>
          <w:rFonts w:hint="eastAsia"/>
          <w:highlight w:val="none"/>
        </w:rPr>
        <w:t>进行沟通和座谈。</w:t>
      </w:r>
    </w:p>
    <w:p>
      <w:pPr>
        <w:pStyle w:val="8"/>
        <w:spacing w:line="580" w:lineRule="exact"/>
        <w:ind w:firstLine="605"/>
        <w:rPr>
          <w:highlight w:val="none"/>
        </w:rPr>
      </w:pPr>
      <w:bookmarkStart w:id="286" w:name="_Toc10959"/>
      <w:bookmarkStart w:id="287" w:name="_Toc15626"/>
      <w:r>
        <w:rPr>
          <w:rFonts w:hint="eastAsia"/>
          <w:highlight w:val="none"/>
        </w:rPr>
        <w:t>（六）评价人员组成</w:t>
      </w:r>
      <w:bookmarkEnd w:id="286"/>
      <w:bookmarkEnd w:id="287"/>
    </w:p>
    <w:p>
      <w:pPr>
        <w:spacing w:line="580" w:lineRule="exact"/>
        <w:ind w:firstLine="640"/>
        <w:rPr>
          <w:highlight w:val="none"/>
          <w:lang w:val="zh-CN"/>
        </w:rPr>
      </w:pPr>
      <w:r>
        <w:rPr>
          <w:rFonts w:hint="eastAsia"/>
          <w:highlight w:val="none"/>
        </w:rPr>
        <w:t>确定本次部门评价的工作组，</w:t>
      </w:r>
      <w:r>
        <w:rPr>
          <w:rFonts w:hint="eastAsia"/>
          <w:highlight w:val="none"/>
          <w:lang w:val="zh-CN"/>
        </w:rPr>
        <w:t>配备</w:t>
      </w:r>
      <w:r>
        <w:rPr>
          <w:rFonts w:hint="eastAsia"/>
          <w:highlight w:val="none"/>
          <w:lang w:val="en-US" w:eastAsia="zh-CN"/>
        </w:rPr>
        <w:t>经济</w:t>
      </w:r>
      <w:r>
        <w:rPr>
          <w:rFonts w:hint="eastAsia"/>
          <w:highlight w:val="none"/>
          <w:lang w:val="zh-CN"/>
        </w:rPr>
        <w:t>、会计等方面人员。小组成员应具备以下能力：</w:t>
      </w:r>
    </w:p>
    <w:p>
      <w:pPr>
        <w:spacing w:line="580" w:lineRule="exact"/>
        <w:ind w:firstLine="640"/>
        <w:rPr>
          <w:highlight w:val="none"/>
          <w:lang w:val="zh-CN"/>
        </w:rPr>
      </w:pPr>
      <w:r>
        <w:rPr>
          <w:rFonts w:hint="eastAsia"/>
          <w:highlight w:val="none"/>
          <w:lang w:val="zh-CN"/>
        </w:rPr>
        <w:t>绩效评价知识和技能：具有成功开展绩效评价所需的知识、技能和经验。</w:t>
      </w:r>
    </w:p>
    <w:p>
      <w:pPr>
        <w:spacing w:line="580" w:lineRule="exact"/>
        <w:ind w:firstLine="640"/>
        <w:rPr>
          <w:highlight w:val="none"/>
          <w:lang w:val="zh-CN"/>
        </w:rPr>
      </w:pPr>
      <w:r>
        <w:rPr>
          <w:rFonts w:hint="eastAsia"/>
          <w:highlight w:val="none"/>
          <w:lang w:val="zh-CN"/>
        </w:rPr>
        <w:t>沟通能力:具有良好的沟通能力，能与利益相关者进行友好沟通，促进利益相关者参与绩效评价并提供必要协助。</w:t>
      </w:r>
    </w:p>
    <w:p>
      <w:pPr>
        <w:spacing w:line="580" w:lineRule="exact"/>
        <w:ind w:firstLine="640"/>
        <w:rPr>
          <w:highlight w:val="none"/>
          <w:lang w:val="zh-CN"/>
        </w:rPr>
      </w:pPr>
      <w:r>
        <w:rPr>
          <w:rFonts w:hint="eastAsia"/>
          <w:highlight w:val="none"/>
          <w:lang w:val="zh-CN"/>
        </w:rPr>
        <w:t>组织协调能力:具有良好的组织协调能力，包括组织和调动各种资源、协调评价中不同任务的进展、控制评价任务在规定的时间内完成的能力。</w:t>
      </w:r>
    </w:p>
    <w:p>
      <w:pPr>
        <w:spacing w:line="580" w:lineRule="exact"/>
        <w:ind w:firstLine="640"/>
        <w:rPr>
          <w:highlight w:val="none"/>
        </w:rPr>
      </w:pPr>
      <w:r>
        <w:rPr>
          <w:rFonts w:hint="eastAsia"/>
          <w:highlight w:val="none"/>
          <w:lang w:val="zh-CN"/>
        </w:rPr>
        <w:t>了解项目情况:了解部门相关政策、优先重点、面临的主要问题等。</w:t>
      </w:r>
    </w:p>
    <w:p>
      <w:pPr>
        <w:pStyle w:val="8"/>
        <w:spacing w:line="580" w:lineRule="exact"/>
        <w:ind w:firstLine="605"/>
        <w:rPr>
          <w:highlight w:val="none"/>
        </w:rPr>
      </w:pPr>
      <w:bookmarkStart w:id="288" w:name="_Toc31536"/>
      <w:bookmarkStart w:id="289" w:name="_Toc32170"/>
      <w:r>
        <w:rPr>
          <w:rFonts w:hint="eastAsia"/>
          <w:highlight w:val="none"/>
        </w:rPr>
        <w:t>（七）绩效评价工作过程</w:t>
      </w:r>
      <w:bookmarkEnd w:id="288"/>
      <w:bookmarkEnd w:id="289"/>
    </w:p>
    <w:p>
      <w:pPr>
        <w:pStyle w:val="30"/>
        <w:spacing w:line="580" w:lineRule="exact"/>
        <w:ind w:firstLine="640"/>
        <w:rPr>
          <w:highlight w:val="none"/>
        </w:rPr>
      </w:pPr>
      <w:bookmarkStart w:id="290" w:name="_Toc83377045"/>
      <w:bookmarkStart w:id="291" w:name="_Toc119629944"/>
      <w:bookmarkStart w:id="292" w:name="_Toc120282162"/>
      <w:bookmarkStart w:id="293" w:name="_Toc120281581"/>
      <w:bookmarkStart w:id="294" w:name="_Toc14640"/>
      <w:bookmarkStart w:id="295" w:name="_Toc30876"/>
      <w:r>
        <w:rPr>
          <w:rFonts w:hint="eastAsia"/>
          <w:highlight w:val="none"/>
        </w:rPr>
        <w:t>1.前期准备</w:t>
      </w:r>
      <w:bookmarkEnd w:id="290"/>
      <w:bookmarkEnd w:id="291"/>
      <w:bookmarkEnd w:id="292"/>
      <w:bookmarkEnd w:id="293"/>
      <w:bookmarkEnd w:id="294"/>
      <w:bookmarkEnd w:id="295"/>
    </w:p>
    <w:p>
      <w:pPr>
        <w:spacing w:line="580" w:lineRule="exact"/>
        <w:ind w:firstLine="640"/>
        <w:rPr>
          <w:highlight w:val="none"/>
        </w:rPr>
      </w:pPr>
      <w:r>
        <w:rPr>
          <w:rFonts w:hint="eastAsia"/>
          <w:highlight w:val="none"/>
        </w:rPr>
        <w:t>前期准备阶段的工作主要包括接受委托任务、明确绩效目标、成立评价工作组、了解项目初步了解、提出评价思路确定调研提纲等流程。</w:t>
      </w:r>
    </w:p>
    <w:p>
      <w:pPr>
        <w:pStyle w:val="30"/>
        <w:spacing w:line="580" w:lineRule="exact"/>
        <w:ind w:firstLine="640"/>
        <w:rPr>
          <w:highlight w:val="none"/>
        </w:rPr>
      </w:pPr>
      <w:bookmarkStart w:id="296" w:name="_Toc14467"/>
      <w:bookmarkStart w:id="297" w:name="_Toc18554"/>
      <w:bookmarkStart w:id="298" w:name="_Toc120282163"/>
      <w:bookmarkStart w:id="299" w:name="_Toc120281582"/>
      <w:bookmarkStart w:id="300" w:name="_Toc83377046"/>
      <w:bookmarkStart w:id="301" w:name="_Toc119629945"/>
      <w:r>
        <w:rPr>
          <w:rFonts w:hint="eastAsia"/>
          <w:highlight w:val="none"/>
        </w:rPr>
        <w:t>2.初期调研</w:t>
      </w:r>
      <w:bookmarkEnd w:id="296"/>
      <w:bookmarkEnd w:id="297"/>
      <w:bookmarkEnd w:id="298"/>
      <w:bookmarkEnd w:id="299"/>
      <w:bookmarkEnd w:id="300"/>
      <w:bookmarkEnd w:id="301"/>
    </w:p>
    <w:p>
      <w:pPr>
        <w:spacing w:line="580" w:lineRule="exact"/>
        <w:ind w:firstLine="640"/>
        <w:rPr>
          <w:highlight w:val="none"/>
        </w:rPr>
      </w:pPr>
      <w:bookmarkStart w:id="302" w:name="_Toc31983"/>
      <w:r>
        <w:rPr>
          <w:rFonts w:hint="eastAsia"/>
          <w:highlight w:val="none"/>
        </w:rPr>
        <w:t>该阶段包括组织现场调研，对项目的实际情况进行了解，对评价思路中设想的工作要点进行询问和资料收集，之后通过对资料收集及整理完成项目评价实施方案。</w:t>
      </w:r>
    </w:p>
    <w:p>
      <w:pPr>
        <w:pStyle w:val="30"/>
        <w:spacing w:line="580" w:lineRule="exact"/>
        <w:ind w:firstLine="640"/>
        <w:rPr>
          <w:highlight w:val="none"/>
        </w:rPr>
      </w:pPr>
      <w:bookmarkStart w:id="303" w:name="_Toc20412"/>
      <w:bookmarkStart w:id="304" w:name="_Toc49278607"/>
      <w:bookmarkStart w:id="305" w:name="_Toc83377047"/>
      <w:bookmarkStart w:id="306" w:name="_Toc120282164"/>
      <w:bookmarkStart w:id="307" w:name="_Toc120281583"/>
      <w:bookmarkStart w:id="308" w:name="_Toc119629946"/>
      <w:bookmarkStart w:id="309" w:name="_Toc24825"/>
      <w:r>
        <w:rPr>
          <w:rFonts w:hint="eastAsia"/>
          <w:highlight w:val="none"/>
        </w:rPr>
        <w:t>3.现场评价</w:t>
      </w:r>
      <w:bookmarkEnd w:id="302"/>
      <w:bookmarkEnd w:id="303"/>
      <w:bookmarkEnd w:id="304"/>
      <w:bookmarkEnd w:id="305"/>
      <w:bookmarkEnd w:id="306"/>
      <w:bookmarkEnd w:id="307"/>
      <w:bookmarkEnd w:id="308"/>
      <w:bookmarkEnd w:id="309"/>
    </w:p>
    <w:p>
      <w:pPr>
        <w:spacing w:line="580" w:lineRule="exact"/>
        <w:ind w:firstLine="640"/>
        <w:rPr>
          <w:kern w:val="2"/>
          <w:highlight w:val="none"/>
        </w:rPr>
      </w:pPr>
      <w:r>
        <w:rPr>
          <w:rFonts w:hint="eastAsia"/>
          <w:highlight w:val="none"/>
        </w:rPr>
        <w:t>我公司绩效评价小组根据评价方案确定的现场评价抽样范围，在现场对项目实施情况和财政资金使用情况进行评价打分，并对发现的问题与主管部门沟通及搜集相关资料。</w:t>
      </w:r>
      <w:bookmarkStart w:id="310" w:name="_Toc3076"/>
      <w:r>
        <w:rPr>
          <w:rFonts w:hint="eastAsia"/>
          <w:kern w:val="2"/>
          <w:highlight w:val="none"/>
        </w:rPr>
        <w:t>主要包括：</w:t>
      </w:r>
    </w:p>
    <w:p>
      <w:pPr>
        <w:spacing w:line="580" w:lineRule="exact"/>
        <w:ind w:firstLine="640"/>
        <w:rPr>
          <w:highlight w:val="none"/>
        </w:rPr>
      </w:pPr>
      <w:r>
        <w:rPr>
          <w:rFonts w:hint="eastAsia"/>
          <w:highlight w:val="none"/>
        </w:rPr>
        <w:t>（1）调研访谈。通过与</w:t>
      </w:r>
      <w:r>
        <w:rPr>
          <w:rFonts w:hint="eastAsia"/>
          <w:highlight w:val="none"/>
          <w:lang w:eastAsia="zh-CN"/>
        </w:rPr>
        <w:t>枣庄高新区党群工作部</w:t>
      </w:r>
      <w:r>
        <w:rPr>
          <w:rFonts w:hint="eastAsia"/>
          <w:highlight w:val="none"/>
          <w:lang w:val="en-US" w:eastAsia="zh-CN"/>
        </w:rPr>
        <w:t>和科技局</w:t>
      </w:r>
      <w:r>
        <w:rPr>
          <w:rFonts w:hint="eastAsia"/>
          <w:highlight w:val="none"/>
        </w:rPr>
        <w:t>相关人员面对面访谈，听取</w:t>
      </w:r>
      <w:r>
        <w:rPr>
          <w:rFonts w:hint="eastAsia"/>
          <w:highlight w:val="none"/>
          <w:lang w:eastAsia="zh-CN"/>
        </w:rPr>
        <w:t>枣庄高新区党群工作部</w:t>
      </w:r>
      <w:r>
        <w:rPr>
          <w:rFonts w:hint="eastAsia"/>
          <w:highlight w:val="none"/>
          <w:lang w:val="en-US" w:eastAsia="zh-CN"/>
        </w:rPr>
        <w:t>和科技局</w:t>
      </w:r>
      <w:r>
        <w:rPr>
          <w:rFonts w:hint="eastAsia"/>
          <w:highlight w:val="none"/>
        </w:rPr>
        <w:t>关于项目绩效目标设定及完成程度、管理制度建立及落实、预算编制及支出执行、财务管理、项目产出和效益等情况的介绍，形成访谈记录。</w:t>
      </w:r>
    </w:p>
    <w:p>
      <w:pPr>
        <w:spacing w:line="580" w:lineRule="exact"/>
        <w:ind w:firstLine="640"/>
        <w:rPr>
          <w:highlight w:val="none"/>
        </w:rPr>
      </w:pPr>
      <w:r>
        <w:rPr>
          <w:rFonts w:hint="eastAsia"/>
          <w:highlight w:val="none"/>
        </w:rPr>
        <w:t>（2）资料核查。查阅</w:t>
      </w:r>
      <w:r>
        <w:rPr>
          <w:rFonts w:hint="eastAsia"/>
          <w:highlight w:val="none"/>
          <w:lang w:eastAsia="zh-CN"/>
        </w:rPr>
        <w:t>枣庄高新区党群工作部</w:t>
      </w:r>
      <w:r>
        <w:rPr>
          <w:rFonts w:hint="eastAsia"/>
          <w:highlight w:val="none"/>
        </w:rPr>
        <w:t>、</w:t>
      </w:r>
      <w:r>
        <w:rPr>
          <w:rFonts w:hint="eastAsia" w:ascii="宋体" w:hAnsi="宋体"/>
          <w:caps/>
          <w:highlight w:val="none"/>
          <w:lang w:val="en-US" w:eastAsia="zh-CN"/>
        </w:rPr>
        <w:t>科技局和三家获奖企业英才工作</w:t>
      </w:r>
      <w:r>
        <w:rPr>
          <w:rFonts w:hint="eastAsia"/>
          <w:highlight w:val="none"/>
        </w:rPr>
        <w:t>相关资料，对项目实施</w:t>
      </w:r>
      <w:r>
        <w:rPr>
          <w:rFonts w:hint="eastAsia"/>
          <w:highlight w:val="none"/>
          <w:lang w:val="en-US" w:eastAsia="zh-CN"/>
        </w:rPr>
        <w:t>情况</w:t>
      </w:r>
      <w:r>
        <w:rPr>
          <w:rFonts w:hint="eastAsia"/>
          <w:highlight w:val="none"/>
        </w:rPr>
        <w:t>进行检查和核实。</w:t>
      </w:r>
    </w:p>
    <w:p>
      <w:pPr>
        <w:spacing w:line="580" w:lineRule="exact"/>
        <w:ind w:firstLine="640"/>
        <w:rPr>
          <w:highlight w:val="none"/>
        </w:rPr>
      </w:pPr>
      <w:r>
        <w:rPr>
          <w:rFonts w:hint="eastAsia"/>
          <w:highlight w:val="none"/>
        </w:rPr>
        <w:t>（3）社会调查。随机选取</w:t>
      </w:r>
      <w:r>
        <w:rPr>
          <w:rFonts w:hint="eastAsia"/>
          <w:highlight w:val="none"/>
          <w:lang w:val="en-US" w:eastAsia="zh-CN"/>
        </w:rPr>
        <w:t>枣庄英才获奖补企业职工</w:t>
      </w:r>
      <w:r>
        <w:rPr>
          <w:rFonts w:hint="eastAsia"/>
          <w:highlight w:val="none"/>
        </w:rPr>
        <w:t>进行调查问卷</w:t>
      </w:r>
      <w:r>
        <w:rPr>
          <w:rFonts w:hint="eastAsia"/>
          <w:highlight w:val="none"/>
          <w:lang w:val="en-US" w:eastAsia="zh-CN"/>
        </w:rPr>
        <w:t>填写</w:t>
      </w:r>
      <w:r>
        <w:rPr>
          <w:rFonts w:hint="eastAsia"/>
          <w:highlight w:val="none"/>
        </w:rPr>
        <w:t>，对其进行满意度调查。</w:t>
      </w:r>
    </w:p>
    <w:p>
      <w:pPr>
        <w:spacing w:line="580" w:lineRule="exact"/>
        <w:ind w:firstLine="640"/>
        <w:rPr>
          <w:highlight w:val="none"/>
        </w:rPr>
      </w:pPr>
      <w:r>
        <w:rPr>
          <w:rFonts w:hint="eastAsia"/>
          <w:highlight w:val="none"/>
        </w:rPr>
        <w:t>（4）分析评价。评价工作组以现场收集资料、访谈记录、会议纪要、调查问卷等相关资料为基础，对项目进行分析评价，形成现场评价结果。</w:t>
      </w:r>
    </w:p>
    <w:p>
      <w:pPr>
        <w:pStyle w:val="30"/>
        <w:spacing w:line="580" w:lineRule="exact"/>
        <w:ind w:firstLine="640"/>
        <w:rPr>
          <w:highlight w:val="none"/>
        </w:rPr>
      </w:pPr>
      <w:bookmarkStart w:id="311" w:name="_Toc120281584"/>
      <w:bookmarkStart w:id="312" w:name="_Toc27583"/>
      <w:bookmarkStart w:id="313" w:name="_Toc20295"/>
      <w:bookmarkStart w:id="314" w:name="_Toc83377048"/>
      <w:bookmarkStart w:id="315" w:name="_Toc120282165"/>
      <w:bookmarkStart w:id="316" w:name="_Toc119629947"/>
      <w:bookmarkStart w:id="317" w:name="_Toc49278608"/>
      <w:r>
        <w:rPr>
          <w:rFonts w:hint="eastAsia"/>
          <w:highlight w:val="none"/>
        </w:rPr>
        <w:t>4.综合分析</w:t>
      </w:r>
      <w:bookmarkEnd w:id="310"/>
      <w:bookmarkEnd w:id="311"/>
      <w:bookmarkEnd w:id="312"/>
      <w:bookmarkEnd w:id="313"/>
      <w:bookmarkEnd w:id="314"/>
      <w:bookmarkEnd w:id="315"/>
      <w:bookmarkEnd w:id="316"/>
      <w:bookmarkEnd w:id="317"/>
    </w:p>
    <w:p>
      <w:pPr>
        <w:spacing w:line="580" w:lineRule="exact"/>
        <w:ind w:firstLine="640"/>
        <w:rPr>
          <w:highlight w:val="none"/>
        </w:rPr>
      </w:pPr>
      <w:bookmarkStart w:id="318" w:name="_Toc7941781"/>
      <w:bookmarkStart w:id="319" w:name="_Toc16524647"/>
      <w:r>
        <w:rPr>
          <w:rFonts w:hint="eastAsia"/>
          <w:highlight w:val="none"/>
        </w:rPr>
        <w:t>我公司绩效评价工作组应对现场评价和非现场评价情况进行梳理、汇总、分析，对项目总体情况进行综合评价，形成绩效评价初步结论。通过汇总分析现场评价情况，形成项目最终绩效评价结果。</w:t>
      </w:r>
    </w:p>
    <w:p>
      <w:pPr>
        <w:spacing w:line="580" w:lineRule="exact"/>
        <w:ind w:firstLine="640"/>
        <w:rPr>
          <w:highlight w:val="none"/>
        </w:rPr>
      </w:pPr>
      <w:r>
        <w:rPr>
          <w:rFonts w:hint="eastAsia"/>
          <w:highlight w:val="none"/>
        </w:rPr>
        <w:t>具体如下：</w:t>
      </w:r>
    </w:p>
    <w:p>
      <w:pPr>
        <w:spacing w:line="580" w:lineRule="exact"/>
        <w:ind w:firstLine="640"/>
        <w:rPr>
          <w:highlight w:val="none"/>
        </w:rPr>
      </w:pPr>
      <w:r>
        <w:rPr>
          <w:rFonts w:hint="eastAsia"/>
          <w:highlight w:val="none"/>
        </w:rPr>
        <w:t>（1）根据不同评价准则、不同评价问题、各评价指标的重要性逐层赋予不同分值。</w:t>
      </w:r>
    </w:p>
    <w:p>
      <w:pPr>
        <w:spacing w:line="580" w:lineRule="exact"/>
        <w:ind w:firstLine="640"/>
        <w:rPr>
          <w:highlight w:val="none"/>
        </w:rPr>
      </w:pPr>
      <w:r>
        <w:rPr>
          <w:rFonts w:hint="eastAsia"/>
          <w:highlight w:val="none"/>
        </w:rPr>
        <w:t>（2）确定每个评价指标的评分标准。</w:t>
      </w:r>
    </w:p>
    <w:p>
      <w:pPr>
        <w:spacing w:line="580" w:lineRule="exact"/>
        <w:ind w:firstLine="640"/>
        <w:rPr>
          <w:highlight w:val="none"/>
        </w:rPr>
      </w:pPr>
      <w:r>
        <w:rPr>
          <w:rFonts w:hint="eastAsia"/>
          <w:highlight w:val="none"/>
        </w:rPr>
        <w:t>（3）具体评价时，对照评分标准，给每个指标进行打分，然后把所有指标的得分值直接加总得到总分。再根据总分的高低，给项目进行评级分等。</w:t>
      </w:r>
    </w:p>
    <w:p>
      <w:pPr>
        <w:spacing w:line="580" w:lineRule="exact"/>
        <w:ind w:firstLine="640"/>
        <w:rPr>
          <w:rFonts w:hint="eastAsia" w:ascii="黑体" w:hAnsi="黑体" w:eastAsia="黑体"/>
          <w:sz w:val="28"/>
          <w:szCs w:val="28"/>
          <w:highlight w:val="none"/>
        </w:rPr>
      </w:pPr>
      <w:r>
        <w:rPr>
          <w:rFonts w:hint="eastAsia"/>
          <w:highlight w:val="none"/>
        </w:rPr>
        <w:t>绩效评价结果采取评分和评级相结合的方式，具体评价结果级别评定是根据综合评分方法取得的计分结果确定所属等级。本次绩效评价结果分为四个等级：高于或等于90分的为“优”，80分（含）～90分的为“良”，60分（含）～80分的为“中”，低于60分的为“差”。具体见表</w:t>
      </w:r>
      <w:r>
        <w:rPr>
          <w:rFonts w:hint="eastAsia"/>
          <w:highlight w:val="none"/>
        </w:rPr>
        <w:t>3</w:t>
      </w:r>
      <w:r>
        <w:rPr>
          <w:rFonts w:hint="eastAsia"/>
          <w:highlight w:val="none"/>
          <w:lang w:val="en-US" w:eastAsia="zh-CN"/>
        </w:rPr>
        <w:t>.</w:t>
      </w:r>
      <w:r>
        <w:rPr>
          <w:rFonts w:hint="eastAsia"/>
          <w:highlight w:val="none"/>
        </w:rPr>
        <w:t>1。</w:t>
      </w:r>
    </w:p>
    <w:p>
      <w:pPr>
        <w:spacing w:line="580" w:lineRule="exact"/>
        <w:ind w:firstLine="560"/>
        <w:jc w:val="center"/>
        <w:rPr>
          <w:rFonts w:ascii="黑体" w:hAnsi="黑体" w:eastAsia="黑体"/>
          <w:sz w:val="28"/>
          <w:szCs w:val="28"/>
          <w:highlight w:val="none"/>
        </w:rPr>
      </w:pPr>
      <w:r>
        <w:rPr>
          <w:rFonts w:hint="eastAsia" w:ascii="黑体" w:hAnsi="黑体" w:eastAsia="黑体"/>
          <w:sz w:val="24"/>
          <w:szCs w:val="24"/>
          <w:highlight w:val="none"/>
        </w:rPr>
        <w:t>表3</w:t>
      </w:r>
      <w:r>
        <w:rPr>
          <w:rFonts w:hint="eastAsia" w:ascii="黑体" w:hAnsi="黑体" w:eastAsia="黑体"/>
          <w:sz w:val="24"/>
          <w:szCs w:val="24"/>
          <w:highlight w:val="none"/>
          <w:lang w:val="en-US" w:eastAsia="zh-CN"/>
        </w:rPr>
        <w:t>.1</w:t>
      </w:r>
      <w:r>
        <w:rPr>
          <w:rFonts w:hint="eastAsia" w:ascii="黑体" w:hAnsi="黑体" w:eastAsia="黑体"/>
          <w:sz w:val="24"/>
          <w:szCs w:val="24"/>
          <w:highlight w:val="none"/>
        </w:rPr>
        <w:t xml:space="preserve">   综合评分与级别评定对照表</w:t>
      </w:r>
    </w:p>
    <w:tbl>
      <w:tblPr>
        <w:tblStyle w:val="31"/>
        <w:tblW w:w="7765" w:type="dxa"/>
        <w:jc w:val="center"/>
        <w:tblLayout w:type="fixed"/>
        <w:tblCellMar>
          <w:top w:w="0" w:type="dxa"/>
          <w:left w:w="108" w:type="dxa"/>
          <w:bottom w:w="0" w:type="dxa"/>
          <w:right w:w="108" w:type="dxa"/>
        </w:tblCellMar>
      </w:tblPr>
      <w:tblGrid>
        <w:gridCol w:w="4324"/>
        <w:gridCol w:w="3441"/>
      </w:tblGrid>
      <w:tr>
        <w:tblPrEx>
          <w:tblCellMar>
            <w:top w:w="0" w:type="dxa"/>
            <w:left w:w="108" w:type="dxa"/>
            <w:bottom w:w="0" w:type="dxa"/>
            <w:right w:w="108" w:type="dxa"/>
          </w:tblCellMar>
        </w:tblPrEx>
        <w:trPr>
          <w:trHeight w:val="477" w:hRule="atLeast"/>
          <w:jc w:val="center"/>
        </w:trPr>
        <w:tc>
          <w:tcPr>
            <w:tcW w:w="4324" w:type="dxa"/>
            <w:tcBorders>
              <w:top w:val="single" w:color="auto" w:sz="4" w:space="0"/>
              <w:left w:val="single" w:color="auto" w:sz="4" w:space="0"/>
              <w:bottom w:val="single" w:color="auto" w:sz="4" w:space="0"/>
              <w:right w:val="single" w:color="auto" w:sz="4"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评价计分结果</w:t>
            </w:r>
          </w:p>
        </w:tc>
        <w:tc>
          <w:tcPr>
            <w:tcW w:w="3441" w:type="dxa"/>
            <w:tcBorders>
              <w:top w:val="single" w:color="auto" w:sz="4" w:space="0"/>
              <w:left w:val="single" w:color="auto" w:sz="4" w:space="0"/>
              <w:bottom w:val="single" w:color="auto" w:sz="4" w:space="0"/>
              <w:right w:val="single" w:color="auto" w:sz="4"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评价结果级别</w:t>
            </w:r>
          </w:p>
        </w:tc>
      </w:tr>
      <w:tr>
        <w:tblPrEx>
          <w:tblCellMar>
            <w:top w:w="0" w:type="dxa"/>
            <w:left w:w="108" w:type="dxa"/>
            <w:bottom w:w="0" w:type="dxa"/>
            <w:right w:w="108" w:type="dxa"/>
          </w:tblCellMar>
        </w:tblPrEx>
        <w:trPr>
          <w:trHeight w:val="343" w:hRule="atLeast"/>
          <w:jc w:val="center"/>
        </w:trPr>
        <w:tc>
          <w:tcPr>
            <w:tcW w:w="4324" w:type="dxa"/>
            <w:tcBorders>
              <w:top w:val="nil"/>
              <w:left w:val="single" w:color="auto" w:sz="8" w:space="0"/>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90分～100分（含90分）</w:t>
            </w:r>
          </w:p>
        </w:tc>
        <w:tc>
          <w:tcPr>
            <w:tcW w:w="3441" w:type="dxa"/>
            <w:tcBorders>
              <w:top w:val="nil"/>
              <w:left w:val="nil"/>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w:t>
            </w:r>
          </w:p>
        </w:tc>
      </w:tr>
      <w:tr>
        <w:tblPrEx>
          <w:tblCellMar>
            <w:top w:w="0" w:type="dxa"/>
            <w:left w:w="108" w:type="dxa"/>
            <w:bottom w:w="0" w:type="dxa"/>
            <w:right w:w="108" w:type="dxa"/>
          </w:tblCellMar>
        </w:tblPrEx>
        <w:trPr>
          <w:trHeight w:val="355" w:hRule="atLeast"/>
          <w:jc w:val="center"/>
        </w:trPr>
        <w:tc>
          <w:tcPr>
            <w:tcW w:w="4324" w:type="dxa"/>
            <w:tcBorders>
              <w:top w:val="nil"/>
              <w:left w:val="single" w:color="auto" w:sz="8" w:space="0"/>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80分～90分（含80分）</w:t>
            </w:r>
          </w:p>
        </w:tc>
        <w:tc>
          <w:tcPr>
            <w:tcW w:w="3441" w:type="dxa"/>
            <w:tcBorders>
              <w:top w:val="nil"/>
              <w:left w:val="nil"/>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良</w:t>
            </w:r>
          </w:p>
        </w:tc>
      </w:tr>
      <w:tr>
        <w:tblPrEx>
          <w:tblCellMar>
            <w:top w:w="0" w:type="dxa"/>
            <w:left w:w="108" w:type="dxa"/>
            <w:bottom w:w="0" w:type="dxa"/>
            <w:right w:w="108" w:type="dxa"/>
          </w:tblCellMar>
        </w:tblPrEx>
        <w:trPr>
          <w:trHeight w:val="434" w:hRule="atLeast"/>
          <w:jc w:val="center"/>
        </w:trPr>
        <w:tc>
          <w:tcPr>
            <w:tcW w:w="4324" w:type="dxa"/>
            <w:tcBorders>
              <w:top w:val="nil"/>
              <w:left w:val="single" w:color="auto" w:sz="8" w:space="0"/>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60分～80分（含60分）</w:t>
            </w:r>
          </w:p>
        </w:tc>
        <w:tc>
          <w:tcPr>
            <w:tcW w:w="3441" w:type="dxa"/>
            <w:tcBorders>
              <w:top w:val="nil"/>
              <w:left w:val="nil"/>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w:t>
            </w:r>
          </w:p>
        </w:tc>
      </w:tr>
      <w:tr>
        <w:tblPrEx>
          <w:tblCellMar>
            <w:top w:w="0" w:type="dxa"/>
            <w:left w:w="108" w:type="dxa"/>
            <w:bottom w:w="0" w:type="dxa"/>
            <w:right w:w="108" w:type="dxa"/>
          </w:tblCellMar>
        </w:tblPrEx>
        <w:trPr>
          <w:trHeight w:val="434" w:hRule="atLeast"/>
          <w:jc w:val="center"/>
        </w:trPr>
        <w:tc>
          <w:tcPr>
            <w:tcW w:w="4324" w:type="dxa"/>
            <w:tcBorders>
              <w:top w:val="nil"/>
              <w:left w:val="single" w:color="auto" w:sz="8" w:space="0"/>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60分以下</w:t>
            </w:r>
          </w:p>
        </w:tc>
        <w:tc>
          <w:tcPr>
            <w:tcW w:w="3441" w:type="dxa"/>
            <w:tcBorders>
              <w:top w:val="nil"/>
              <w:left w:val="nil"/>
              <w:bottom w:val="single" w:color="auto" w:sz="8" w:space="0"/>
              <w:right w:val="single" w:color="auto" w:sz="8" w:space="0"/>
            </w:tcBorders>
            <w:vAlign w:val="center"/>
          </w:tcPr>
          <w:p>
            <w:pPr>
              <w:spacing w:line="5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r>
      <w:bookmarkEnd w:id="318"/>
    </w:tbl>
    <w:p>
      <w:pPr>
        <w:pStyle w:val="30"/>
        <w:spacing w:line="580" w:lineRule="exact"/>
        <w:ind w:firstLine="640"/>
        <w:rPr>
          <w:highlight w:val="none"/>
        </w:rPr>
      </w:pPr>
      <w:bookmarkStart w:id="320" w:name="_Toc49278609"/>
      <w:bookmarkStart w:id="321" w:name="_Toc20173"/>
      <w:bookmarkStart w:id="322" w:name="_Toc119629948"/>
      <w:bookmarkStart w:id="323" w:name="_Toc11452"/>
      <w:bookmarkStart w:id="324" w:name="_Toc83377049"/>
      <w:bookmarkStart w:id="325" w:name="_Toc120281585"/>
      <w:bookmarkStart w:id="326" w:name="_Toc120282166"/>
      <w:r>
        <w:rPr>
          <w:rFonts w:hint="eastAsia"/>
          <w:highlight w:val="none"/>
        </w:rPr>
        <w:t>5.报告撰写与提交绩效评价报告</w:t>
      </w:r>
      <w:bookmarkEnd w:id="319"/>
      <w:bookmarkEnd w:id="320"/>
      <w:bookmarkEnd w:id="321"/>
      <w:bookmarkEnd w:id="322"/>
      <w:bookmarkEnd w:id="323"/>
      <w:bookmarkEnd w:id="324"/>
      <w:bookmarkEnd w:id="325"/>
      <w:bookmarkEnd w:id="326"/>
    </w:p>
    <w:p>
      <w:pPr>
        <w:spacing w:line="580" w:lineRule="exact"/>
        <w:ind w:firstLine="640"/>
        <w:rPr>
          <w:highlight w:val="none"/>
        </w:rPr>
      </w:pPr>
      <w:r>
        <w:rPr>
          <w:rFonts w:hint="eastAsia"/>
          <w:highlight w:val="none"/>
        </w:rPr>
        <w:t>根据现场调研、资料整理的信息，及综合评价的结果，形成绩效评价报告。</w:t>
      </w:r>
    </w:p>
    <w:p>
      <w:pPr>
        <w:spacing w:line="580" w:lineRule="exact"/>
        <w:ind w:firstLine="640"/>
        <w:rPr>
          <w:highlight w:val="none"/>
        </w:rPr>
      </w:pPr>
      <w:r>
        <w:rPr>
          <w:rFonts w:hint="eastAsia"/>
          <w:highlight w:val="none"/>
        </w:rPr>
        <w:t>完成公司内部审核后向委托方递交绩效评价报告。</w:t>
      </w:r>
    </w:p>
    <w:p>
      <w:pPr>
        <w:pStyle w:val="7"/>
        <w:spacing w:line="640" w:lineRule="exact"/>
        <w:ind w:firstLine="605"/>
        <w:rPr>
          <w:highlight w:val="none"/>
        </w:rPr>
      </w:pPr>
      <w:bookmarkStart w:id="327" w:name="_Toc30730"/>
      <w:r>
        <w:rPr>
          <w:rFonts w:hint="eastAsia"/>
          <w:highlight w:val="none"/>
        </w:rPr>
        <w:t>四、评价结论及分析</w:t>
      </w:r>
      <w:bookmarkEnd w:id="327"/>
    </w:p>
    <w:p>
      <w:pPr>
        <w:pStyle w:val="8"/>
        <w:spacing w:line="580" w:lineRule="exact"/>
        <w:ind w:firstLine="605"/>
        <w:rPr>
          <w:highlight w:val="none"/>
        </w:rPr>
      </w:pPr>
      <w:bookmarkStart w:id="328" w:name="_Toc16331"/>
      <w:r>
        <w:rPr>
          <w:rFonts w:hint="eastAsia"/>
          <w:highlight w:val="none"/>
        </w:rPr>
        <w:t>（一）综合评价结论</w:t>
      </w:r>
      <w:bookmarkEnd w:id="328"/>
    </w:p>
    <w:p>
      <w:pPr>
        <w:spacing w:line="580" w:lineRule="exact"/>
        <w:ind w:firstLine="640"/>
        <w:rPr>
          <w:rFonts w:ascii="黑体" w:hAnsi="黑体" w:eastAsia="黑体"/>
          <w:sz w:val="28"/>
          <w:szCs w:val="28"/>
          <w:highlight w:val="none"/>
        </w:rPr>
      </w:pPr>
      <w:r>
        <w:rPr>
          <w:rFonts w:hint="eastAsia"/>
          <w:highlight w:val="none"/>
        </w:rPr>
        <w:t>运用由评价组制定的评价指标体系及评分标准，通过数据采集及</w:t>
      </w:r>
      <w:r>
        <w:rPr>
          <w:rFonts w:hint="eastAsia"/>
          <w:highlight w:val="none"/>
          <w:lang w:val="en-US" w:eastAsia="zh-CN"/>
        </w:rPr>
        <w:t>座谈</w:t>
      </w:r>
      <w:r>
        <w:rPr>
          <w:rFonts w:hint="eastAsia"/>
          <w:highlight w:val="none"/>
        </w:rPr>
        <w:t>，对</w:t>
      </w:r>
      <w:r>
        <w:rPr>
          <w:rFonts w:hint="eastAsia"/>
          <w:highlight w:val="none"/>
          <w:lang w:eastAsia="zh-CN"/>
        </w:rPr>
        <w:t>2022年度枣庄高新区英才计划项目</w:t>
      </w:r>
      <w:r>
        <w:rPr>
          <w:rFonts w:hint="eastAsia"/>
          <w:highlight w:val="none"/>
        </w:rPr>
        <w:t>进行客观评价，最终评分结果：总得分为</w:t>
      </w:r>
      <w:r>
        <w:rPr>
          <w:rFonts w:hint="eastAsia"/>
          <w:highlight w:val="none"/>
          <w:lang w:val="en-US" w:eastAsia="zh-CN"/>
        </w:rPr>
        <w:t>79.96</w:t>
      </w:r>
      <w:r>
        <w:rPr>
          <w:rFonts w:hint="eastAsia"/>
          <w:highlight w:val="none"/>
        </w:rPr>
        <w:t>分，评价等级为“</w:t>
      </w:r>
      <w:r>
        <w:rPr>
          <w:rFonts w:hint="eastAsia"/>
          <w:highlight w:val="none"/>
          <w:lang w:val="en-US" w:eastAsia="zh-CN"/>
        </w:rPr>
        <w:t>中</w:t>
      </w:r>
      <w:r>
        <w:rPr>
          <w:rFonts w:hint="eastAsia"/>
          <w:highlight w:val="none"/>
        </w:rPr>
        <w:t>”。其中，决策类指标标准分为20得分</w:t>
      </w:r>
      <w:r>
        <w:rPr>
          <w:rFonts w:hint="eastAsia"/>
          <w:highlight w:val="none"/>
          <w:lang w:val="en-US" w:eastAsia="zh-CN"/>
        </w:rPr>
        <w:t>17</w:t>
      </w:r>
      <w:r>
        <w:rPr>
          <w:rFonts w:hint="eastAsia"/>
          <w:highlight w:val="none"/>
        </w:rPr>
        <w:t>分，得分率</w:t>
      </w:r>
      <w:r>
        <w:rPr>
          <w:rFonts w:hint="eastAsia"/>
          <w:highlight w:val="none"/>
          <w:lang w:val="en-US" w:eastAsia="zh-CN"/>
        </w:rPr>
        <w:t>85</w:t>
      </w:r>
      <w:r>
        <w:rPr>
          <w:highlight w:val="none"/>
        </w:rPr>
        <w:t>%</w:t>
      </w:r>
      <w:r>
        <w:rPr>
          <w:rFonts w:hint="eastAsia"/>
          <w:highlight w:val="none"/>
        </w:rPr>
        <w:t>；过程类指标标准分为20分，得分</w:t>
      </w:r>
      <w:r>
        <w:rPr>
          <w:rFonts w:hint="eastAsia"/>
          <w:highlight w:val="none"/>
          <w:lang w:val="en-US" w:eastAsia="zh-CN"/>
        </w:rPr>
        <w:t>12</w:t>
      </w:r>
      <w:r>
        <w:rPr>
          <w:rFonts w:hint="eastAsia"/>
          <w:highlight w:val="none"/>
        </w:rPr>
        <w:t>分，得分率</w:t>
      </w:r>
      <w:r>
        <w:rPr>
          <w:rFonts w:hint="eastAsia"/>
          <w:highlight w:val="none"/>
          <w:lang w:val="en-US" w:eastAsia="zh-CN"/>
        </w:rPr>
        <w:t>60</w:t>
      </w:r>
      <w:r>
        <w:rPr>
          <w:highlight w:val="none"/>
        </w:rPr>
        <w:t>%</w:t>
      </w:r>
      <w:r>
        <w:rPr>
          <w:rFonts w:hint="eastAsia"/>
          <w:highlight w:val="none"/>
        </w:rPr>
        <w:t>；产出类指标标准分为30分，得分</w:t>
      </w:r>
      <w:r>
        <w:rPr>
          <w:rFonts w:hint="eastAsia"/>
          <w:highlight w:val="none"/>
          <w:lang w:val="en-US" w:eastAsia="zh-CN"/>
        </w:rPr>
        <w:t>30</w:t>
      </w:r>
      <w:r>
        <w:rPr>
          <w:rFonts w:hint="eastAsia"/>
          <w:highlight w:val="none"/>
        </w:rPr>
        <w:t>分，得分率</w:t>
      </w:r>
      <w:r>
        <w:rPr>
          <w:rFonts w:hint="eastAsia"/>
          <w:highlight w:val="none"/>
          <w:lang w:val="en-US" w:eastAsia="zh-CN"/>
        </w:rPr>
        <w:t>100</w:t>
      </w:r>
      <w:r>
        <w:rPr>
          <w:highlight w:val="none"/>
        </w:rPr>
        <w:t>%</w:t>
      </w:r>
      <w:r>
        <w:rPr>
          <w:rFonts w:hint="eastAsia"/>
          <w:highlight w:val="none"/>
        </w:rPr>
        <w:t>；效益类指标标准分为30分，得分为20.</w:t>
      </w:r>
      <w:r>
        <w:rPr>
          <w:rFonts w:hint="eastAsia"/>
          <w:highlight w:val="none"/>
          <w:lang w:val="en-US" w:eastAsia="zh-CN"/>
        </w:rPr>
        <w:t>69</w:t>
      </w:r>
      <w:r>
        <w:rPr>
          <w:rFonts w:hint="eastAsia"/>
          <w:highlight w:val="none"/>
        </w:rPr>
        <w:t>分，得分率为</w:t>
      </w:r>
      <w:r>
        <w:rPr>
          <w:rFonts w:hint="eastAsia"/>
          <w:highlight w:val="none"/>
          <w:lang w:val="en-US" w:eastAsia="zh-CN"/>
        </w:rPr>
        <w:t>68.97</w:t>
      </w:r>
      <w:r>
        <w:rPr>
          <w:rFonts w:hint="eastAsia"/>
          <w:highlight w:val="none"/>
        </w:rPr>
        <w:t>%。</w:t>
      </w:r>
    </w:p>
    <w:p>
      <w:pPr>
        <w:spacing w:line="580" w:lineRule="exact"/>
        <w:ind w:firstLine="0" w:firstLineChars="0"/>
        <w:jc w:val="center"/>
        <w:rPr>
          <w:rFonts w:ascii="黑体" w:hAnsi="黑体" w:eastAsia="黑体"/>
          <w:sz w:val="28"/>
          <w:szCs w:val="28"/>
          <w:highlight w:val="none"/>
        </w:rPr>
      </w:pPr>
      <w:r>
        <w:rPr>
          <w:rFonts w:hint="eastAsia" w:ascii="黑体" w:hAnsi="黑体" w:eastAsia="黑体"/>
          <w:sz w:val="24"/>
          <w:szCs w:val="24"/>
          <w:highlight w:val="none"/>
        </w:rPr>
        <w:t>表4.1</w:t>
      </w:r>
      <w:r>
        <w:rPr>
          <w:rFonts w:hint="eastAsia" w:ascii="黑体" w:hAnsi="黑体" w:eastAsia="黑体"/>
          <w:sz w:val="24"/>
          <w:szCs w:val="24"/>
          <w:highlight w:val="none"/>
          <w:lang w:val="en-US" w:eastAsia="zh-CN"/>
        </w:rPr>
        <w:t xml:space="preserve"> </w:t>
      </w:r>
      <w:r>
        <w:rPr>
          <w:rFonts w:hint="eastAsia" w:ascii="黑体" w:hAnsi="黑体" w:eastAsia="黑体"/>
          <w:sz w:val="24"/>
          <w:szCs w:val="24"/>
          <w:highlight w:val="none"/>
        </w:rPr>
        <w:t xml:space="preserve"> </w:t>
      </w:r>
      <w:r>
        <w:rPr>
          <w:rFonts w:hint="eastAsia" w:ascii="黑体" w:hAnsi="黑体" w:eastAsia="黑体"/>
          <w:sz w:val="24"/>
          <w:szCs w:val="24"/>
          <w:highlight w:val="none"/>
          <w:lang w:eastAsia="zh-CN"/>
        </w:rPr>
        <w:t>2022年度枣庄高新区英才计划项目</w:t>
      </w:r>
      <w:r>
        <w:rPr>
          <w:rFonts w:hint="eastAsia" w:ascii="黑体" w:hAnsi="黑体" w:eastAsia="黑体"/>
          <w:sz w:val="24"/>
          <w:szCs w:val="24"/>
          <w:highlight w:val="none"/>
        </w:rPr>
        <w:t>综合得分表</w:t>
      </w:r>
    </w:p>
    <w:tbl>
      <w:tblPr>
        <w:tblStyle w:val="31"/>
        <w:tblW w:w="6677" w:type="dxa"/>
        <w:jc w:val="center"/>
        <w:tblLayout w:type="fixed"/>
        <w:tblCellMar>
          <w:top w:w="0" w:type="dxa"/>
          <w:left w:w="108" w:type="dxa"/>
          <w:bottom w:w="0" w:type="dxa"/>
          <w:right w:w="108" w:type="dxa"/>
        </w:tblCellMar>
      </w:tblPr>
      <w:tblGrid>
        <w:gridCol w:w="1522"/>
        <w:gridCol w:w="1555"/>
        <w:gridCol w:w="1718"/>
        <w:gridCol w:w="1882"/>
      </w:tblGrid>
      <w:tr>
        <w:tblPrEx>
          <w:tblCellMar>
            <w:top w:w="0" w:type="dxa"/>
            <w:left w:w="108" w:type="dxa"/>
            <w:bottom w:w="0" w:type="dxa"/>
            <w:right w:w="108" w:type="dxa"/>
          </w:tblCellMar>
        </w:tblPrEx>
        <w:trPr>
          <w:trHeight w:val="28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一级指标</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标准分</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c>
          <w:tcPr>
            <w:tcW w:w="188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得分率</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决策</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产出</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效益</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96</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68.97</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87" w:hRule="atLeast"/>
          <w:jc w:val="center"/>
        </w:trPr>
        <w:tc>
          <w:tcPr>
            <w:tcW w:w="1522"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55"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718"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79.96</w:t>
            </w:r>
          </w:p>
        </w:tc>
        <w:tc>
          <w:tcPr>
            <w:tcW w:w="1882" w:type="dxa"/>
            <w:tcBorders>
              <w:top w:val="nil"/>
              <w:left w:val="nil"/>
              <w:bottom w:val="single" w:color="auto" w:sz="4" w:space="0"/>
              <w:right w:val="single" w:color="auto" w:sz="4" w:space="0"/>
            </w:tcBorders>
            <w:shd w:val="clear" w:color="auto" w:fill="auto"/>
            <w:noWrap/>
            <w:vAlign w:val="bottom"/>
          </w:tcPr>
          <w:p>
            <w:pPr>
              <w:widowControl/>
              <w:adjustRightInd/>
              <w:snapToGrid/>
              <w:spacing w:line="5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79.96</w:t>
            </w:r>
            <w:r>
              <w:rPr>
                <w:rFonts w:hint="eastAsia" w:ascii="宋体" w:hAnsi="宋体" w:eastAsia="宋体" w:cs="宋体"/>
                <w:color w:val="auto"/>
                <w:sz w:val="21"/>
                <w:szCs w:val="21"/>
                <w:highlight w:val="none"/>
              </w:rPr>
              <w:t>%</w:t>
            </w:r>
          </w:p>
        </w:tc>
      </w:tr>
    </w:tbl>
    <w:p>
      <w:pPr>
        <w:pStyle w:val="8"/>
        <w:spacing w:line="580" w:lineRule="exact"/>
        <w:ind w:firstLine="605"/>
        <w:rPr>
          <w:highlight w:val="none"/>
        </w:rPr>
      </w:pPr>
      <w:bookmarkStart w:id="329" w:name="_Toc16653"/>
      <w:r>
        <w:rPr>
          <w:rFonts w:hint="eastAsia"/>
          <w:highlight w:val="none"/>
        </w:rPr>
        <w:t>（二）非现场评价情况分析</w:t>
      </w:r>
      <w:bookmarkEnd w:id="3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highlight w:val="none"/>
        </w:rPr>
        <w:t>本项目资金来源为</w:t>
      </w:r>
      <w:r>
        <w:rPr>
          <w:rFonts w:hint="eastAsia"/>
          <w:highlight w:val="none"/>
          <w:lang w:val="en-US" w:eastAsia="zh-CN"/>
        </w:rPr>
        <w:t>枣庄市</w:t>
      </w:r>
      <w:r>
        <w:rPr>
          <w:rFonts w:hint="eastAsia"/>
          <w:highlight w:val="none"/>
        </w:rPr>
        <w:t>级预算资金</w:t>
      </w:r>
      <w:r>
        <w:rPr>
          <w:rFonts w:hint="eastAsia"/>
          <w:highlight w:val="none"/>
          <w:lang w:val="en-US" w:eastAsia="zh-CN"/>
        </w:rPr>
        <w:t>和区级配套资金</w:t>
      </w:r>
      <w:r>
        <w:rPr>
          <w:rFonts w:hint="eastAsia"/>
          <w:highlight w:val="none"/>
        </w:rPr>
        <w:t>，</w:t>
      </w:r>
      <w:bookmarkStart w:id="330" w:name="_Toc49278614"/>
      <w:bookmarkStart w:id="331" w:name="_Toc52275142"/>
      <w:bookmarkStart w:id="332" w:name="_Toc51683700"/>
      <w:bookmarkStart w:id="333" w:name="_Toc52121512"/>
      <w:r>
        <w:rPr>
          <w:rFonts w:hint="eastAsia"/>
          <w:highlight w:val="none"/>
        </w:rPr>
        <w:t>枣庄高新区</w:t>
      </w:r>
      <w:r>
        <w:rPr>
          <w:rFonts w:hint="eastAsia"/>
          <w:highlight w:val="none"/>
          <w:lang w:val="en-US" w:eastAsia="zh-CN"/>
        </w:rPr>
        <w:t>英才计划</w:t>
      </w:r>
      <w:r>
        <w:rPr>
          <w:rFonts w:hint="eastAsia"/>
          <w:highlight w:val="none"/>
        </w:rPr>
        <w:t>项目</w:t>
      </w:r>
      <w:r>
        <w:rPr>
          <w:rFonts w:hint="eastAsia"/>
          <w:highlight w:val="none"/>
          <w:lang w:val="en-US" w:eastAsia="zh-CN"/>
        </w:rPr>
        <w:t>2022</w:t>
      </w:r>
      <w:r>
        <w:rPr>
          <w:rFonts w:hint="eastAsia"/>
          <w:highlight w:val="none"/>
        </w:rPr>
        <w:t>年预算金额</w:t>
      </w:r>
      <w:r>
        <w:rPr>
          <w:rFonts w:hint="eastAsia"/>
          <w:highlight w:val="none"/>
          <w:lang w:val="en-US" w:eastAsia="zh-CN"/>
        </w:rPr>
        <w:t>250</w:t>
      </w:r>
      <w:r>
        <w:rPr>
          <w:rFonts w:hint="eastAsia"/>
          <w:highlight w:val="none"/>
        </w:rPr>
        <w:t>万元，实际到位</w:t>
      </w:r>
      <w:r>
        <w:rPr>
          <w:rFonts w:hint="eastAsia"/>
          <w:highlight w:val="none"/>
          <w:lang w:val="en-US" w:eastAsia="zh-CN"/>
        </w:rPr>
        <w:t>250</w:t>
      </w:r>
      <w:r>
        <w:rPr>
          <w:rFonts w:hint="eastAsia"/>
          <w:highlight w:val="none"/>
        </w:rPr>
        <w:t>万元，资金已全部到位，</w:t>
      </w:r>
      <w:r>
        <w:rPr>
          <w:rFonts w:hint="eastAsia"/>
          <w:highlight w:val="none"/>
          <w:lang w:val="en-US" w:eastAsia="zh-CN"/>
        </w:rPr>
        <w:t>根据</w:t>
      </w:r>
      <w:r>
        <w:rPr>
          <w:rFonts w:hint="eastAsia"/>
          <w:highlight w:val="none"/>
        </w:rPr>
        <w:t>《中共枣庄市委枣庄市人民政府关于做好人才支撑新旧动能转换工作的实施意见》（枣发〔</w:t>
      </w:r>
      <w:r>
        <w:rPr>
          <w:rFonts w:hint="default"/>
          <w:highlight w:val="none"/>
        </w:rPr>
        <w:t>2018〕13号）</w:t>
      </w:r>
      <w:r>
        <w:rPr>
          <w:rFonts w:hint="eastAsia"/>
          <w:highlight w:val="none"/>
          <w:lang w:val="en-US" w:eastAsia="zh-CN"/>
        </w:rPr>
        <w:t>和枣庄英才工作合同，奖补资金分两次发放，先发放50%的项目启动资金，管理期满验收合格再给予50%绩效奖励。该项目管理期至</w:t>
      </w:r>
      <w:r>
        <w:rPr>
          <w:rFonts w:hint="eastAsia" w:ascii="仿宋" w:hAnsi="仿宋" w:eastAsia="仿宋" w:cs="仿宋"/>
          <w:kern w:val="2"/>
          <w:sz w:val="32"/>
          <w:szCs w:val="32"/>
          <w:highlight w:val="none"/>
          <w:lang w:val="en-US" w:eastAsia="zh-CN" w:bidi="ar-SA"/>
        </w:rPr>
        <w:t>2024年12月31日，</w:t>
      </w:r>
      <w:r>
        <w:rPr>
          <w:rFonts w:hint="eastAsia"/>
          <w:highlight w:val="none"/>
          <w:lang w:val="en-US" w:eastAsia="zh-CN"/>
        </w:rPr>
        <w:t>但评价年度为2022年。因此资金的拨付进度与政策及合同约定不符。</w:t>
      </w:r>
    </w:p>
    <w:bookmarkEnd w:id="330"/>
    <w:bookmarkEnd w:id="331"/>
    <w:bookmarkEnd w:id="332"/>
    <w:bookmarkEnd w:id="333"/>
    <w:p>
      <w:pPr>
        <w:spacing w:line="580" w:lineRule="exact"/>
        <w:ind w:firstLine="640"/>
        <w:rPr>
          <w:rFonts w:hint="default" w:eastAsia="仿宋_GB2312"/>
          <w:highlight w:val="none"/>
          <w:lang w:val="en-US" w:eastAsia="zh-CN"/>
        </w:rPr>
      </w:pPr>
      <w:r>
        <w:rPr>
          <w:rFonts w:hint="eastAsia"/>
          <w:highlight w:val="none"/>
          <w:lang w:val="en-US" w:eastAsia="zh-CN"/>
        </w:rPr>
        <w:t>枣庄英才计划</w:t>
      </w:r>
      <w:r>
        <w:rPr>
          <w:rFonts w:hint="eastAsia"/>
          <w:highlight w:val="none"/>
        </w:rPr>
        <w:t>项目主管部门为</w:t>
      </w:r>
      <w:r>
        <w:rPr>
          <w:rFonts w:hint="eastAsia"/>
          <w:highlight w:val="none"/>
          <w:lang w:val="en-US" w:eastAsia="zh-CN"/>
        </w:rPr>
        <w:t>高新区党群工作部</w:t>
      </w:r>
      <w:r>
        <w:rPr>
          <w:rFonts w:hint="eastAsia"/>
          <w:highlight w:val="none"/>
        </w:rPr>
        <w:t>，</w:t>
      </w:r>
      <w:r>
        <w:rPr>
          <w:rFonts w:hint="eastAsia"/>
          <w:highlight w:val="none"/>
          <w:lang w:val="en-US" w:eastAsia="zh-CN"/>
        </w:rPr>
        <w:t>负责完成资金的申请拨付工作，但对该项目实施情况负责监管的为高新区科技局，财权与事权不一致。</w:t>
      </w:r>
    </w:p>
    <w:p>
      <w:pPr>
        <w:pStyle w:val="8"/>
        <w:spacing w:line="580" w:lineRule="exact"/>
        <w:ind w:firstLine="605"/>
        <w:rPr>
          <w:highlight w:val="none"/>
        </w:rPr>
      </w:pPr>
      <w:bookmarkStart w:id="334" w:name="_Toc14694"/>
      <w:r>
        <w:rPr>
          <w:rFonts w:hint="eastAsia"/>
          <w:highlight w:val="none"/>
        </w:rPr>
        <w:t>（三）现场评价情况分析</w:t>
      </w:r>
      <w:bookmarkEnd w:id="334"/>
    </w:p>
    <w:p>
      <w:pPr>
        <w:spacing w:line="580" w:lineRule="exact"/>
        <w:ind w:firstLine="640"/>
        <w:rPr>
          <w:highlight w:val="none"/>
        </w:rPr>
      </w:pPr>
      <w:r>
        <w:rPr>
          <w:rFonts w:hint="eastAsia"/>
          <w:highlight w:val="none"/>
        </w:rPr>
        <w:t>根据本公司项目组</w:t>
      </w:r>
      <w:r>
        <w:rPr>
          <w:rFonts w:hint="eastAsia"/>
          <w:highlight w:val="none"/>
          <w:lang w:val="en-US" w:eastAsia="zh-CN"/>
        </w:rPr>
        <w:t>对获奖补的三家企业进行</w:t>
      </w:r>
      <w:r>
        <w:rPr>
          <w:rFonts w:hint="eastAsia"/>
          <w:highlight w:val="none"/>
        </w:rPr>
        <w:t>现场调研，项目的产出</w:t>
      </w:r>
      <w:r>
        <w:rPr>
          <w:rFonts w:hint="eastAsia"/>
          <w:highlight w:val="none"/>
          <w:lang w:val="en-US" w:eastAsia="zh-CN"/>
        </w:rPr>
        <w:t>部分未</w:t>
      </w:r>
      <w:r>
        <w:rPr>
          <w:rFonts w:hint="eastAsia"/>
          <w:highlight w:val="none"/>
        </w:rPr>
        <w:t>达到预期效果，</w:t>
      </w:r>
      <w:r>
        <w:rPr>
          <w:rFonts w:hint="eastAsia"/>
          <w:highlight w:val="none"/>
          <w:lang w:val="en-US" w:eastAsia="zh-CN"/>
        </w:rPr>
        <w:t>且</w:t>
      </w:r>
      <w:r>
        <w:rPr>
          <w:rFonts w:hint="eastAsia"/>
          <w:highlight w:val="none"/>
        </w:rPr>
        <w:t>实施效益存在一定的提升空间，现场情况总结如下：</w:t>
      </w:r>
    </w:p>
    <w:p>
      <w:pPr>
        <w:spacing w:line="580" w:lineRule="exact"/>
        <w:ind w:firstLine="640"/>
        <w:rPr>
          <w:highlight w:val="none"/>
        </w:rPr>
      </w:pPr>
      <w:r>
        <w:rPr>
          <w:rFonts w:hint="eastAsia"/>
          <w:highlight w:val="none"/>
          <w:lang w:val="en-US" w:eastAsia="zh-CN"/>
        </w:rPr>
        <w:t>枣庄八度阳光新能源科技有限公司未完成枣庄英才工作合同2022年目标，项目未落地。</w:t>
      </w:r>
      <w:r>
        <w:rPr>
          <w:rFonts w:hint="eastAsia"/>
          <w:highlight w:val="none"/>
        </w:rPr>
        <w:t>项目</w:t>
      </w:r>
      <w:r>
        <w:rPr>
          <w:rFonts w:hint="eastAsia"/>
          <w:highlight w:val="none"/>
          <w:lang w:val="en-US" w:eastAsia="zh-CN"/>
        </w:rPr>
        <w:t>审核流程资料丢失</w:t>
      </w:r>
      <w:r>
        <w:rPr>
          <w:rFonts w:hint="eastAsia"/>
          <w:highlight w:val="none"/>
        </w:rPr>
        <w:t>，</w:t>
      </w:r>
      <w:r>
        <w:rPr>
          <w:rFonts w:hint="eastAsia"/>
          <w:highlight w:val="none"/>
          <w:lang w:val="en-US" w:eastAsia="zh-CN"/>
        </w:rPr>
        <w:t>相关</w:t>
      </w:r>
      <w:r>
        <w:rPr>
          <w:rFonts w:hint="eastAsia"/>
          <w:highlight w:val="none"/>
        </w:rPr>
        <w:t>资料保存不完整</w:t>
      </w:r>
      <w:r>
        <w:rPr>
          <w:rFonts w:hint="eastAsia"/>
          <w:highlight w:val="none"/>
          <w:lang w:eastAsia="zh-CN"/>
        </w:rPr>
        <w:t>。</w:t>
      </w:r>
      <w:r>
        <w:rPr>
          <w:rFonts w:hint="eastAsia"/>
          <w:highlight w:val="none"/>
          <w:lang w:val="en-US" w:eastAsia="zh-CN"/>
        </w:rPr>
        <w:t>该项目的考核机制有待完善，主管部门对项目实施过程的监管力度有待加强</w:t>
      </w:r>
      <w:r>
        <w:rPr>
          <w:rFonts w:hint="eastAsia"/>
          <w:highlight w:val="none"/>
        </w:rPr>
        <w:t>。</w:t>
      </w:r>
    </w:p>
    <w:p>
      <w:pPr>
        <w:pStyle w:val="7"/>
        <w:spacing w:line="640" w:lineRule="exact"/>
        <w:ind w:firstLine="605"/>
        <w:rPr>
          <w:highlight w:val="none"/>
        </w:rPr>
      </w:pPr>
      <w:bookmarkStart w:id="335" w:name="_Toc2799"/>
      <w:r>
        <w:rPr>
          <w:rFonts w:hint="eastAsia"/>
          <w:highlight w:val="none"/>
        </w:rPr>
        <w:t>五、绩效评价指标分析</w:t>
      </w:r>
      <w:bookmarkEnd w:id="335"/>
    </w:p>
    <w:p>
      <w:pPr>
        <w:pStyle w:val="8"/>
        <w:spacing w:line="640" w:lineRule="exact"/>
        <w:ind w:firstLine="605"/>
        <w:rPr>
          <w:highlight w:val="none"/>
        </w:rPr>
      </w:pPr>
      <w:bookmarkStart w:id="336" w:name="_Toc6602"/>
      <w:r>
        <w:rPr>
          <w:rFonts w:hint="eastAsia"/>
          <w:highlight w:val="none"/>
        </w:rPr>
        <w:t>（一）项目决策情况</w:t>
      </w:r>
      <w:bookmarkEnd w:id="336"/>
    </w:p>
    <w:p>
      <w:pPr>
        <w:pStyle w:val="9"/>
        <w:spacing w:line="580" w:lineRule="exact"/>
        <w:ind w:firstLine="640"/>
        <w:rPr>
          <w:highlight w:val="none"/>
        </w:rPr>
      </w:pPr>
      <w:bookmarkStart w:id="337" w:name="_Toc51683704"/>
      <w:bookmarkStart w:id="338" w:name="_Toc81994033"/>
      <w:bookmarkStart w:id="339" w:name="_Toc1659"/>
      <w:bookmarkStart w:id="340" w:name="_Toc46747326"/>
      <w:bookmarkStart w:id="341" w:name="_Toc120282172"/>
      <w:bookmarkStart w:id="342" w:name="_Toc27501"/>
      <w:bookmarkStart w:id="343" w:name="_Toc52121516"/>
      <w:bookmarkStart w:id="344" w:name="_Toc120281591"/>
      <w:bookmarkStart w:id="345" w:name="_Toc119629954"/>
      <w:bookmarkStart w:id="346" w:name="_Toc83377056"/>
      <w:bookmarkStart w:id="347" w:name="_Toc6896"/>
      <w:bookmarkStart w:id="348" w:name="_Toc52275146"/>
      <w:bookmarkStart w:id="349" w:name="_Toc49278618"/>
      <w:r>
        <w:rPr>
          <w:rFonts w:hint="eastAsia"/>
          <w:highlight w:val="none"/>
        </w:rPr>
        <w:t>1.项目立项（指标分值8分，得分8分）</w:t>
      </w:r>
      <w:bookmarkEnd w:id="337"/>
      <w:bookmarkEnd w:id="338"/>
      <w:bookmarkEnd w:id="339"/>
      <w:bookmarkEnd w:id="340"/>
      <w:bookmarkEnd w:id="341"/>
      <w:bookmarkEnd w:id="342"/>
      <w:bookmarkEnd w:id="343"/>
      <w:bookmarkEnd w:id="344"/>
      <w:bookmarkEnd w:id="345"/>
      <w:bookmarkEnd w:id="346"/>
      <w:bookmarkEnd w:id="347"/>
      <w:bookmarkEnd w:id="348"/>
      <w:bookmarkEnd w:id="349"/>
    </w:p>
    <w:p>
      <w:pPr>
        <w:spacing w:line="580" w:lineRule="exact"/>
        <w:ind w:firstLine="640"/>
        <w:rPr>
          <w:highlight w:val="none"/>
        </w:rPr>
      </w:pPr>
      <w:r>
        <w:rPr>
          <w:rFonts w:hint="eastAsia"/>
          <w:highlight w:val="none"/>
        </w:rPr>
        <w:t>该指标包含立项依据充分性、立项程序规范性2个三级指标，主要用以反映项目立项的依据是否充分及立项程序的合规性。</w:t>
      </w:r>
    </w:p>
    <w:p>
      <w:pPr>
        <w:numPr>
          <w:ilvl w:val="0"/>
          <w:numId w:val="3"/>
        </w:numPr>
        <w:spacing w:line="580" w:lineRule="exact"/>
        <w:ind w:firstLine="640"/>
        <w:rPr>
          <w:highlight w:val="none"/>
        </w:rPr>
      </w:pPr>
      <w:r>
        <w:rPr>
          <w:rFonts w:hint="eastAsia"/>
          <w:highlight w:val="none"/>
        </w:rPr>
        <w:t>立项依据充分性（指标分值4分，得分4分）</w:t>
      </w:r>
    </w:p>
    <w:p>
      <w:pPr>
        <w:spacing w:line="580" w:lineRule="exact"/>
        <w:ind w:firstLine="640"/>
        <w:rPr>
          <w:rFonts w:hint="eastAsia"/>
          <w:highlight w:val="none"/>
        </w:rPr>
      </w:pPr>
      <w:r>
        <w:rPr>
          <w:rFonts w:hint="eastAsia"/>
          <w:highlight w:val="none"/>
          <w:lang w:val="en-US" w:eastAsia="zh-CN"/>
        </w:rPr>
        <w:t>枣庄英才计划</w:t>
      </w:r>
      <w:r>
        <w:rPr>
          <w:rFonts w:hint="eastAsia"/>
          <w:highlight w:val="none"/>
        </w:rPr>
        <w:t>项目</w:t>
      </w:r>
      <w:r>
        <w:rPr>
          <w:rFonts w:hint="eastAsia"/>
          <w:highlight w:val="none"/>
          <w:lang w:val="en-US" w:eastAsia="zh-CN"/>
        </w:rPr>
        <w:t>符合</w:t>
      </w:r>
      <w:r>
        <w:rPr>
          <w:rFonts w:hint="eastAsia"/>
          <w:highlight w:val="none"/>
        </w:rPr>
        <w:t>《关于做好人才支撑新旧动能转换工作的实施意见》（枣发〔2018〕13号）、市委办公室市政府办公室《关于实施枣庄英才集聚工程的意见》（枣办发〔2014〕28号）</w:t>
      </w:r>
      <w:r>
        <w:rPr>
          <w:rFonts w:hint="eastAsia"/>
          <w:highlight w:val="none"/>
          <w:lang w:val="en-US" w:eastAsia="zh-CN"/>
        </w:rPr>
        <w:t>等文件规定，</w:t>
      </w:r>
      <w:r>
        <w:rPr>
          <w:rFonts w:hint="eastAsia"/>
          <w:highlight w:val="none"/>
        </w:rPr>
        <w:t>立项符合国家法律法规、国民经济发展规划和相关政策；符合行业发展规划和政策要求；</w:t>
      </w:r>
      <w:r>
        <w:rPr>
          <w:rFonts w:hint="eastAsia"/>
          <w:highlight w:val="none"/>
        </w:rPr>
        <w:t>与部门职责范围相符，属于部门履职所需</w:t>
      </w:r>
      <w:r>
        <w:rPr>
          <w:rFonts w:hint="eastAsia"/>
          <w:highlight w:val="none"/>
        </w:rPr>
        <w:t>；属于公共财政支持范围，符合中央、地方事权支出责任划分原则；没有与相关部门同类项目或部门内部相关项目重复。因此，</w:t>
      </w:r>
      <w:r>
        <w:rPr>
          <w:rFonts w:hint="eastAsia"/>
          <w:highlight w:val="none"/>
          <w:lang w:eastAsia="zh-CN"/>
        </w:rPr>
        <w:t>枣庄英才计划项目</w:t>
      </w:r>
      <w:r>
        <w:rPr>
          <w:rFonts w:hint="eastAsia"/>
          <w:highlight w:val="none"/>
        </w:rPr>
        <w:t>立项依据充分，本指标得分4分。</w:t>
      </w:r>
    </w:p>
    <w:p>
      <w:pPr>
        <w:spacing w:line="580" w:lineRule="exact"/>
        <w:ind w:firstLine="640"/>
        <w:rPr>
          <w:highlight w:val="none"/>
        </w:rPr>
      </w:pPr>
      <w:r>
        <w:rPr>
          <w:rFonts w:hint="eastAsia"/>
          <w:highlight w:val="none"/>
        </w:rPr>
        <w:t>（2）立项程序规范性（指标分值4分，得分4分）</w:t>
      </w:r>
    </w:p>
    <w:p>
      <w:pPr>
        <w:spacing w:line="580" w:lineRule="exact"/>
        <w:ind w:firstLine="640"/>
        <w:rPr>
          <w:rFonts w:hint="eastAsia" w:eastAsia="仿宋_GB2312"/>
          <w:highlight w:val="none"/>
          <w:lang w:eastAsia="zh-CN"/>
        </w:rPr>
      </w:pPr>
      <w:r>
        <w:rPr>
          <w:rFonts w:hint="eastAsia"/>
          <w:highlight w:val="none"/>
          <w:lang w:val="en-US" w:eastAsia="zh-CN"/>
        </w:rPr>
        <w:t>根据现场调研，枣庄英才计划项目按照规定的程序申请设立，立项</w:t>
      </w:r>
      <w:r>
        <w:rPr>
          <w:rFonts w:hint="eastAsia"/>
          <w:highlight w:val="none"/>
          <w:lang w:val="en-US" w:eastAsia="zh-CN"/>
        </w:rPr>
        <w:t>审批材料齐全，设</w:t>
      </w:r>
      <w:r>
        <w:rPr>
          <w:rFonts w:hint="eastAsia"/>
          <w:highlight w:val="none"/>
          <w:lang w:val="en-US" w:eastAsia="zh-CN"/>
        </w:rPr>
        <w:t>立过程符合相关要求。</w:t>
      </w:r>
      <w:bookmarkStart w:id="350" w:name="_Toc52121517"/>
      <w:bookmarkStart w:id="351" w:name="_Toc19572"/>
      <w:bookmarkStart w:id="352" w:name="_Toc81994034"/>
      <w:bookmarkStart w:id="353" w:name="_Toc52275147"/>
      <w:bookmarkStart w:id="354" w:name="_Toc83377057"/>
      <w:bookmarkStart w:id="355" w:name="_Toc49278619"/>
      <w:bookmarkStart w:id="356" w:name="_Toc51683705"/>
      <w:bookmarkStart w:id="357" w:name="_Toc4066"/>
      <w:bookmarkStart w:id="358" w:name="_Toc46747327"/>
      <w:r>
        <w:rPr>
          <w:rFonts w:hint="eastAsia"/>
          <w:highlight w:val="none"/>
          <w:lang w:val="en-US" w:eastAsia="zh-CN"/>
        </w:rPr>
        <w:t>根据评价标准“项目按照规定的程序申请设立得1分；审批文件、材料符合相关要求得1分；事前已经过必要的可行性研究、专家论证、风险评估、绩效评估、集体决策等满足其中1项得2分。”，</w:t>
      </w:r>
      <w:r>
        <w:rPr>
          <w:rFonts w:hint="eastAsia"/>
          <w:highlight w:val="none"/>
        </w:rPr>
        <w:t>此指标得</w:t>
      </w:r>
      <w:r>
        <w:rPr>
          <w:rFonts w:hint="eastAsia"/>
          <w:highlight w:val="none"/>
          <w:lang w:val="en-US" w:eastAsia="zh-CN"/>
        </w:rPr>
        <w:t>4</w:t>
      </w:r>
      <w:r>
        <w:rPr>
          <w:rFonts w:hint="eastAsia"/>
          <w:highlight w:val="none"/>
        </w:rPr>
        <w:t>分。</w:t>
      </w:r>
    </w:p>
    <w:p>
      <w:pPr>
        <w:pStyle w:val="9"/>
        <w:spacing w:line="580" w:lineRule="exact"/>
        <w:ind w:firstLine="640"/>
        <w:rPr>
          <w:highlight w:val="none"/>
        </w:rPr>
      </w:pPr>
      <w:bookmarkStart w:id="359" w:name="_Toc120281592"/>
      <w:bookmarkStart w:id="360" w:name="_Toc119629955"/>
      <w:bookmarkStart w:id="361" w:name="_Toc120282173"/>
      <w:bookmarkStart w:id="362" w:name="_Toc19336"/>
      <w:r>
        <w:rPr>
          <w:rFonts w:hint="eastAsia"/>
          <w:highlight w:val="none"/>
        </w:rPr>
        <w:t>2.绩效目标（指标分值</w:t>
      </w:r>
      <w:r>
        <w:rPr>
          <w:rFonts w:hint="eastAsia"/>
          <w:highlight w:val="none"/>
          <w:lang w:val="en-US" w:eastAsia="zh-CN"/>
        </w:rPr>
        <w:t>5</w:t>
      </w:r>
      <w:r>
        <w:rPr>
          <w:rFonts w:hint="eastAsia"/>
          <w:highlight w:val="none"/>
        </w:rPr>
        <w:t>分，得分</w:t>
      </w:r>
      <w:r>
        <w:rPr>
          <w:rFonts w:hint="eastAsia"/>
          <w:highlight w:val="none"/>
          <w:lang w:val="en-US" w:eastAsia="zh-CN"/>
        </w:rPr>
        <w:t>3</w:t>
      </w:r>
      <w:r>
        <w:rPr>
          <w:rFonts w:hint="eastAsia"/>
          <w:highlight w:val="none"/>
        </w:rPr>
        <w:t>分）</w:t>
      </w:r>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580" w:lineRule="exact"/>
        <w:ind w:firstLine="640"/>
        <w:rPr>
          <w:highlight w:val="none"/>
        </w:rPr>
      </w:pPr>
      <w:r>
        <w:rPr>
          <w:rFonts w:hint="eastAsia"/>
          <w:highlight w:val="none"/>
        </w:rPr>
        <w:t>该指标包括绩效目标合理性和绩效指标明确性2个三级指标，绩效目标合理性和绩效指标明确性，主要用以反映项目所设定的绩效目标是否依据充分，是否符合客观实际，绩效目标设定的绩效指标是否清晰、细化、可衡量等。</w:t>
      </w:r>
    </w:p>
    <w:p>
      <w:pPr>
        <w:spacing w:line="580" w:lineRule="exact"/>
        <w:ind w:firstLine="640"/>
        <w:rPr>
          <w:highlight w:val="none"/>
        </w:rPr>
      </w:pPr>
      <w:r>
        <w:rPr>
          <w:rFonts w:hint="eastAsia"/>
          <w:highlight w:val="none"/>
        </w:rPr>
        <w:t>（1）绩效目标合理性（指标分值</w:t>
      </w:r>
      <w:r>
        <w:rPr>
          <w:rFonts w:hint="eastAsia"/>
          <w:highlight w:val="none"/>
          <w:lang w:val="en-US" w:eastAsia="zh-CN"/>
        </w:rPr>
        <w:t>2</w:t>
      </w:r>
      <w:r>
        <w:rPr>
          <w:rFonts w:hint="eastAsia"/>
          <w:highlight w:val="none"/>
        </w:rPr>
        <w:t>分，得分</w:t>
      </w:r>
      <w:r>
        <w:rPr>
          <w:rFonts w:hint="eastAsia"/>
          <w:highlight w:val="none"/>
          <w:lang w:val="en-US" w:eastAsia="zh-CN"/>
        </w:rPr>
        <w:t>2</w:t>
      </w:r>
      <w:r>
        <w:rPr>
          <w:rFonts w:hint="eastAsia"/>
          <w:highlight w:val="none"/>
        </w:rPr>
        <w:t>分）</w:t>
      </w:r>
    </w:p>
    <w:p>
      <w:pPr>
        <w:spacing w:line="580" w:lineRule="exact"/>
        <w:ind w:firstLine="640"/>
        <w:rPr>
          <w:highlight w:val="none"/>
        </w:rPr>
      </w:pPr>
      <w:r>
        <w:rPr>
          <w:rFonts w:hint="eastAsia"/>
          <w:highlight w:val="none"/>
        </w:rPr>
        <w:t>根据现场座谈以及相关资料查询，</w:t>
      </w:r>
      <w:r>
        <w:rPr>
          <w:rFonts w:hint="eastAsia"/>
          <w:highlight w:val="none"/>
          <w:lang w:eastAsia="zh-CN"/>
        </w:rPr>
        <w:t>枣庄英才计划项目</w:t>
      </w:r>
      <w:r>
        <w:rPr>
          <w:rFonts w:hint="eastAsia"/>
          <w:highlight w:val="none"/>
          <w:lang w:val="en-US" w:eastAsia="zh-CN"/>
        </w:rPr>
        <w:t>属于2022年党群工作部人才经费项目中的一个子项目，无专门的</w:t>
      </w:r>
      <w:r>
        <w:rPr>
          <w:rFonts w:hint="eastAsia"/>
          <w:highlight w:val="none"/>
        </w:rPr>
        <w:t>绩效目标</w:t>
      </w:r>
      <w:r>
        <w:rPr>
          <w:rFonts w:hint="eastAsia"/>
          <w:highlight w:val="none"/>
          <w:lang w:val="en-US" w:eastAsia="zh-CN"/>
        </w:rPr>
        <w:t>申报表，但在人才经费项目中设有相关指标，即枣庄英才≥4人，</w:t>
      </w:r>
      <w:r>
        <w:rPr>
          <w:rFonts w:hint="eastAsia"/>
          <w:highlight w:val="none"/>
        </w:rPr>
        <w:t>与实际工作内容有相关性</w:t>
      </w:r>
      <w:r>
        <w:rPr>
          <w:rFonts w:hint="eastAsia"/>
          <w:highlight w:val="none"/>
          <w:lang w:eastAsia="zh-CN"/>
        </w:rPr>
        <w:t>，</w:t>
      </w:r>
      <w:r>
        <w:rPr>
          <w:rFonts w:hint="eastAsia"/>
          <w:highlight w:val="none"/>
        </w:rPr>
        <w:t>项目预期产出效益和效果符合正常的业绩水平。根据评价标准，此指标得</w:t>
      </w:r>
      <w:r>
        <w:rPr>
          <w:rFonts w:hint="eastAsia"/>
          <w:highlight w:val="none"/>
          <w:lang w:val="en-US" w:eastAsia="zh-CN"/>
        </w:rPr>
        <w:t>2</w:t>
      </w:r>
      <w:r>
        <w:rPr>
          <w:rFonts w:hint="eastAsia"/>
          <w:highlight w:val="none"/>
        </w:rPr>
        <w:t>分。</w:t>
      </w:r>
    </w:p>
    <w:p>
      <w:pPr>
        <w:spacing w:line="580" w:lineRule="exact"/>
        <w:ind w:firstLine="640"/>
        <w:rPr>
          <w:highlight w:val="none"/>
        </w:rPr>
      </w:pPr>
      <w:r>
        <w:rPr>
          <w:rFonts w:hint="eastAsia"/>
          <w:highlight w:val="none"/>
        </w:rPr>
        <w:t>（2）绩效指标明确性（指标分值3分，得分</w:t>
      </w:r>
      <w:r>
        <w:rPr>
          <w:rFonts w:hint="eastAsia"/>
          <w:highlight w:val="none"/>
          <w:lang w:val="en-US" w:eastAsia="zh-CN"/>
        </w:rPr>
        <w:t>1</w:t>
      </w:r>
      <w:r>
        <w:rPr>
          <w:rFonts w:hint="eastAsia"/>
          <w:highlight w:val="none"/>
        </w:rPr>
        <w:t>分）</w:t>
      </w:r>
    </w:p>
    <w:p>
      <w:pPr>
        <w:spacing w:line="580" w:lineRule="exact"/>
        <w:ind w:firstLine="640"/>
        <w:rPr>
          <w:highlight w:val="none"/>
        </w:rPr>
      </w:pPr>
      <w:r>
        <w:rPr>
          <w:rFonts w:hint="eastAsia"/>
          <w:highlight w:val="none"/>
        </w:rPr>
        <w:t>根据</w:t>
      </w:r>
      <w:r>
        <w:rPr>
          <w:rFonts w:hint="eastAsia"/>
          <w:highlight w:val="none"/>
          <w:lang w:eastAsia="zh-CN"/>
        </w:rPr>
        <w:t>枣庄</w:t>
      </w:r>
      <w:r>
        <w:rPr>
          <w:rFonts w:hint="eastAsia"/>
          <w:highlight w:val="none"/>
          <w:lang w:val="en-US" w:eastAsia="zh-CN"/>
        </w:rPr>
        <w:t>高新区人才经费</w:t>
      </w:r>
      <w:r>
        <w:rPr>
          <w:rFonts w:hint="eastAsia"/>
          <w:highlight w:val="none"/>
          <w:lang w:eastAsia="zh-CN"/>
        </w:rPr>
        <w:t>项目</w:t>
      </w:r>
      <w:r>
        <w:rPr>
          <w:rFonts w:hint="eastAsia"/>
          <w:highlight w:val="none"/>
          <w:lang w:val="en-US" w:eastAsia="zh-CN"/>
        </w:rPr>
        <w:t>2022</w:t>
      </w:r>
      <w:r>
        <w:rPr>
          <w:highlight w:val="none"/>
        </w:rPr>
        <w:t>年绩效目标申报表，</w:t>
      </w:r>
      <w:r>
        <w:rPr>
          <w:rFonts w:hint="eastAsia"/>
          <w:highlight w:val="none"/>
          <w:lang w:val="en-US" w:eastAsia="zh-CN"/>
        </w:rPr>
        <w:t>其中英才计划项目</w:t>
      </w:r>
      <w:r>
        <w:rPr>
          <w:highlight w:val="none"/>
        </w:rPr>
        <w:t>指标设置</w:t>
      </w:r>
      <w:r>
        <w:rPr>
          <w:rFonts w:hint="eastAsia"/>
          <w:highlight w:val="none"/>
          <w:lang w:val="en-US" w:eastAsia="zh-CN"/>
        </w:rPr>
        <w:t>有待完善</w:t>
      </w:r>
      <w:r>
        <w:rPr>
          <w:highlight w:val="none"/>
        </w:rPr>
        <w:t>，</w:t>
      </w:r>
      <w:r>
        <w:rPr>
          <w:rFonts w:hint="eastAsia"/>
          <w:highlight w:val="none"/>
          <w:lang w:val="en-US" w:eastAsia="zh-CN"/>
        </w:rPr>
        <w:t>只有数量指标“枣庄英才≥4人”，未设置枣庄英才奖补资金发放达标率等质量指标，和获奖企业的项目落地情况等效益指标，未对枣庄英才这一</w:t>
      </w:r>
      <w:r>
        <w:rPr>
          <w:highlight w:val="none"/>
        </w:rPr>
        <w:t>指标</w:t>
      </w:r>
      <w:r>
        <w:rPr>
          <w:rFonts w:hint="eastAsia"/>
          <w:highlight w:val="none"/>
          <w:lang w:val="en-US" w:eastAsia="zh-CN"/>
        </w:rPr>
        <w:t>进行细化量化</w:t>
      </w:r>
      <w:r>
        <w:rPr>
          <w:rFonts w:hint="eastAsia"/>
          <w:highlight w:val="none"/>
        </w:rPr>
        <w:t>。</w:t>
      </w:r>
      <w:r>
        <w:rPr>
          <w:rFonts w:hint="eastAsia"/>
          <w:highlight w:val="none"/>
          <w:lang w:val="en-US" w:eastAsia="zh-CN"/>
        </w:rPr>
        <w:t>且根据枣庄英才奖补资金发放明细表，2022年枣庄英才数量目标任务数为3人，指标值与其不对应。</w:t>
      </w:r>
      <w:r>
        <w:rPr>
          <w:rFonts w:hint="eastAsia"/>
          <w:highlight w:val="none"/>
        </w:rPr>
        <w:t>根据评价标准，此指标得</w:t>
      </w:r>
      <w:r>
        <w:rPr>
          <w:rFonts w:hint="eastAsia"/>
          <w:highlight w:val="none"/>
          <w:lang w:val="en-US" w:eastAsia="zh-CN"/>
        </w:rPr>
        <w:t>1</w:t>
      </w:r>
      <w:r>
        <w:rPr>
          <w:rFonts w:hint="eastAsia"/>
          <w:highlight w:val="none"/>
        </w:rPr>
        <w:t>分。</w:t>
      </w:r>
    </w:p>
    <w:p>
      <w:pPr>
        <w:pStyle w:val="30"/>
        <w:spacing w:line="580" w:lineRule="exact"/>
        <w:ind w:firstLine="640"/>
        <w:rPr>
          <w:highlight w:val="none"/>
        </w:rPr>
      </w:pPr>
      <w:bookmarkStart w:id="363" w:name="_Toc52121518"/>
      <w:bookmarkStart w:id="364" w:name="_Toc83377058"/>
      <w:bookmarkStart w:id="365" w:name="_Toc120281593"/>
      <w:bookmarkStart w:id="366" w:name="_Toc120282174"/>
      <w:bookmarkStart w:id="367" w:name="_Toc119629956"/>
      <w:bookmarkStart w:id="368" w:name="_Toc49278620"/>
      <w:bookmarkStart w:id="369" w:name="_Toc81994035"/>
      <w:bookmarkStart w:id="370" w:name="_Toc19065"/>
      <w:bookmarkStart w:id="371" w:name="_Toc52275148"/>
      <w:bookmarkStart w:id="372" w:name="_Toc51683706"/>
      <w:bookmarkStart w:id="373" w:name="_Toc18868"/>
      <w:bookmarkStart w:id="374" w:name="_Toc46747328"/>
      <w:bookmarkStart w:id="375" w:name="_Toc5928"/>
      <w:r>
        <w:rPr>
          <w:rFonts w:hint="eastAsia"/>
          <w:highlight w:val="none"/>
        </w:rPr>
        <w:t>3.资金投入（指标分值</w:t>
      </w:r>
      <w:r>
        <w:rPr>
          <w:rFonts w:hint="eastAsia"/>
          <w:highlight w:val="none"/>
          <w:lang w:val="en-US" w:eastAsia="zh-CN"/>
        </w:rPr>
        <w:t>7</w:t>
      </w:r>
      <w:r>
        <w:rPr>
          <w:rFonts w:hint="eastAsia"/>
          <w:highlight w:val="none"/>
        </w:rPr>
        <w:t>分，得分</w:t>
      </w:r>
      <w:r>
        <w:rPr>
          <w:rFonts w:hint="eastAsia"/>
          <w:highlight w:val="none"/>
          <w:lang w:val="en-US" w:eastAsia="zh-CN"/>
        </w:rPr>
        <w:t>6</w:t>
      </w:r>
      <w:r>
        <w:rPr>
          <w:rFonts w:hint="eastAsia"/>
          <w:highlight w:val="none"/>
        </w:rPr>
        <w:t>分）</w:t>
      </w:r>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580" w:lineRule="exact"/>
        <w:ind w:firstLine="640"/>
        <w:rPr>
          <w:highlight w:val="none"/>
        </w:rPr>
      </w:pPr>
      <w:r>
        <w:rPr>
          <w:rFonts w:hint="eastAsia"/>
          <w:highlight w:val="none"/>
        </w:rPr>
        <w:t>包括预算编制科学性、资金分配合理性2个三级指标，主要用以反映预算安排和工作计划的匹配性；重点工作资金的保障性，项目是否遵循轻重缓急按序保障；资金的筹集及分配是否按照政策合理分配。</w:t>
      </w:r>
    </w:p>
    <w:p>
      <w:pPr>
        <w:spacing w:line="580" w:lineRule="exact"/>
        <w:ind w:firstLine="640"/>
        <w:rPr>
          <w:highlight w:val="none"/>
        </w:rPr>
      </w:pPr>
      <w:r>
        <w:rPr>
          <w:rFonts w:hint="eastAsia"/>
          <w:highlight w:val="none"/>
        </w:rPr>
        <w:t>（1）预算编制科学性（指标分值</w:t>
      </w:r>
      <w:r>
        <w:rPr>
          <w:rFonts w:hint="eastAsia"/>
          <w:highlight w:val="none"/>
          <w:lang w:val="en-US" w:eastAsia="zh-CN"/>
        </w:rPr>
        <w:t>4</w:t>
      </w:r>
      <w:r>
        <w:rPr>
          <w:rFonts w:hint="eastAsia"/>
          <w:highlight w:val="none"/>
        </w:rPr>
        <w:t>分，得分</w:t>
      </w:r>
      <w:r>
        <w:rPr>
          <w:rFonts w:hint="eastAsia"/>
          <w:highlight w:val="none"/>
          <w:lang w:val="en-US" w:eastAsia="zh-CN"/>
        </w:rPr>
        <w:t>3</w:t>
      </w:r>
      <w:r>
        <w:rPr>
          <w:rFonts w:hint="eastAsia"/>
          <w:highlight w:val="none"/>
        </w:rPr>
        <w:t>分）</w:t>
      </w:r>
    </w:p>
    <w:p>
      <w:pPr>
        <w:spacing w:line="580" w:lineRule="exact"/>
        <w:ind w:firstLine="640"/>
        <w:rPr>
          <w:rFonts w:hint="eastAsia" w:eastAsia="仿宋_GB2312"/>
          <w:highlight w:val="none"/>
          <w:lang w:eastAsia="zh-CN"/>
        </w:rPr>
      </w:pPr>
      <w:r>
        <w:rPr>
          <w:rFonts w:hint="eastAsia"/>
          <w:highlight w:val="none"/>
        </w:rPr>
        <w:t>根据现场座谈以及相关资料查询，</w:t>
      </w:r>
      <w:r>
        <w:rPr>
          <w:rFonts w:hint="eastAsia"/>
          <w:highlight w:val="none"/>
          <w:lang w:eastAsia="zh-CN"/>
        </w:rPr>
        <w:t>枣庄英才计划项目</w:t>
      </w:r>
      <w:r>
        <w:rPr>
          <w:rFonts w:hint="eastAsia"/>
          <w:highlight w:val="none"/>
          <w:lang w:val="en-US" w:eastAsia="zh-CN"/>
        </w:rPr>
        <w:t>根据</w:t>
      </w:r>
      <w:r>
        <w:rPr>
          <w:rFonts w:hint="eastAsia"/>
          <w:highlight w:val="none"/>
        </w:rPr>
        <w:t>《关于做好人才支撑新旧动能转换工作的实施意见》（枣发〔2018〕13号）、市委办公室市政府办公室《关于实施枣庄英才集聚工程的意见》（枣办发〔2014〕28号）、枣庄市财政局《关于下达市级人才工作专项资金（枣庄英才奖补资金）的通知》（枣财行指〔2022〕28号）</w:t>
      </w:r>
      <w:r>
        <w:rPr>
          <w:rFonts w:hint="eastAsia"/>
          <w:highlight w:val="none"/>
          <w:lang w:eastAsia="zh-CN"/>
        </w:rPr>
        <w:t>、《关于深化产业培育实现高质量发展的若干意见》（枣高发〔2020]5号）</w:t>
      </w:r>
      <w:r>
        <w:rPr>
          <w:rFonts w:hint="eastAsia"/>
          <w:highlight w:val="none"/>
        </w:rPr>
        <w:t>等文件规定</w:t>
      </w:r>
      <w:r>
        <w:rPr>
          <w:rFonts w:hint="eastAsia"/>
          <w:highlight w:val="none"/>
          <w:lang w:eastAsia="zh-CN"/>
        </w:rPr>
        <w:t>，</w:t>
      </w:r>
      <w:r>
        <w:rPr>
          <w:highlight w:val="none"/>
        </w:rPr>
        <w:t>进行预算编制</w:t>
      </w:r>
      <w:r>
        <w:rPr>
          <w:rFonts w:hint="eastAsia"/>
          <w:highlight w:val="none"/>
          <w:lang w:val="en-US" w:eastAsia="zh-CN"/>
        </w:rPr>
        <w:t>工作</w:t>
      </w:r>
      <w:r>
        <w:rPr>
          <w:highlight w:val="none"/>
        </w:rPr>
        <w:t>，</w:t>
      </w:r>
      <w:r>
        <w:rPr>
          <w:rFonts w:hint="eastAsia"/>
          <w:highlight w:val="none"/>
        </w:rPr>
        <w:t>预算内容与项目内容相匹配</w:t>
      </w:r>
      <w:r>
        <w:rPr>
          <w:rFonts w:hint="eastAsia"/>
          <w:highlight w:val="none"/>
          <w:lang w:eastAsia="zh-CN"/>
        </w:rPr>
        <w:t>。</w:t>
      </w:r>
      <w:r>
        <w:rPr>
          <w:rFonts w:hint="eastAsia"/>
          <w:highlight w:val="none"/>
          <w:lang w:val="en-US" w:eastAsia="zh-CN"/>
        </w:rPr>
        <w:t>但根据</w:t>
      </w:r>
      <w:r>
        <w:rPr>
          <w:rFonts w:hint="eastAsia"/>
          <w:highlight w:val="none"/>
        </w:rPr>
        <w:t>《关于实施枣庄英才集聚工程的意见》（枣办发〔2014〕28号）</w:t>
      </w:r>
      <w:r>
        <w:rPr>
          <w:rFonts w:hint="eastAsia"/>
          <w:highlight w:val="none"/>
          <w:lang w:val="en-US" w:eastAsia="zh-CN"/>
        </w:rPr>
        <w:t>要求</w:t>
      </w:r>
      <w:r>
        <w:rPr>
          <w:highlight w:val="none"/>
        </w:rPr>
        <w:t>，</w:t>
      </w:r>
      <w:r>
        <w:rPr>
          <w:rFonts w:hint="eastAsia"/>
          <w:highlight w:val="none"/>
          <w:lang w:val="en-US" w:eastAsia="zh-CN"/>
        </w:rPr>
        <w:t>2022年只需要支付50%的项目启动金，即125万元，而预算编制申请资金250万元，预算额度与年度目标不匹配</w:t>
      </w:r>
      <w:r>
        <w:rPr>
          <w:highlight w:val="none"/>
        </w:rPr>
        <w:t>。</w:t>
      </w:r>
      <w:r>
        <w:rPr>
          <w:rFonts w:hint="eastAsia"/>
          <w:highlight w:val="none"/>
        </w:rPr>
        <w:t>根据评价标准，本项指标得</w:t>
      </w:r>
      <w:r>
        <w:rPr>
          <w:rFonts w:hint="eastAsia"/>
          <w:highlight w:val="none"/>
          <w:lang w:val="en-US" w:eastAsia="zh-CN"/>
        </w:rPr>
        <w:t>3</w:t>
      </w:r>
      <w:r>
        <w:rPr>
          <w:rFonts w:hint="eastAsia"/>
          <w:highlight w:val="none"/>
        </w:rPr>
        <w:t>分。</w:t>
      </w:r>
    </w:p>
    <w:p>
      <w:pPr>
        <w:spacing w:line="580" w:lineRule="exact"/>
        <w:ind w:firstLine="640"/>
        <w:rPr>
          <w:highlight w:val="none"/>
        </w:rPr>
      </w:pPr>
      <w:r>
        <w:rPr>
          <w:rFonts w:hint="eastAsia"/>
          <w:highlight w:val="none"/>
        </w:rPr>
        <w:t>（2）资金分配合理性（指标分值3分，得分3分）</w:t>
      </w:r>
    </w:p>
    <w:p>
      <w:pPr>
        <w:spacing w:line="580" w:lineRule="exact"/>
        <w:ind w:firstLine="640"/>
        <w:rPr>
          <w:highlight w:val="none"/>
        </w:rPr>
      </w:pPr>
      <w:r>
        <w:rPr>
          <w:rFonts w:hint="eastAsia"/>
          <w:highlight w:val="none"/>
        </w:rPr>
        <w:t>根据现场座谈以及相关资料查询，</w:t>
      </w:r>
      <w:r>
        <w:rPr>
          <w:rFonts w:hint="eastAsia"/>
          <w:highlight w:val="none"/>
          <w:lang w:eastAsia="zh-CN"/>
        </w:rPr>
        <w:t>枣庄英才计划项目</w:t>
      </w:r>
      <w:r>
        <w:rPr>
          <w:rFonts w:hint="eastAsia"/>
          <w:highlight w:val="none"/>
          <w:lang w:val="en-US" w:eastAsia="zh-CN"/>
        </w:rPr>
        <w:t>根据《关于实施枣庄英才集聚工程的意见》，对产业创新类企业和科技创业类企业分别进行100万元和50万元的奖补。</w:t>
      </w:r>
      <w:r>
        <w:rPr>
          <w:rFonts w:hint="eastAsia"/>
          <w:highlight w:val="none"/>
        </w:rPr>
        <w:t>预算资金分配测算依据充分，有明确的</w:t>
      </w:r>
      <w:r>
        <w:rPr>
          <w:rFonts w:hint="eastAsia"/>
          <w:highlight w:val="none"/>
          <w:lang w:val="en-US" w:eastAsia="zh-CN"/>
        </w:rPr>
        <w:t>枣庄英才奖补</w:t>
      </w:r>
      <w:r>
        <w:rPr>
          <w:rFonts w:hint="eastAsia"/>
          <w:highlight w:val="none"/>
        </w:rPr>
        <w:t>资金</w:t>
      </w:r>
      <w:r>
        <w:rPr>
          <w:rFonts w:hint="eastAsia"/>
          <w:highlight w:val="none"/>
          <w:lang w:val="en-US" w:eastAsia="zh-CN"/>
        </w:rPr>
        <w:t>发放分配</w:t>
      </w:r>
      <w:r>
        <w:rPr>
          <w:rFonts w:hint="eastAsia"/>
          <w:highlight w:val="none"/>
        </w:rPr>
        <w:t>表，与补助</w:t>
      </w:r>
      <w:r>
        <w:rPr>
          <w:rFonts w:hint="eastAsia"/>
          <w:highlight w:val="none"/>
          <w:lang w:val="en-US" w:eastAsia="zh-CN"/>
        </w:rPr>
        <w:t>企业</w:t>
      </w:r>
      <w:r>
        <w:rPr>
          <w:rFonts w:hint="eastAsia"/>
          <w:highlight w:val="none"/>
        </w:rPr>
        <w:t>实际相适应，预算资金分配科学、合理。根据评价标准，本项指标得3分。</w:t>
      </w:r>
    </w:p>
    <w:p>
      <w:pPr>
        <w:pStyle w:val="8"/>
        <w:spacing w:line="580" w:lineRule="exact"/>
        <w:ind w:firstLine="605"/>
        <w:rPr>
          <w:highlight w:val="none"/>
        </w:rPr>
      </w:pPr>
      <w:bookmarkStart w:id="376" w:name="_Toc2373"/>
      <w:r>
        <w:rPr>
          <w:rFonts w:hint="eastAsia"/>
          <w:highlight w:val="none"/>
        </w:rPr>
        <w:t>（二）项目过程情况</w:t>
      </w:r>
      <w:bookmarkEnd w:id="376"/>
    </w:p>
    <w:p>
      <w:pPr>
        <w:pStyle w:val="9"/>
        <w:spacing w:line="580" w:lineRule="exact"/>
        <w:ind w:firstLine="640"/>
        <w:rPr>
          <w:highlight w:val="none"/>
        </w:rPr>
      </w:pPr>
      <w:bookmarkStart w:id="377" w:name="_Toc46747330"/>
      <w:bookmarkStart w:id="378" w:name="_Toc51683708"/>
      <w:bookmarkStart w:id="379" w:name="_Toc26236"/>
      <w:bookmarkStart w:id="380" w:name="_Toc83377060"/>
      <w:bookmarkStart w:id="381" w:name="_Toc20606"/>
      <w:bookmarkStart w:id="382" w:name="_Toc120282176"/>
      <w:bookmarkStart w:id="383" w:name="_Toc119629958"/>
      <w:bookmarkStart w:id="384" w:name="_Toc120281595"/>
      <w:bookmarkStart w:id="385" w:name="_Toc52275150"/>
      <w:bookmarkStart w:id="386" w:name="_Toc49278622"/>
      <w:bookmarkStart w:id="387" w:name="_Toc81994037"/>
      <w:bookmarkStart w:id="388" w:name="_Toc52121520"/>
      <w:r>
        <w:rPr>
          <w:rFonts w:hint="eastAsia"/>
          <w:highlight w:val="none"/>
        </w:rPr>
        <w:t>1.资金管理（指标分值12分，得分</w:t>
      </w:r>
      <w:r>
        <w:rPr>
          <w:rFonts w:hint="eastAsia"/>
          <w:highlight w:val="none"/>
          <w:lang w:val="en-US" w:eastAsia="zh-CN"/>
        </w:rPr>
        <w:t>8</w:t>
      </w:r>
      <w:r>
        <w:rPr>
          <w:rFonts w:hint="eastAsia"/>
          <w:highlight w:val="none"/>
        </w:rPr>
        <w:t>分）</w:t>
      </w:r>
      <w:bookmarkEnd w:id="377"/>
      <w:bookmarkEnd w:id="378"/>
      <w:bookmarkEnd w:id="379"/>
      <w:bookmarkEnd w:id="380"/>
      <w:bookmarkEnd w:id="381"/>
      <w:bookmarkEnd w:id="382"/>
      <w:bookmarkEnd w:id="383"/>
      <w:bookmarkEnd w:id="384"/>
      <w:bookmarkEnd w:id="385"/>
      <w:bookmarkEnd w:id="386"/>
      <w:bookmarkEnd w:id="387"/>
      <w:bookmarkEnd w:id="388"/>
    </w:p>
    <w:p>
      <w:pPr>
        <w:spacing w:line="580" w:lineRule="exact"/>
        <w:ind w:firstLine="640"/>
        <w:rPr>
          <w:highlight w:val="none"/>
        </w:rPr>
      </w:pPr>
      <w:r>
        <w:rPr>
          <w:rFonts w:hint="eastAsia"/>
          <w:highlight w:val="none"/>
        </w:rPr>
        <w:t>该指标包括资金到位率、预算执行率、资金使用合规性3个三级指标，主要用以反映部门年度预算的到位及执行情况。</w:t>
      </w:r>
    </w:p>
    <w:p>
      <w:pPr>
        <w:spacing w:line="580" w:lineRule="exact"/>
        <w:ind w:firstLine="640"/>
        <w:rPr>
          <w:highlight w:val="none"/>
        </w:rPr>
      </w:pPr>
      <w:r>
        <w:rPr>
          <w:rFonts w:hint="eastAsia"/>
          <w:highlight w:val="none"/>
        </w:rPr>
        <w:t>（1）资金到位率（指标分值4分，得分4分）</w:t>
      </w:r>
    </w:p>
    <w:p>
      <w:pPr>
        <w:spacing w:line="580" w:lineRule="exact"/>
        <w:ind w:firstLine="640"/>
        <w:rPr>
          <w:highlight w:val="none"/>
        </w:rPr>
      </w:pPr>
      <w:r>
        <w:rPr>
          <w:rFonts w:hint="eastAsia"/>
          <w:highlight w:val="none"/>
          <w:lang w:eastAsia="zh-CN"/>
        </w:rPr>
        <w:t>枣庄英才计划项目</w:t>
      </w:r>
      <w:r>
        <w:rPr>
          <w:rFonts w:hint="eastAsia"/>
          <w:highlight w:val="none"/>
          <w:lang w:val="en-US" w:eastAsia="zh-CN"/>
        </w:rPr>
        <w:t>2022</w:t>
      </w:r>
      <w:r>
        <w:rPr>
          <w:rFonts w:hint="eastAsia"/>
          <w:highlight w:val="none"/>
        </w:rPr>
        <w:t>年预算金额</w:t>
      </w:r>
      <w:r>
        <w:rPr>
          <w:rFonts w:hint="eastAsia"/>
          <w:highlight w:val="none"/>
          <w:lang w:val="en-US" w:eastAsia="zh-CN"/>
        </w:rPr>
        <w:t>250</w:t>
      </w:r>
      <w:r>
        <w:rPr>
          <w:rFonts w:hint="eastAsia"/>
          <w:highlight w:val="none"/>
        </w:rPr>
        <w:t>万元，实际到位</w:t>
      </w:r>
      <w:r>
        <w:rPr>
          <w:rFonts w:hint="eastAsia"/>
          <w:highlight w:val="none"/>
          <w:lang w:val="en-US" w:eastAsia="zh-CN"/>
        </w:rPr>
        <w:t>250</w:t>
      </w:r>
      <w:r>
        <w:rPr>
          <w:rFonts w:hint="eastAsia"/>
          <w:highlight w:val="none"/>
        </w:rPr>
        <w:t>万元，资金已全部到位。根据公式，资金到位率=（财政实际到位资金/预算资金）×100%=（</w:t>
      </w:r>
      <w:r>
        <w:rPr>
          <w:rFonts w:hint="eastAsia"/>
          <w:highlight w:val="none"/>
          <w:lang w:val="en-US" w:eastAsia="zh-CN"/>
        </w:rPr>
        <w:t>250</w:t>
      </w:r>
      <w:r>
        <w:rPr>
          <w:rFonts w:hint="eastAsia"/>
          <w:highlight w:val="none"/>
        </w:rPr>
        <w:t>/</w:t>
      </w:r>
      <w:r>
        <w:rPr>
          <w:rFonts w:hint="eastAsia"/>
          <w:highlight w:val="none"/>
          <w:lang w:val="en-US" w:eastAsia="zh-CN"/>
        </w:rPr>
        <w:t>250</w:t>
      </w:r>
      <w:r>
        <w:rPr>
          <w:rFonts w:hint="eastAsia"/>
          <w:highlight w:val="none"/>
        </w:rPr>
        <w:t>）×100%=100%，政府资金到位率为100%，根据评价标准，本项指标得分为4分。</w:t>
      </w:r>
    </w:p>
    <w:p>
      <w:pPr>
        <w:spacing w:line="580" w:lineRule="exact"/>
        <w:ind w:firstLine="640"/>
        <w:rPr>
          <w:highlight w:val="none"/>
        </w:rPr>
      </w:pPr>
      <w:r>
        <w:rPr>
          <w:rFonts w:hint="eastAsia"/>
          <w:highlight w:val="none"/>
        </w:rPr>
        <w:t>（2）预算执行率（指标分值4分，得分4分）</w:t>
      </w:r>
    </w:p>
    <w:p>
      <w:pPr>
        <w:spacing w:line="580" w:lineRule="exact"/>
        <w:ind w:firstLine="640"/>
        <w:rPr>
          <w:highlight w:val="none"/>
        </w:rPr>
      </w:pPr>
      <w:r>
        <w:rPr>
          <w:rFonts w:hint="eastAsia"/>
          <w:highlight w:val="none"/>
        </w:rPr>
        <w:t>根据公式，预算执行率=（实际使用到预算资金/实际到位资金）×100%。</w:t>
      </w:r>
      <w:r>
        <w:rPr>
          <w:rFonts w:hint="eastAsia"/>
          <w:highlight w:val="none"/>
          <w:lang w:eastAsia="zh-CN"/>
        </w:rPr>
        <w:t>枣庄英才计划项目</w:t>
      </w:r>
      <w:r>
        <w:rPr>
          <w:rFonts w:hint="eastAsia"/>
          <w:highlight w:val="none"/>
          <w:lang w:val="en-US" w:eastAsia="zh-CN"/>
        </w:rPr>
        <w:t>2022</w:t>
      </w:r>
      <w:r>
        <w:rPr>
          <w:rFonts w:hint="eastAsia"/>
          <w:highlight w:val="none"/>
        </w:rPr>
        <w:t>年实际到位资金</w:t>
      </w:r>
      <w:r>
        <w:rPr>
          <w:rFonts w:hint="eastAsia"/>
          <w:highlight w:val="none"/>
          <w:lang w:val="en-US" w:eastAsia="zh-CN"/>
        </w:rPr>
        <w:t>250</w:t>
      </w:r>
      <w:r>
        <w:rPr>
          <w:highlight w:val="none"/>
        </w:rPr>
        <w:t>万</w:t>
      </w:r>
      <w:r>
        <w:rPr>
          <w:rFonts w:hint="eastAsia"/>
          <w:highlight w:val="none"/>
        </w:rPr>
        <w:t>元，已支付</w:t>
      </w:r>
      <w:r>
        <w:rPr>
          <w:rFonts w:hint="eastAsia"/>
          <w:highlight w:val="none"/>
          <w:lang w:val="en-US" w:eastAsia="zh-CN"/>
        </w:rPr>
        <w:t>250</w:t>
      </w:r>
      <w:r>
        <w:rPr>
          <w:highlight w:val="none"/>
        </w:rPr>
        <w:t>万元，预算执行率为</w:t>
      </w:r>
      <w:r>
        <w:rPr>
          <w:rFonts w:hint="eastAsia"/>
          <w:highlight w:val="none"/>
        </w:rPr>
        <w:t>100</w:t>
      </w:r>
      <w:r>
        <w:rPr>
          <w:highlight w:val="none"/>
        </w:rPr>
        <w:t>%。</w:t>
      </w:r>
      <w:r>
        <w:rPr>
          <w:rFonts w:hint="eastAsia"/>
          <w:highlight w:val="none"/>
        </w:rPr>
        <w:t>根据评价标准，本项指标得分为4分。</w:t>
      </w:r>
    </w:p>
    <w:p>
      <w:pPr>
        <w:spacing w:line="580" w:lineRule="exact"/>
        <w:ind w:firstLine="640"/>
        <w:rPr>
          <w:highlight w:val="none"/>
        </w:rPr>
      </w:pPr>
      <w:r>
        <w:rPr>
          <w:rFonts w:hint="eastAsia"/>
          <w:highlight w:val="none"/>
        </w:rPr>
        <w:t>（3）资金使用合规性（指标分值4分，得分</w:t>
      </w:r>
      <w:r>
        <w:rPr>
          <w:rFonts w:hint="eastAsia"/>
          <w:highlight w:val="none"/>
          <w:lang w:val="en-US" w:eastAsia="zh-CN"/>
        </w:rPr>
        <w:t>2</w:t>
      </w:r>
      <w:r>
        <w:rPr>
          <w:rFonts w:hint="eastAsia"/>
          <w:highlight w:val="none"/>
        </w:rPr>
        <w:t>分）</w:t>
      </w:r>
    </w:p>
    <w:p>
      <w:pPr>
        <w:spacing w:line="580" w:lineRule="exact"/>
        <w:ind w:firstLine="640"/>
        <w:rPr>
          <w:rFonts w:hint="eastAsia"/>
          <w:highlight w:val="none"/>
          <w:lang w:val="en-US" w:eastAsia="zh-CN"/>
        </w:rPr>
      </w:pPr>
      <w:r>
        <w:rPr>
          <w:rFonts w:hint="eastAsia"/>
          <w:highlight w:val="none"/>
        </w:rPr>
        <w:t>根据</w:t>
      </w:r>
      <w:r>
        <w:rPr>
          <w:rFonts w:hint="eastAsia"/>
          <w:highlight w:val="none"/>
          <w:lang w:val="en-US" w:eastAsia="zh-CN"/>
        </w:rPr>
        <w:t>现场调研</w:t>
      </w:r>
      <w:r>
        <w:rPr>
          <w:rFonts w:hint="eastAsia"/>
          <w:highlight w:val="none"/>
        </w:rPr>
        <w:t>及</w:t>
      </w:r>
      <w:r>
        <w:rPr>
          <w:rFonts w:hint="eastAsia"/>
          <w:highlight w:val="none"/>
          <w:lang w:val="en-US" w:eastAsia="zh-CN"/>
        </w:rPr>
        <w:t>对获奖补企业的走访调研</w:t>
      </w:r>
      <w:r>
        <w:rPr>
          <w:rFonts w:hint="eastAsia"/>
          <w:highlight w:val="none"/>
        </w:rPr>
        <w:t>，按照</w:t>
      </w:r>
      <w:r>
        <w:rPr>
          <w:rFonts w:hint="eastAsia"/>
          <w:highlight w:val="none"/>
          <w:lang w:val="en-US" w:eastAsia="zh-CN"/>
        </w:rPr>
        <w:t>枣庄英才工作合同约定</w:t>
      </w:r>
      <w:r>
        <w:rPr>
          <w:rFonts w:hint="eastAsia"/>
          <w:highlight w:val="none"/>
        </w:rPr>
        <w:t>，</w:t>
      </w:r>
      <w:r>
        <w:rPr>
          <w:rFonts w:hint="eastAsia"/>
          <w:highlight w:val="none"/>
          <w:lang w:val="en-US" w:eastAsia="zh-CN"/>
        </w:rPr>
        <w:t>枣庄八度阳光新能源科技有限公司2022年目标为建设500kw分布式智慧能源光伏发电项目，但截至项目评价时间，该项目未按进度落地，通过查看企业2022年明细账，该资金主要使用方向为员工工资和办公费等，未用于该项目的研发，不符合合同规定。此外，按照英才工作合同和</w:t>
      </w:r>
      <w:r>
        <w:rPr>
          <w:rFonts w:hint="eastAsia"/>
          <w:highlight w:val="none"/>
        </w:rPr>
        <w:t>《关于实施枣庄英才集聚工程的意见》（枣办发〔2014〕28号）</w:t>
      </w:r>
      <w:r>
        <w:rPr>
          <w:rFonts w:hint="eastAsia"/>
          <w:highlight w:val="none"/>
          <w:lang w:val="en-US" w:eastAsia="zh-CN"/>
        </w:rPr>
        <w:t>要求</w:t>
      </w:r>
      <w:r>
        <w:rPr>
          <w:rFonts w:hint="eastAsia"/>
          <w:highlight w:val="none"/>
          <w:lang w:val="en-US" w:eastAsia="zh-CN"/>
        </w:rPr>
        <w:t>，应先支付给企业项目启动资金50%，管理期期满验收后支付后50%，而实际一次性支全部资金，不符合该项资金管理办法。根据评价标准“</w:t>
      </w:r>
      <w:r>
        <w:rPr>
          <w:rFonts w:hint="eastAsia"/>
          <w:highlight w:val="none"/>
          <w:lang w:val="zh-CN" w:eastAsia="zh-CN"/>
        </w:rPr>
        <w:t>项目资金符合国家财经法规和财务管理制度以及有关专项资金管理办法的规定得</w:t>
      </w:r>
      <w:r>
        <w:rPr>
          <w:rFonts w:hint="eastAsia"/>
          <w:highlight w:val="none"/>
          <w:lang w:val="en-US" w:eastAsia="zh-CN"/>
        </w:rPr>
        <w:t>1分</w:t>
      </w:r>
      <w:r>
        <w:rPr>
          <w:rFonts w:hint="eastAsia"/>
          <w:highlight w:val="none"/>
          <w:lang w:val="zh-CN" w:eastAsia="zh-CN"/>
        </w:rPr>
        <w:t>；资金的拨付有完整的审批程序和手续得</w:t>
      </w:r>
      <w:r>
        <w:rPr>
          <w:rFonts w:hint="eastAsia"/>
          <w:highlight w:val="none"/>
          <w:lang w:val="en-US" w:eastAsia="zh-CN"/>
        </w:rPr>
        <w:t>1分</w:t>
      </w:r>
      <w:r>
        <w:rPr>
          <w:rFonts w:hint="eastAsia"/>
          <w:highlight w:val="none"/>
          <w:lang w:val="zh-CN" w:eastAsia="zh-CN"/>
        </w:rPr>
        <w:t>；符合项目预算批复或合同规定的用途得</w:t>
      </w:r>
      <w:r>
        <w:rPr>
          <w:rFonts w:hint="eastAsia"/>
          <w:highlight w:val="none"/>
          <w:lang w:val="en-US" w:eastAsia="zh-CN"/>
        </w:rPr>
        <w:t>1分</w:t>
      </w:r>
      <w:r>
        <w:rPr>
          <w:rFonts w:hint="eastAsia"/>
          <w:highlight w:val="none"/>
          <w:lang w:val="zh-CN" w:eastAsia="zh-CN"/>
        </w:rPr>
        <w:t>；不存在截留、挤占、挪用、</w:t>
      </w:r>
      <w:r>
        <w:rPr>
          <w:rFonts w:hint="eastAsia"/>
          <w:highlight w:val="none"/>
          <w:lang w:val="en-US" w:eastAsia="zh-CN"/>
        </w:rPr>
        <w:t>虚</w:t>
      </w:r>
      <w:r>
        <w:rPr>
          <w:rFonts w:hint="eastAsia"/>
          <w:highlight w:val="none"/>
          <w:lang w:val="zh-CN" w:eastAsia="zh-CN"/>
        </w:rPr>
        <w:t>列支出等情况得</w:t>
      </w:r>
      <w:r>
        <w:rPr>
          <w:rFonts w:hint="eastAsia"/>
          <w:highlight w:val="none"/>
          <w:lang w:val="en-US" w:eastAsia="zh-CN"/>
        </w:rPr>
        <w:t>1分”，此指标得2分。</w:t>
      </w:r>
    </w:p>
    <w:p>
      <w:pPr>
        <w:pStyle w:val="9"/>
        <w:spacing w:line="580" w:lineRule="exact"/>
        <w:ind w:firstLine="640"/>
        <w:rPr>
          <w:highlight w:val="none"/>
        </w:rPr>
      </w:pPr>
      <w:bookmarkStart w:id="389" w:name="_Toc51683709"/>
      <w:bookmarkStart w:id="390" w:name="_Toc49278623"/>
      <w:bookmarkStart w:id="391" w:name="_Toc19578"/>
      <w:bookmarkStart w:id="392" w:name="_Toc52121521"/>
      <w:bookmarkStart w:id="393" w:name="_Toc120282177"/>
      <w:bookmarkStart w:id="394" w:name="_Toc32384"/>
      <w:bookmarkStart w:id="395" w:name="_Toc46747331"/>
      <w:bookmarkStart w:id="396" w:name="_Toc1639"/>
      <w:bookmarkStart w:id="397" w:name="_Toc81994038"/>
      <w:bookmarkStart w:id="398" w:name="_Toc83377061"/>
      <w:bookmarkStart w:id="399" w:name="_Toc52275151"/>
      <w:bookmarkStart w:id="400" w:name="_Toc120281596"/>
      <w:bookmarkStart w:id="401" w:name="_Toc119629959"/>
      <w:r>
        <w:rPr>
          <w:rFonts w:hint="eastAsia"/>
          <w:highlight w:val="none"/>
        </w:rPr>
        <w:t>2.组织实施（指标分值8分，得分</w:t>
      </w:r>
      <w:r>
        <w:rPr>
          <w:rFonts w:hint="eastAsia"/>
          <w:highlight w:val="none"/>
          <w:lang w:val="en-US" w:eastAsia="zh-CN"/>
        </w:rPr>
        <w:t>4</w:t>
      </w:r>
      <w:r>
        <w:rPr>
          <w:rFonts w:hint="eastAsia"/>
          <w:highlight w:val="none"/>
        </w:rPr>
        <w:t>分）</w:t>
      </w:r>
      <w:bookmarkEnd w:id="389"/>
      <w:bookmarkEnd w:id="390"/>
      <w:bookmarkEnd w:id="391"/>
      <w:bookmarkEnd w:id="392"/>
      <w:bookmarkEnd w:id="393"/>
      <w:bookmarkEnd w:id="394"/>
      <w:bookmarkEnd w:id="395"/>
      <w:bookmarkEnd w:id="396"/>
      <w:bookmarkEnd w:id="397"/>
      <w:bookmarkEnd w:id="398"/>
      <w:bookmarkEnd w:id="399"/>
      <w:bookmarkEnd w:id="400"/>
      <w:bookmarkEnd w:id="401"/>
    </w:p>
    <w:p>
      <w:pPr>
        <w:spacing w:line="580" w:lineRule="exact"/>
        <w:ind w:firstLine="640"/>
        <w:rPr>
          <w:highlight w:val="none"/>
        </w:rPr>
      </w:pPr>
      <w:r>
        <w:rPr>
          <w:rFonts w:hint="eastAsia"/>
          <w:highlight w:val="none"/>
        </w:rPr>
        <w:t>该指标主要用来考核项目实施中是否有完整的管理制度作为执行依据，项目实施中各责任主体是否按照相关制度来执行，包括管理制度健全性、制度执行有效性及实施方案执行有效性2个三级指标。</w:t>
      </w:r>
    </w:p>
    <w:p>
      <w:pPr>
        <w:spacing w:line="580" w:lineRule="exact"/>
        <w:ind w:firstLine="640"/>
        <w:rPr>
          <w:highlight w:val="none"/>
        </w:rPr>
      </w:pPr>
      <w:r>
        <w:rPr>
          <w:rFonts w:hint="eastAsia"/>
          <w:highlight w:val="none"/>
        </w:rPr>
        <w:t>（1）管理制度健全性（指标分值4分，得分</w:t>
      </w:r>
      <w:r>
        <w:rPr>
          <w:rFonts w:hint="eastAsia"/>
          <w:highlight w:val="none"/>
          <w:lang w:val="en-US" w:eastAsia="zh-CN"/>
        </w:rPr>
        <w:t>2</w:t>
      </w:r>
      <w:r>
        <w:rPr>
          <w:rFonts w:hint="eastAsia"/>
          <w:highlight w:val="none"/>
        </w:rPr>
        <w:t>分）</w:t>
      </w:r>
    </w:p>
    <w:p>
      <w:pPr>
        <w:spacing w:line="580" w:lineRule="exact"/>
        <w:ind w:firstLine="640"/>
        <w:rPr>
          <w:rFonts w:hint="eastAsia"/>
          <w:highlight w:val="none"/>
        </w:rPr>
      </w:pPr>
      <w:r>
        <w:rPr>
          <w:rFonts w:hint="eastAsia"/>
          <w:highlight w:val="none"/>
        </w:rPr>
        <w:t>根据现场调研，</w:t>
      </w:r>
      <w:r>
        <w:rPr>
          <w:rFonts w:hint="eastAsia"/>
          <w:highlight w:val="none"/>
          <w:lang w:val="en-US" w:eastAsia="zh-CN"/>
        </w:rPr>
        <w:t>该项目主管部门党群工作部财务工作由枣庄高新区管委会统一管理，有统一的财务管理制度。根据《关于实施枣庄英才集聚工程的意见》要求，枣庄英才计划项目需要进行动态监管，人才人选公布之后3个月内未正常开展工作的，经评估认定后需采取相应的措施，并非只进行中期评估和期满验收工作。主管部门需要根据政策要求制定相应的动态监管制度，缺少相应的业务制度。因此根据评分标准“</w:t>
      </w:r>
      <w:r>
        <w:rPr>
          <w:rFonts w:hint="eastAsia"/>
          <w:highlight w:val="none"/>
          <w:lang w:val="zh-CN" w:eastAsia="zh-CN"/>
        </w:rPr>
        <w:t>项目实施单位制定或具有相应的财务管理</w:t>
      </w:r>
      <w:r>
        <w:rPr>
          <w:rFonts w:hint="eastAsia"/>
          <w:highlight w:val="none"/>
          <w:lang w:val="en-US" w:eastAsia="zh-CN"/>
        </w:rPr>
        <w:t>制度得1分，具有业务管理</w:t>
      </w:r>
      <w:r>
        <w:rPr>
          <w:rFonts w:hint="eastAsia"/>
          <w:highlight w:val="none"/>
          <w:lang w:val="zh-CN" w:eastAsia="zh-CN"/>
        </w:rPr>
        <w:t>制度得</w:t>
      </w:r>
      <w:r>
        <w:rPr>
          <w:rFonts w:hint="eastAsia"/>
          <w:highlight w:val="none"/>
          <w:lang w:val="en-US" w:eastAsia="zh-CN"/>
        </w:rPr>
        <w:t>1分，否则本项指标不得分；</w:t>
      </w:r>
      <w:r>
        <w:rPr>
          <w:rFonts w:hint="eastAsia"/>
          <w:highlight w:val="none"/>
          <w:lang w:val="zh-CN" w:eastAsia="zh-CN"/>
        </w:rPr>
        <w:t>财务管理制度合法、合规、完整得</w:t>
      </w:r>
      <w:r>
        <w:rPr>
          <w:rFonts w:hint="eastAsia"/>
          <w:highlight w:val="none"/>
          <w:lang w:val="en-US" w:eastAsia="zh-CN"/>
        </w:rPr>
        <w:t>1分；业务管理制度合法、合规、完整得1分”，本项指标得2</w:t>
      </w:r>
      <w:r>
        <w:rPr>
          <w:rFonts w:hint="eastAsia"/>
          <w:highlight w:val="none"/>
        </w:rPr>
        <w:t>分。</w:t>
      </w:r>
    </w:p>
    <w:p>
      <w:pPr>
        <w:spacing w:line="580" w:lineRule="exact"/>
        <w:ind w:firstLine="640"/>
        <w:rPr>
          <w:highlight w:val="none"/>
        </w:rPr>
      </w:pPr>
      <w:r>
        <w:rPr>
          <w:rFonts w:hint="eastAsia"/>
          <w:highlight w:val="none"/>
        </w:rPr>
        <w:t>（2）制度执行有效性（指标分值4分，得分</w:t>
      </w:r>
      <w:r>
        <w:rPr>
          <w:rFonts w:hint="eastAsia"/>
          <w:highlight w:val="none"/>
          <w:lang w:val="en-US" w:eastAsia="zh-CN"/>
        </w:rPr>
        <w:t>0</w:t>
      </w:r>
      <w:r>
        <w:rPr>
          <w:rFonts w:hint="eastAsia"/>
          <w:highlight w:val="none"/>
        </w:rPr>
        <w:t>分）</w:t>
      </w:r>
    </w:p>
    <w:p>
      <w:pPr>
        <w:spacing w:line="580" w:lineRule="exact"/>
        <w:ind w:firstLine="640"/>
        <w:rPr>
          <w:rFonts w:hint="eastAsia" w:eastAsia="仿宋_GB2312"/>
          <w:highlight w:val="none"/>
          <w:lang w:eastAsia="zh-CN"/>
        </w:rPr>
      </w:pPr>
      <w:r>
        <w:rPr>
          <w:rFonts w:hint="eastAsia"/>
          <w:highlight w:val="none"/>
          <w:lang w:val="en-US" w:eastAsia="zh-CN"/>
        </w:rPr>
        <w:t>根据现场调研，按照《关于实施枣庄英才集聚工程的意见》要求，主管部门需要对项目进行动态管理，人选公布后超过3个月未开展工作，评估后需取消人才称号，停止其相关待遇，按规定回收所拨付的资金。项目2021年公布人选，2022年8月份拨付资金，截止到2022年12月底枣庄八度阳光能源科技有限公司的签约项目仍未按合同要求落地，相当于未进行动态管理，制度执行不到位。枣庄英才计划项目的实施</w:t>
      </w:r>
      <w:r>
        <w:rPr>
          <w:rFonts w:hint="eastAsia"/>
          <w:highlight w:val="none"/>
          <w:lang w:val="zh-CN" w:eastAsia="zh-CN"/>
        </w:rPr>
        <w:t>遵守相关法律法规和相关管理规定，</w:t>
      </w:r>
      <w:r>
        <w:rPr>
          <w:rFonts w:hint="eastAsia"/>
          <w:highlight w:val="none"/>
          <w:lang w:val="en-US" w:eastAsia="zh-CN"/>
        </w:rPr>
        <w:t>但</w:t>
      </w:r>
      <w:r>
        <w:rPr>
          <w:rFonts w:hint="eastAsia"/>
          <w:highlight w:val="none"/>
        </w:rPr>
        <w:t>由于更换系统，</w:t>
      </w:r>
      <w:r>
        <w:rPr>
          <w:rFonts w:hint="eastAsia"/>
          <w:highlight w:val="none"/>
          <w:lang w:val="en-US" w:eastAsia="zh-CN"/>
        </w:rPr>
        <w:t>党群工作部对该项目实施过程的部分资料未及时归档，造成</w:t>
      </w:r>
      <w:r>
        <w:rPr>
          <w:rFonts w:hint="eastAsia"/>
          <w:highlight w:val="none"/>
        </w:rPr>
        <w:t>审核资料</w:t>
      </w:r>
      <w:r>
        <w:rPr>
          <w:rFonts w:hint="eastAsia"/>
          <w:highlight w:val="none"/>
          <w:lang w:val="en-US" w:eastAsia="zh-CN"/>
        </w:rPr>
        <w:t>的</w:t>
      </w:r>
      <w:r>
        <w:rPr>
          <w:rFonts w:hint="eastAsia"/>
          <w:highlight w:val="none"/>
        </w:rPr>
        <w:t>丢失，无法体现其审核流程。根据评价标准，本项指标得分为</w:t>
      </w:r>
      <w:r>
        <w:rPr>
          <w:rFonts w:hint="eastAsia"/>
          <w:highlight w:val="none"/>
          <w:lang w:val="en-US" w:eastAsia="zh-CN"/>
        </w:rPr>
        <w:t>0</w:t>
      </w:r>
      <w:r>
        <w:rPr>
          <w:rFonts w:hint="eastAsia"/>
          <w:highlight w:val="none"/>
        </w:rPr>
        <w:t>分。</w:t>
      </w:r>
    </w:p>
    <w:p>
      <w:pPr>
        <w:pStyle w:val="8"/>
        <w:spacing w:line="580" w:lineRule="exact"/>
        <w:ind w:firstLine="605"/>
        <w:rPr>
          <w:highlight w:val="none"/>
        </w:rPr>
      </w:pPr>
      <w:bookmarkStart w:id="402" w:name="_Toc13154"/>
      <w:r>
        <w:rPr>
          <w:rFonts w:hint="eastAsia"/>
          <w:highlight w:val="none"/>
        </w:rPr>
        <w:t>（三）项目产出情况</w:t>
      </w:r>
      <w:bookmarkEnd w:id="402"/>
    </w:p>
    <w:p>
      <w:pPr>
        <w:pStyle w:val="9"/>
        <w:spacing w:line="580" w:lineRule="exact"/>
        <w:ind w:firstLine="640"/>
        <w:rPr>
          <w:highlight w:val="none"/>
        </w:rPr>
      </w:pPr>
      <w:bookmarkStart w:id="403" w:name="_Toc46747333"/>
      <w:bookmarkStart w:id="404" w:name="_Toc81994040"/>
      <w:bookmarkStart w:id="405" w:name="_Toc83377063"/>
      <w:bookmarkStart w:id="406" w:name="_Toc52121523"/>
      <w:bookmarkStart w:id="407" w:name="_Toc120282179"/>
      <w:bookmarkStart w:id="408" w:name="_Toc119629961"/>
      <w:bookmarkStart w:id="409" w:name="_Toc49278625"/>
      <w:bookmarkStart w:id="410" w:name="_Toc51683711"/>
      <w:bookmarkStart w:id="411" w:name="_Toc6575"/>
      <w:bookmarkStart w:id="412" w:name="_Toc21099"/>
      <w:bookmarkStart w:id="413" w:name="_Toc52275153"/>
      <w:bookmarkStart w:id="414" w:name="_Toc14487"/>
      <w:bookmarkStart w:id="415" w:name="_Toc120281598"/>
      <w:r>
        <w:rPr>
          <w:rFonts w:hint="eastAsia"/>
          <w:highlight w:val="none"/>
        </w:rPr>
        <w:t>1.产出数量（指标分值</w:t>
      </w:r>
      <w:r>
        <w:rPr>
          <w:rFonts w:hint="eastAsia"/>
          <w:highlight w:val="none"/>
          <w:lang w:val="en-US" w:eastAsia="zh-CN"/>
        </w:rPr>
        <w:t>10</w:t>
      </w:r>
      <w:r>
        <w:rPr>
          <w:rFonts w:hint="eastAsia"/>
          <w:highlight w:val="none"/>
        </w:rPr>
        <w:t>分，得分</w:t>
      </w:r>
      <w:r>
        <w:rPr>
          <w:rFonts w:hint="eastAsia"/>
          <w:highlight w:val="none"/>
          <w:lang w:val="en-US" w:eastAsia="zh-CN"/>
        </w:rPr>
        <w:t>10</w:t>
      </w:r>
      <w:r>
        <w:rPr>
          <w:rFonts w:hint="eastAsia"/>
          <w:highlight w:val="none"/>
        </w:rPr>
        <w:t>分）</w:t>
      </w:r>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580" w:lineRule="exact"/>
        <w:ind w:firstLine="640"/>
        <w:rPr>
          <w:rFonts w:hint="eastAsia"/>
          <w:highlight w:val="none"/>
        </w:rPr>
      </w:pPr>
      <w:r>
        <w:rPr>
          <w:rFonts w:hint="eastAsia"/>
          <w:highlight w:val="none"/>
        </w:rPr>
        <w:t>此指标主要考核项目实施中主要工作的实际产出情况；包括</w:t>
      </w:r>
      <w:r>
        <w:rPr>
          <w:rFonts w:hint="eastAsia"/>
          <w:highlight w:val="none"/>
          <w:lang w:val="en-US" w:eastAsia="zh-CN"/>
        </w:rPr>
        <w:t>枣庄英才奖补科技创业类企业数量</w:t>
      </w:r>
      <w:r>
        <w:rPr>
          <w:rFonts w:hint="eastAsia"/>
          <w:highlight w:val="none"/>
        </w:rPr>
        <w:t>、枣庄英才奖补产业创新类企业数量2个三级指标。</w:t>
      </w:r>
    </w:p>
    <w:p>
      <w:pPr>
        <w:spacing w:line="580" w:lineRule="exact"/>
        <w:ind w:firstLine="640"/>
        <w:rPr>
          <w:highlight w:val="none"/>
        </w:rPr>
      </w:pPr>
      <w:r>
        <w:rPr>
          <w:rFonts w:hint="eastAsia"/>
          <w:highlight w:val="none"/>
        </w:rPr>
        <w:t>（1）</w:t>
      </w:r>
      <w:r>
        <w:rPr>
          <w:rFonts w:hint="eastAsia"/>
          <w:highlight w:val="none"/>
          <w:lang w:val="en-US" w:eastAsia="zh-CN"/>
        </w:rPr>
        <w:t>枣庄英才奖补科技创业类企业数量</w:t>
      </w:r>
      <w:r>
        <w:rPr>
          <w:rFonts w:hint="eastAsia"/>
          <w:highlight w:val="none"/>
        </w:rPr>
        <w:t>（指标分值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p>
    <w:p>
      <w:pPr>
        <w:spacing w:line="580" w:lineRule="exact"/>
        <w:ind w:firstLine="640"/>
        <w:rPr>
          <w:highlight w:val="none"/>
        </w:rPr>
      </w:pPr>
      <w:r>
        <w:rPr>
          <w:rFonts w:hint="eastAsia"/>
          <w:highlight w:val="none"/>
        </w:rPr>
        <w:t>根据</w:t>
      </w:r>
      <w:r>
        <w:rPr>
          <w:rFonts w:hint="eastAsia"/>
          <w:highlight w:val="none"/>
          <w:lang w:val="en-US" w:eastAsia="zh-CN"/>
        </w:rPr>
        <w:t>现场调研</w:t>
      </w:r>
      <w:r>
        <w:rPr>
          <w:rFonts w:hint="eastAsia"/>
          <w:highlight w:val="none"/>
        </w:rPr>
        <w:t>及</w:t>
      </w:r>
      <w:r>
        <w:rPr>
          <w:rFonts w:hint="eastAsia"/>
          <w:highlight w:val="none"/>
          <w:lang w:val="en-US" w:eastAsia="zh-CN"/>
        </w:rPr>
        <w:t>对获奖补企业的走访调研</w:t>
      </w:r>
      <w:r>
        <w:rPr>
          <w:rFonts w:hint="eastAsia"/>
          <w:highlight w:val="none"/>
        </w:rPr>
        <w:t>，</w:t>
      </w:r>
      <w:r>
        <w:rPr>
          <w:rFonts w:hint="eastAsia"/>
          <w:highlight w:val="none"/>
          <w:lang w:val="en-US" w:eastAsia="zh-CN"/>
        </w:rPr>
        <w:t>已</w:t>
      </w:r>
      <w:r>
        <w:rPr>
          <w:rFonts w:hint="eastAsia"/>
          <w:highlight w:val="none"/>
        </w:rPr>
        <w:t>完成枣庄英才奖补科技创业类企业数量</w:t>
      </w:r>
      <w:r>
        <w:rPr>
          <w:rFonts w:hint="eastAsia"/>
          <w:highlight w:val="none"/>
          <w:lang w:val="en-US" w:eastAsia="zh-CN"/>
        </w:rPr>
        <w:t>2</w:t>
      </w:r>
      <w:r>
        <w:rPr>
          <w:rFonts w:hint="eastAsia"/>
          <w:highlight w:val="none"/>
        </w:rPr>
        <w:t>个</w:t>
      </w:r>
      <w:r>
        <w:rPr>
          <w:highlight w:val="none"/>
        </w:rPr>
        <w:t>，</w:t>
      </w:r>
      <w:r>
        <w:rPr>
          <w:rFonts w:hint="eastAsia"/>
          <w:highlight w:val="none"/>
          <w:lang w:val="en-US" w:eastAsia="zh-CN"/>
        </w:rPr>
        <w:t>即山东天瀚新能源科技有限公司、山东当康文化传播有限公司。</w:t>
      </w:r>
      <w:r>
        <w:rPr>
          <w:rFonts w:hint="eastAsia"/>
          <w:highlight w:val="none"/>
        </w:rPr>
        <w:t>根据评价标准“完成枣庄英才奖补科技创业类企业数量</w:t>
      </w:r>
      <w:r>
        <w:rPr>
          <w:rFonts w:hint="eastAsia"/>
          <w:highlight w:val="none"/>
          <w:lang w:val="en-US" w:eastAsia="zh-CN"/>
        </w:rPr>
        <w:t>2</w:t>
      </w:r>
      <w:r>
        <w:rPr>
          <w:rFonts w:hint="eastAsia"/>
          <w:highlight w:val="none"/>
        </w:rPr>
        <w:t>个，得满分，少一个企业扣</w:t>
      </w:r>
      <w:r>
        <w:rPr>
          <w:rFonts w:hint="eastAsia"/>
          <w:highlight w:val="none"/>
          <w:lang w:val="en-US" w:eastAsia="zh-CN"/>
        </w:rPr>
        <w:t>2.</w:t>
      </w:r>
      <w:r>
        <w:rPr>
          <w:rFonts w:hint="eastAsia"/>
          <w:highlight w:val="none"/>
        </w:rPr>
        <w:t>5分</w:t>
      </w:r>
      <w:r>
        <w:rPr>
          <w:highlight w:val="none"/>
        </w:rPr>
        <w:t>”</w:t>
      </w:r>
      <w:r>
        <w:rPr>
          <w:rFonts w:hint="eastAsia"/>
          <w:highlight w:val="none"/>
        </w:rPr>
        <w:t>，此指标评价得分为</w:t>
      </w:r>
      <w:r>
        <w:rPr>
          <w:rFonts w:hint="eastAsia"/>
          <w:highlight w:val="none"/>
          <w:lang w:val="en-US" w:eastAsia="zh-CN"/>
        </w:rPr>
        <w:t>5</w:t>
      </w:r>
      <w:r>
        <w:rPr>
          <w:rFonts w:hint="eastAsia"/>
          <w:highlight w:val="none"/>
        </w:rPr>
        <w:t>分。</w:t>
      </w:r>
    </w:p>
    <w:p>
      <w:pPr>
        <w:spacing w:line="580" w:lineRule="exact"/>
        <w:ind w:firstLine="640"/>
        <w:rPr>
          <w:highlight w:val="none"/>
        </w:rPr>
      </w:pPr>
      <w:r>
        <w:rPr>
          <w:rFonts w:hint="eastAsia"/>
          <w:highlight w:val="none"/>
        </w:rPr>
        <w:t>（2）</w:t>
      </w:r>
      <w:r>
        <w:rPr>
          <w:rFonts w:hint="eastAsia"/>
          <w:highlight w:val="none"/>
          <w:lang w:val="en-US" w:eastAsia="zh-CN"/>
        </w:rPr>
        <w:t>枣庄英才奖补</w:t>
      </w:r>
      <w:r>
        <w:rPr>
          <w:rFonts w:hint="eastAsia"/>
          <w:highlight w:val="none"/>
        </w:rPr>
        <w:t>产业创新类</w:t>
      </w:r>
      <w:r>
        <w:rPr>
          <w:rFonts w:hint="eastAsia"/>
          <w:highlight w:val="none"/>
          <w:lang w:val="en-US" w:eastAsia="zh-CN"/>
        </w:rPr>
        <w:t>企业数量</w:t>
      </w:r>
      <w:r>
        <w:rPr>
          <w:rFonts w:hint="eastAsia"/>
          <w:highlight w:val="none"/>
        </w:rPr>
        <w:t>（指标分值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p>
    <w:p>
      <w:pPr>
        <w:spacing w:line="580" w:lineRule="exact"/>
        <w:ind w:firstLine="640"/>
        <w:rPr>
          <w:highlight w:val="none"/>
        </w:rPr>
      </w:pPr>
      <w:bookmarkStart w:id="416" w:name="_Toc81994041"/>
      <w:bookmarkStart w:id="417" w:name="_Toc52275154"/>
      <w:bookmarkStart w:id="418" w:name="_Toc120282180"/>
      <w:bookmarkStart w:id="419" w:name="_Toc120281599"/>
      <w:bookmarkStart w:id="420" w:name="_Toc46747334"/>
      <w:bookmarkStart w:id="421" w:name="_Toc15366"/>
      <w:bookmarkStart w:id="422" w:name="_Toc119629962"/>
      <w:bookmarkStart w:id="423" w:name="_Toc51683712"/>
      <w:bookmarkStart w:id="424" w:name="_Toc49278626"/>
      <w:bookmarkStart w:id="425" w:name="_Toc8965"/>
      <w:bookmarkStart w:id="426" w:name="_Toc29419"/>
      <w:bookmarkStart w:id="427" w:name="_Toc52121524"/>
      <w:bookmarkStart w:id="428" w:name="_Toc83377064"/>
      <w:r>
        <w:rPr>
          <w:rFonts w:hint="eastAsia"/>
          <w:highlight w:val="none"/>
        </w:rPr>
        <w:t>根据</w:t>
      </w:r>
      <w:r>
        <w:rPr>
          <w:rFonts w:hint="eastAsia"/>
          <w:highlight w:val="none"/>
          <w:lang w:val="en-US" w:eastAsia="zh-CN"/>
        </w:rPr>
        <w:t>现场调研</w:t>
      </w:r>
      <w:r>
        <w:rPr>
          <w:rFonts w:hint="eastAsia"/>
          <w:highlight w:val="none"/>
        </w:rPr>
        <w:t>及</w:t>
      </w:r>
      <w:r>
        <w:rPr>
          <w:rFonts w:hint="eastAsia"/>
          <w:highlight w:val="none"/>
          <w:lang w:val="en-US" w:eastAsia="zh-CN"/>
        </w:rPr>
        <w:t>对获奖补企业的走访调研</w:t>
      </w:r>
      <w:r>
        <w:rPr>
          <w:rFonts w:hint="eastAsia"/>
          <w:highlight w:val="none"/>
        </w:rPr>
        <w:t>，</w:t>
      </w:r>
      <w:r>
        <w:rPr>
          <w:rFonts w:hint="eastAsia"/>
          <w:highlight w:val="none"/>
          <w:lang w:val="en-US" w:eastAsia="zh-CN"/>
        </w:rPr>
        <w:t>已</w:t>
      </w:r>
      <w:r>
        <w:rPr>
          <w:rFonts w:hint="eastAsia"/>
          <w:highlight w:val="none"/>
        </w:rPr>
        <w:t>完成</w:t>
      </w:r>
      <w:r>
        <w:rPr>
          <w:rFonts w:hint="eastAsia"/>
          <w:highlight w:val="none"/>
          <w:lang w:val="en-US" w:eastAsia="zh-CN"/>
        </w:rPr>
        <w:t>枣庄英才奖补</w:t>
      </w:r>
      <w:r>
        <w:rPr>
          <w:rFonts w:hint="eastAsia"/>
          <w:highlight w:val="none"/>
        </w:rPr>
        <w:t>产业创新类</w:t>
      </w:r>
      <w:r>
        <w:rPr>
          <w:rFonts w:hint="eastAsia"/>
          <w:highlight w:val="none"/>
          <w:lang w:val="en-US" w:eastAsia="zh-CN"/>
        </w:rPr>
        <w:t>企业数量1</w:t>
      </w:r>
      <w:r>
        <w:rPr>
          <w:rFonts w:hint="eastAsia"/>
          <w:highlight w:val="none"/>
        </w:rPr>
        <w:t>个</w:t>
      </w:r>
      <w:r>
        <w:rPr>
          <w:highlight w:val="none"/>
        </w:rPr>
        <w:t>，</w:t>
      </w:r>
      <w:r>
        <w:rPr>
          <w:rFonts w:hint="eastAsia"/>
          <w:highlight w:val="none"/>
          <w:lang w:val="en-US" w:eastAsia="zh-CN"/>
        </w:rPr>
        <w:t>即枣庄八度阳光新能源科技有限公司。</w:t>
      </w:r>
      <w:r>
        <w:rPr>
          <w:rFonts w:hint="eastAsia"/>
          <w:highlight w:val="none"/>
        </w:rPr>
        <w:t>根据评价标准“完成枣庄英才奖补产业创新类企业数量</w:t>
      </w:r>
      <w:r>
        <w:rPr>
          <w:rFonts w:hint="eastAsia"/>
          <w:highlight w:val="none"/>
          <w:lang w:val="en-US" w:eastAsia="zh-CN"/>
        </w:rPr>
        <w:t>1</w:t>
      </w:r>
      <w:r>
        <w:rPr>
          <w:rFonts w:hint="eastAsia"/>
          <w:highlight w:val="none"/>
        </w:rPr>
        <w:t>个，得满分，少一个企业扣</w:t>
      </w:r>
      <w:r>
        <w:rPr>
          <w:rFonts w:hint="eastAsia"/>
          <w:highlight w:val="none"/>
          <w:lang w:val="en-US" w:eastAsia="zh-CN"/>
        </w:rPr>
        <w:t>5</w:t>
      </w:r>
      <w:r>
        <w:rPr>
          <w:rFonts w:hint="eastAsia"/>
          <w:highlight w:val="none"/>
        </w:rPr>
        <w:t>分。</w:t>
      </w:r>
      <w:r>
        <w:rPr>
          <w:highlight w:val="none"/>
        </w:rPr>
        <w:t>”</w:t>
      </w:r>
      <w:r>
        <w:rPr>
          <w:rFonts w:hint="eastAsia"/>
          <w:highlight w:val="none"/>
        </w:rPr>
        <w:t>，此指标评价得分为</w:t>
      </w:r>
      <w:r>
        <w:rPr>
          <w:rFonts w:hint="eastAsia"/>
          <w:highlight w:val="none"/>
          <w:lang w:val="en-US" w:eastAsia="zh-CN"/>
        </w:rPr>
        <w:t>5</w:t>
      </w:r>
      <w:r>
        <w:rPr>
          <w:rFonts w:hint="eastAsia"/>
          <w:highlight w:val="none"/>
        </w:rPr>
        <w:t>分。</w:t>
      </w:r>
    </w:p>
    <w:p>
      <w:pPr>
        <w:pStyle w:val="9"/>
        <w:spacing w:line="580" w:lineRule="exact"/>
        <w:ind w:firstLine="640"/>
        <w:rPr>
          <w:highlight w:val="none"/>
        </w:rPr>
      </w:pPr>
      <w:r>
        <w:rPr>
          <w:rFonts w:hint="eastAsia"/>
          <w:highlight w:val="none"/>
        </w:rPr>
        <w:t>2.产出质量（指标分值</w:t>
      </w:r>
      <w:r>
        <w:rPr>
          <w:rFonts w:hint="eastAsia"/>
          <w:highlight w:val="none"/>
          <w:lang w:val="en-US" w:eastAsia="zh-CN"/>
        </w:rPr>
        <w:t>10</w:t>
      </w:r>
      <w:r>
        <w:rPr>
          <w:rFonts w:hint="eastAsia"/>
          <w:highlight w:val="none"/>
        </w:rPr>
        <w:t>分，得分</w:t>
      </w:r>
      <w:r>
        <w:rPr>
          <w:rFonts w:hint="eastAsia"/>
          <w:highlight w:val="none"/>
          <w:lang w:val="en-US" w:eastAsia="zh-CN"/>
        </w:rPr>
        <w:t>10</w:t>
      </w:r>
      <w:r>
        <w:rPr>
          <w:rFonts w:hint="eastAsia"/>
          <w:highlight w:val="none"/>
        </w:rPr>
        <w:t>分）</w:t>
      </w:r>
      <w:bookmarkEnd w:id="416"/>
      <w:bookmarkEnd w:id="417"/>
      <w:bookmarkEnd w:id="418"/>
      <w:bookmarkEnd w:id="419"/>
      <w:bookmarkEnd w:id="420"/>
      <w:bookmarkEnd w:id="421"/>
      <w:bookmarkEnd w:id="422"/>
      <w:bookmarkEnd w:id="423"/>
      <w:bookmarkEnd w:id="424"/>
      <w:bookmarkEnd w:id="425"/>
      <w:bookmarkEnd w:id="426"/>
      <w:bookmarkEnd w:id="427"/>
      <w:bookmarkEnd w:id="428"/>
    </w:p>
    <w:p>
      <w:pPr>
        <w:spacing w:line="580" w:lineRule="exact"/>
        <w:ind w:firstLine="640"/>
        <w:rPr>
          <w:highlight w:val="none"/>
        </w:rPr>
      </w:pPr>
      <w:r>
        <w:rPr>
          <w:rFonts w:hint="eastAsia"/>
          <w:highlight w:val="none"/>
        </w:rPr>
        <w:t>（1）科技创业类获奖补企业资格符合率（指标分值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p>
    <w:p>
      <w:pPr>
        <w:spacing w:line="580" w:lineRule="exact"/>
        <w:ind w:firstLine="640"/>
        <w:rPr>
          <w:rFonts w:hint="eastAsia"/>
          <w:highlight w:val="none"/>
        </w:rPr>
      </w:pPr>
      <w:r>
        <w:rPr>
          <w:rFonts w:hint="eastAsia"/>
          <w:highlight w:val="none"/>
        </w:rPr>
        <w:t>通过与项目工作组座谈、现场调研及查阅资料，《关于实施枣庄英才集聚工程的意见》</w:t>
      </w:r>
      <w:r>
        <w:rPr>
          <w:rFonts w:hint="eastAsia"/>
          <w:highlight w:val="none"/>
          <w:lang w:val="en-US" w:eastAsia="zh-CN"/>
        </w:rPr>
        <w:t>规定，英才计划</w:t>
      </w:r>
      <w:r>
        <w:rPr>
          <w:rFonts w:hint="eastAsia"/>
          <w:highlight w:val="none"/>
        </w:rPr>
        <w:t>科技创业类获奖补</w:t>
      </w:r>
      <w:r>
        <w:rPr>
          <w:rFonts w:hint="eastAsia"/>
          <w:highlight w:val="none"/>
          <w:lang w:val="en-US" w:eastAsia="zh-CN"/>
        </w:rPr>
        <w:t>企业标准条件：创业人才的核心技术拥有自主知识产权，有海内外创业经验或知名企业中、高级职位管理经验，是创业企业的主要创办人之一，团队结构合理，合作紧密，符合</w:t>
      </w:r>
      <w:r>
        <w:rPr>
          <w:rFonts w:hint="eastAsia"/>
          <w:highlight w:val="none"/>
          <w:lang w:val="en-US" w:eastAsia="zh-CN"/>
        </w:rPr>
        <w:t>枣庄市</w:t>
      </w:r>
      <w:r>
        <w:rPr>
          <w:rFonts w:hint="eastAsia"/>
          <w:highlight w:val="none"/>
          <w:lang w:val="en-US" w:eastAsia="zh-CN"/>
        </w:rPr>
        <w:t>重点产业发展战略，能够填补省内空白或引领市内相关产业发展，技术成熟并已进入开发阶段，有明确的产品线和市场目标，具有较好的经营业绩和成长性。通过查看枣庄八度阳光的申报书，资料齐全，符合条件</w:t>
      </w:r>
      <w:r>
        <w:rPr>
          <w:rFonts w:hint="eastAsia"/>
          <w:highlight w:val="none"/>
        </w:rPr>
        <w:t>。因此本项指标得分</w:t>
      </w:r>
      <w:r>
        <w:rPr>
          <w:rFonts w:hint="eastAsia"/>
          <w:highlight w:val="none"/>
          <w:lang w:val="en-US" w:eastAsia="zh-CN"/>
        </w:rPr>
        <w:t>5</w:t>
      </w:r>
      <w:r>
        <w:rPr>
          <w:rFonts w:hint="eastAsia"/>
          <w:highlight w:val="none"/>
        </w:rPr>
        <w:t>分。</w:t>
      </w:r>
    </w:p>
    <w:p>
      <w:pPr>
        <w:spacing w:line="580" w:lineRule="exact"/>
        <w:ind w:firstLine="640"/>
        <w:rPr>
          <w:highlight w:val="none"/>
        </w:rPr>
      </w:pPr>
      <w:r>
        <w:rPr>
          <w:rFonts w:hint="eastAsia"/>
          <w:highlight w:val="none"/>
        </w:rPr>
        <w:t>（</w:t>
      </w:r>
      <w:r>
        <w:rPr>
          <w:rFonts w:hint="eastAsia"/>
          <w:highlight w:val="none"/>
          <w:lang w:val="en-US" w:eastAsia="zh-CN"/>
        </w:rPr>
        <w:t>2</w:t>
      </w:r>
      <w:r>
        <w:rPr>
          <w:rFonts w:hint="eastAsia"/>
          <w:highlight w:val="none"/>
        </w:rPr>
        <w:t>）产业创新类获奖补企业资格符合率（指标分值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p>
    <w:p>
      <w:pPr>
        <w:spacing w:line="580" w:lineRule="exact"/>
        <w:ind w:firstLine="640"/>
        <w:rPr>
          <w:rFonts w:hint="eastAsia"/>
          <w:highlight w:val="none"/>
        </w:rPr>
      </w:pPr>
      <w:r>
        <w:rPr>
          <w:rFonts w:hint="eastAsia"/>
          <w:highlight w:val="none"/>
        </w:rPr>
        <w:t>通过与项目工作组座谈、现场调研及查阅资料，《关于实施枣庄英才集聚工程的意见》</w:t>
      </w:r>
      <w:r>
        <w:rPr>
          <w:rFonts w:hint="eastAsia"/>
          <w:highlight w:val="none"/>
          <w:lang w:val="en-US" w:eastAsia="zh-CN"/>
        </w:rPr>
        <w:t>规定，英才计划</w:t>
      </w:r>
      <w:r>
        <w:rPr>
          <w:rFonts w:hint="eastAsia"/>
          <w:highlight w:val="none"/>
        </w:rPr>
        <w:t>产业创新类获奖补</w:t>
      </w:r>
      <w:r>
        <w:rPr>
          <w:rFonts w:hint="eastAsia"/>
          <w:highlight w:val="none"/>
          <w:lang w:val="en-US" w:eastAsia="zh-CN"/>
        </w:rPr>
        <w:t>企业标准条件：领军人才产业创新业绩显著或有较大创新潜力，主持重大产业技术开发、成果转化及产业化项目，或领衔高层次产业创新团队，或领导省级以上工程(技术)研究中心、企业重点实验室、企业技术中心等产业创新平台，团队结构合理，合作紧密，其技术研发方向处于国内产业发展前沿，研发成果处于省内外同行业领先或先进水平，成果产业化有明确的技术路线图，</w:t>
      </w:r>
      <w:r>
        <w:rPr>
          <w:rFonts w:hint="eastAsia"/>
          <w:highlight w:val="none"/>
          <w:lang w:val="en-US" w:eastAsia="zh-CN"/>
        </w:rPr>
        <w:t>是枣庄产业发展急需紧缺的，或能填补市内技术空白领域、较大程度推动枣庄相关产业技术创新，能取得显著的经济社会生态效益。通</w:t>
      </w:r>
      <w:r>
        <w:rPr>
          <w:rFonts w:hint="eastAsia"/>
          <w:highlight w:val="none"/>
          <w:lang w:val="en-US" w:eastAsia="zh-CN"/>
        </w:rPr>
        <w:t>过查看山东当康文化和山东天瀚新能源的申报书，资料齐全，符合条件</w:t>
      </w:r>
      <w:r>
        <w:rPr>
          <w:rFonts w:hint="eastAsia"/>
          <w:highlight w:val="none"/>
        </w:rPr>
        <w:t>。因此本项指标得分</w:t>
      </w:r>
      <w:r>
        <w:rPr>
          <w:rFonts w:hint="eastAsia"/>
          <w:highlight w:val="none"/>
          <w:lang w:val="en-US" w:eastAsia="zh-CN"/>
        </w:rPr>
        <w:t>5</w:t>
      </w:r>
      <w:r>
        <w:rPr>
          <w:rFonts w:hint="eastAsia"/>
          <w:highlight w:val="none"/>
        </w:rPr>
        <w:t>分。</w:t>
      </w:r>
    </w:p>
    <w:p>
      <w:pPr>
        <w:pStyle w:val="9"/>
        <w:spacing w:line="580" w:lineRule="exact"/>
        <w:ind w:firstLine="640"/>
        <w:rPr>
          <w:highlight w:val="none"/>
        </w:rPr>
      </w:pPr>
      <w:bookmarkStart w:id="429" w:name="_Toc119629963"/>
      <w:bookmarkStart w:id="430" w:name="_Toc52275155"/>
      <w:bookmarkStart w:id="431" w:name="_Toc120281600"/>
      <w:bookmarkStart w:id="432" w:name="_Toc120282181"/>
      <w:bookmarkStart w:id="433" w:name="_Toc83377065"/>
      <w:bookmarkStart w:id="434" w:name="_Toc52121525"/>
      <w:bookmarkStart w:id="435" w:name="_Toc51683713"/>
      <w:bookmarkStart w:id="436" w:name="_Toc15540"/>
      <w:bookmarkStart w:id="437" w:name="_Toc46747335"/>
      <w:bookmarkStart w:id="438" w:name="_Toc27454"/>
      <w:bookmarkStart w:id="439" w:name="_Toc2344"/>
      <w:bookmarkStart w:id="440" w:name="_Toc49278627"/>
      <w:bookmarkStart w:id="441" w:name="_Toc81994042"/>
      <w:r>
        <w:rPr>
          <w:rFonts w:hint="eastAsia"/>
          <w:highlight w:val="none"/>
        </w:rPr>
        <w:t>3.产出时效（指标分值</w:t>
      </w:r>
      <w:r>
        <w:rPr>
          <w:rFonts w:hint="eastAsia"/>
          <w:highlight w:val="none"/>
          <w:lang w:val="en-US" w:eastAsia="zh-CN"/>
        </w:rPr>
        <w:t>4</w:t>
      </w:r>
      <w:r>
        <w:rPr>
          <w:rFonts w:hint="eastAsia"/>
          <w:highlight w:val="none"/>
        </w:rPr>
        <w:t>分，得分</w:t>
      </w:r>
      <w:r>
        <w:rPr>
          <w:rFonts w:hint="eastAsia"/>
          <w:highlight w:val="none"/>
          <w:lang w:val="en-US" w:eastAsia="zh-CN"/>
        </w:rPr>
        <w:t>4</w:t>
      </w:r>
      <w:r>
        <w:rPr>
          <w:rFonts w:hint="eastAsia"/>
          <w:highlight w:val="none"/>
        </w:rPr>
        <w:t>分）</w:t>
      </w:r>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580" w:lineRule="exact"/>
        <w:ind w:firstLine="640"/>
        <w:rPr>
          <w:highlight w:val="none"/>
        </w:rPr>
      </w:pPr>
      <w:r>
        <w:rPr>
          <w:rFonts w:hint="eastAsia"/>
          <w:highlight w:val="none"/>
        </w:rPr>
        <w:t>奖补资金发放及时率（指标分值</w:t>
      </w:r>
      <w:r>
        <w:rPr>
          <w:rFonts w:hint="eastAsia"/>
          <w:highlight w:val="none"/>
          <w:lang w:val="en-US" w:eastAsia="zh-CN"/>
        </w:rPr>
        <w:t>4</w:t>
      </w:r>
      <w:r>
        <w:rPr>
          <w:rFonts w:hint="eastAsia"/>
          <w:highlight w:val="none"/>
        </w:rPr>
        <w:t>分，得分</w:t>
      </w:r>
      <w:r>
        <w:rPr>
          <w:rFonts w:hint="eastAsia"/>
          <w:highlight w:val="none"/>
          <w:lang w:val="en-US" w:eastAsia="zh-CN"/>
        </w:rPr>
        <w:t>4</w:t>
      </w:r>
      <w:r>
        <w:rPr>
          <w:rFonts w:hint="eastAsia"/>
          <w:highlight w:val="none"/>
        </w:rPr>
        <w:t>分）</w:t>
      </w:r>
    </w:p>
    <w:p>
      <w:pPr>
        <w:pStyle w:val="9"/>
        <w:spacing w:line="580" w:lineRule="exact"/>
        <w:ind w:firstLine="640"/>
        <w:rPr>
          <w:rFonts w:hint="eastAsia"/>
          <w:highlight w:val="none"/>
        </w:rPr>
      </w:pPr>
      <w:bookmarkStart w:id="442" w:name="_Toc119629964"/>
      <w:bookmarkStart w:id="443" w:name="_Toc120281601"/>
      <w:bookmarkStart w:id="444" w:name="_Toc120282182"/>
      <w:bookmarkStart w:id="445" w:name="_Toc30568"/>
      <w:r>
        <w:rPr>
          <w:rFonts w:hint="eastAsia"/>
          <w:highlight w:val="none"/>
        </w:rPr>
        <w:t>通过与项目工作组座谈、现场调研</w:t>
      </w:r>
      <w:r>
        <w:rPr>
          <w:rFonts w:hint="eastAsia"/>
          <w:highlight w:val="none"/>
          <w:lang w:val="en-US" w:eastAsia="zh-CN"/>
        </w:rPr>
        <w:t>及查看党群工作部支出凭证和三家企业的英才项目资金到账凭证，2022年8月17日，枣庄英才项目资金已全部发放至获奖补企业，</w:t>
      </w:r>
      <w:r>
        <w:rPr>
          <w:rFonts w:hint="eastAsia"/>
          <w:highlight w:val="none"/>
        </w:rPr>
        <w:t>奖补资金发放及时率</w:t>
      </w:r>
      <w:r>
        <w:rPr>
          <w:rFonts w:hint="eastAsia"/>
          <w:highlight w:val="none"/>
          <w:lang w:val="en-US" w:eastAsia="zh-CN"/>
        </w:rPr>
        <w:t>100%，因此，根据评分标准“奖补资金发放及时率100%得满分，否则不得分”，本项</w:t>
      </w:r>
      <w:r>
        <w:rPr>
          <w:rFonts w:hint="eastAsia"/>
          <w:highlight w:val="none"/>
        </w:rPr>
        <w:t>指标得分</w:t>
      </w:r>
      <w:r>
        <w:rPr>
          <w:rFonts w:hint="eastAsia"/>
          <w:highlight w:val="none"/>
          <w:lang w:val="en-US" w:eastAsia="zh-CN"/>
        </w:rPr>
        <w:t>4</w:t>
      </w:r>
      <w:r>
        <w:rPr>
          <w:rFonts w:hint="eastAsia"/>
          <w:highlight w:val="none"/>
        </w:rPr>
        <w:t>分。</w:t>
      </w:r>
      <w:bookmarkEnd w:id="442"/>
      <w:bookmarkEnd w:id="443"/>
      <w:bookmarkEnd w:id="444"/>
      <w:bookmarkStart w:id="446" w:name="_Toc120281602"/>
      <w:bookmarkStart w:id="447" w:name="_Toc120282183"/>
      <w:bookmarkStart w:id="448" w:name="_Toc119629965"/>
    </w:p>
    <w:p>
      <w:pPr>
        <w:pStyle w:val="9"/>
        <w:spacing w:line="580" w:lineRule="exact"/>
        <w:ind w:firstLine="640"/>
        <w:rPr>
          <w:highlight w:val="none"/>
        </w:rPr>
      </w:pPr>
      <w:r>
        <w:rPr>
          <w:rFonts w:hint="eastAsia"/>
          <w:highlight w:val="none"/>
        </w:rPr>
        <w:t>4.产出成本（指标分值6分，得分6分）</w:t>
      </w:r>
      <w:bookmarkEnd w:id="445"/>
      <w:bookmarkEnd w:id="446"/>
      <w:bookmarkEnd w:id="447"/>
      <w:bookmarkEnd w:id="448"/>
    </w:p>
    <w:p>
      <w:pPr>
        <w:spacing w:line="580" w:lineRule="exact"/>
        <w:ind w:firstLine="640"/>
        <w:rPr>
          <w:highlight w:val="none"/>
        </w:rPr>
      </w:pPr>
      <w:r>
        <w:rPr>
          <w:rFonts w:hint="eastAsia"/>
          <w:highlight w:val="none"/>
        </w:rPr>
        <w:t>此指标分主要对项目实施中的成本节约进行考核，分值6分；该二级指标下设枣庄英才奖补资金总成本控制数</w:t>
      </w:r>
      <w:r>
        <w:rPr>
          <w:rFonts w:hint="eastAsia"/>
          <w:highlight w:val="none"/>
          <w:lang w:eastAsia="zh-CN"/>
        </w:rPr>
        <w:t>、科技创业类企业奖补标准、产业创新类企业奖补标准</w:t>
      </w:r>
      <w:r>
        <w:rPr>
          <w:rFonts w:hint="eastAsia"/>
          <w:highlight w:val="none"/>
        </w:rPr>
        <w:t>1个三级指标。</w:t>
      </w:r>
    </w:p>
    <w:p>
      <w:pPr>
        <w:spacing w:line="580" w:lineRule="exact"/>
        <w:ind w:firstLine="640"/>
        <w:rPr>
          <w:highlight w:val="none"/>
        </w:rPr>
      </w:pPr>
      <w:r>
        <w:rPr>
          <w:rFonts w:hint="eastAsia"/>
          <w:highlight w:val="none"/>
        </w:rPr>
        <w:t>（1）枣庄英才奖补资金总成本控制数（指标分值</w:t>
      </w:r>
      <w:r>
        <w:rPr>
          <w:rFonts w:hint="eastAsia"/>
          <w:highlight w:val="none"/>
          <w:lang w:val="en-US" w:eastAsia="zh-CN"/>
        </w:rPr>
        <w:t>3</w:t>
      </w:r>
      <w:r>
        <w:rPr>
          <w:rFonts w:hint="eastAsia"/>
          <w:highlight w:val="none"/>
        </w:rPr>
        <w:t>分，得分</w:t>
      </w:r>
      <w:r>
        <w:rPr>
          <w:rFonts w:hint="eastAsia"/>
          <w:highlight w:val="none"/>
          <w:lang w:val="en-US" w:eastAsia="zh-CN"/>
        </w:rPr>
        <w:t>3</w:t>
      </w:r>
      <w:r>
        <w:rPr>
          <w:rFonts w:hint="eastAsia"/>
          <w:highlight w:val="none"/>
        </w:rPr>
        <w:t>分）</w:t>
      </w:r>
    </w:p>
    <w:p>
      <w:pPr>
        <w:spacing w:line="580" w:lineRule="exact"/>
        <w:ind w:firstLine="640"/>
        <w:rPr>
          <w:rFonts w:hint="eastAsia"/>
          <w:highlight w:val="none"/>
          <w:lang w:val="en-US" w:eastAsia="zh-CN"/>
        </w:rPr>
      </w:pPr>
      <w:r>
        <w:rPr>
          <w:rFonts w:hint="eastAsia"/>
          <w:highlight w:val="none"/>
        </w:rPr>
        <w:t>通过与项目主管</w:t>
      </w:r>
      <w:r>
        <w:rPr>
          <w:rFonts w:hint="eastAsia"/>
          <w:highlight w:val="none"/>
          <w:lang w:val="en-US" w:eastAsia="zh-CN"/>
        </w:rPr>
        <w:t>部门</w:t>
      </w:r>
      <w:r>
        <w:rPr>
          <w:rFonts w:hint="eastAsia"/>
          <w:highlight w:val="none"/>
        </w:rPr>
        <w:t>座谈、现场调研及查阅资料，</w:t>
      </w:r>
      <w:r>
        <w:rPr>
          <w:rFonts w:hint="eastAsia"/>
          <w:highlight w:val="none"/>
          <w:lang w:val="en-US" w:eastAsia="zh-CN"/>
        </w:rPr>
        <w:t>2022年枣庄英才计划项目预算资金为250万元，实际拨付资金250万元，分别为枣庄八度阳光新能源科技有限公司50万元、山东当康文化传播有限公司100万元、山东天瀚新能源科技有限公司100万元，枣庄英才奖补资金总成本为250万元。根据评分标准“枣庄英才奖补资金总成本控制数≤250万元，每多10%，扣1分，扣完为止”，此指标得分为3分。</w:t>
      </w:r>
    </w:p>
    <w:p>
      <w:pPr>
        <w:spacing w:line="580" w:lineRule="exact"/>
        <w:ind w:firstLine="640"/>
        <w:rPr>
          <w:rFonts w:hint="eastAsia"/>
          <w:highlight w:val="none"/>
        </w:rPr>
      </w:pPr>
      <w:r>
        <w:rPr>
          <w:rFonts w:hint="eastAsia"/>
          <w:highlight w:val="none"/>
        </w:rPr>
        <w:t>（1）科技创业类企业奖补标准（指标分值</w:t>
      </w:r>
      <w:r>
        <w:rPr>
          <w:rFonts w:hint="eastAsia"/>
          <w:highlight w:val="none"/>
          <w:lang w:val="en-US" w:eastAsia="zh-CN"/>
        </w:rPr>
        <w:t>2</w:t>
      </w:r>
      <w:r>
        <w:rPr>
          <w:rFonts w:hint="eastAsia"/>
          <w:highlight w:val="none"/>
        </w:rPr>
        <w:t>分，得分</w:t>
      </w:r>
      <w:r>
        <w:rPr>
          <w:rFonts w:hint="eastAsia"/>
          <w:highlight w:val="none"/>
          <w:lang w:val="en-US" w:eastAsia="zh-CN"/>
        </w:rPr>
        <w:t>2</w:t>
      </w:r>
      <w:r>
        <w:rPr>
          <w:rFonts w:hint="eastAsia"/>
          <w:highlight w:val="none"/>
        </w:rPr>
        <w:t>分）</w:t>
      </w:r>
    </w:p>
    <w:p>
      <w:pPr>
        <w:spacing w:line="580" w:lineRule="exact"/>
        <w:ind w:firstLine="640"/>
        <w:rPr>
          <w:rFonts w:hint="eastAsia"/>
          <w:highlight w:val="none"/>
        </w:rPr>
      </w:pPr>
      <w:r>
        <w:rPr>
          <w:rFonts w:hint="eastAsia"/>
          <w:highlight w:val="none"/>
        </w:rPr>
        <w:t>通过与项目主管</w:t>
      </w:r>
      <w:r>
        <w:rPr>
          <w:rFonts w:hint="eastAsia"/>
          <w:highlight w:val="none"/>
          <w:lang w:val="en-US" w:eastAsia="zh-CN"/>
        </w:rPr>
        <w:t>部门</w:t>
      </w:r>
      <w:r>
        <w:rPr>
          <w:rFonts w:hint="eastAsia"/>
          <w:highlight w:val="none"/>
        </w:rPr>
        <w:t>座谈、现场调研及查阅资料，项目实际科技创业类企业奖补标准</w:t>
      </w:r>
      <w:r>
        <w:rPr>
          <w:rFonts w:hint="eastAsia"/>
          <w:highlight w:val="none"/>
          <w:lang w:val="en-US" w:eastAsia="zh-CN"/>
        </w:rPr>
        <w:t>为每个企业50万元，枣庄八度阳光新能源科技有限公司为</w:t>
      </w:r>
      <w:r>
        <w:rPr>
          <w:rFonts w:hint="eastAsia"/>
          <w:highlight w:val="none"/>
        </w:rPr>
        <w:t>科技创业类企业</w:t>
      </w:r>
      <w:r>
        <w:rPr>
          <w:rFonts w:hint="eastAsia"/>
          <w:highlight w:val="none"/>
          <w:lang w:eastAsia="zh-CN"/>
        </w:rPr>
        <w:t>，</w:t>
      </w:r>
      <w:r>
        <w:rPr>
          <w:rFonts w:hint="eastAsia"/>
          <w:highlight w:val="none"/>
          <w:lang w:val="en-US" w:eastAsia="zh-CN"/>
        </w:rPr>
        <w:t>奖补50万元。</w:t>
      </w:r>
      <w:r>
        <w:rPr>
          <w:rFonts w:hint="eastAsia"/>
          <w:highlight w:val="none"/>
        </w:rPr>
        <w:t>根据评分标准</w:t>
      </w:r>
      <w:r>
        <w:rPr>
          <w:rFonts w:hint="eastAsia"/>
          <w:highlight w:val="none"/>
          <w:lang w:eastAsia="zh-CN"/>
        </w:rPr>
        <w:t>“</w:t>
      </w:r>
      <w:r>
        <w:rPr>
          <w:rFonts w:hint="eastAsia"/>
          <w:highlight w:val="none"/>
          <w:lang w:val="en-US" w:eastAsia="zh-CN"/>
        </w:rPr>
        <w:t>枣庄英才科技创业类企业的奖补50-300万元，本项目中的科技创业类企业奖补50万元，不符合奖补标准的不得分”</w:t>
      </w:r>
      <w:r>
        <w:rPr>
          <w:rFonts w:hint="eastAsia"/>
          <w:highlight w:val="none"/>
        </w:rPr>
        <w:t>，此指标得分为</w:t>
      </w:r>
      <w:r>
        <w:rPr>
          <w:rFonts w:hint="eastAsia"/>
          <w:highlight w:val="none"/>
          <w:lang w:val="en-US" w:eastAsia="zh-CN"/>
        </w:rPr>
        <w:t>2</w:t>
      </w:r>
      <w:r>
        <w:rPr>
          <w:rFonts w:hint="eastAsia"/>
          <w:highlight w:val="none"/>
        </w:rPr>
        <w:t>分。</w:t>
      </w:r>
    </w:p>
    <w:p>
      <w:pPr>
        <w:spacing w:line="580" w:lineRule="exact"/>
        <w:ind w:firstLine="640"/>
        <w:rPr>
          <w:highlight w:val="none"/>
        </w:rPr>
      </w:pPr>
      <w:r>
        <w:rPr>
          <w:rFonts w:hint="eastAsia"/>
          <w:highlight w:val="none"/>
        </w:rPr>
        <w:t>（1）产业创新类企业奖补标准（指标分值</w:t>
      </w:r>
      <w:r>
        <w:rPr>
          <w:rFonts w:hint="eastAsia"/>
          <w:highlight w:val="none"/>
          <w:lang w:val="en-US" w:eastAsia="zh-CN"/>
        </w:rPr>
        <w:t>2</w:t>
      </w:r>
      <w:r>
        <w:rPr>
          <w:rFonts w:hint="eastAsia"/>
          <w:highlight w:val="none"/>
        </w:rPr>
        <w:t>分，得分</w:t>
      </w:r>
      <w:r>
        <w:rPr>
          <w:rFonts w:hint="eastAsia"/>
          <w:highlight w:val="none"/>
          <w:lang w:val="en-US" w:eastAsia="zh-CN"/>
        </w:rPr>
        <w:t>2</w:t>
      </w:r>
      <w:r>
        <w:rPr>
          <w:rFonts w:hint="eastAsia"/>
          <w:highlight w:val="none"/>
        </w:rPr>
        <w:t>分）</w:t>
      </w:r>
    </w:p>
    <w:p>
      <w:pPr>
        <w:spacing w:line="580" w:lineRule="exact"/>
        <w:ind w:firstLine="640"/>
        <w:rPr>
          <w:rFonts w:hint="eastAsia"/>
          <w:highlight w:val="none"/>
        </w:rPr>
      </w:pPr>
      <w:r>
        <w:rPr>
          <w:rFonts w:hint="eastAsia"/>
          <w:highlight w:val="none"/>
        </w:rPr>
        <w:t>通过与项目主管</w:t>
      </w:r>
      <w:r>
        <w:rPr>
          <w:rFonts w:hint="eastAsia"/>
          <w:highlight w:val="none"/>
          <w:lang w:val="en-US" w:eastAsia="zh-CN"/>
        </w:rPr>
        <w:t>部门</w:t>
      </w:r>
      <w:r>
        <w:rPr>
          <w:rFonts w:hint="eastAsia"/>
          <w:highlight w:val="none"/>
        </w:rPr>
        <w:t>座谈、现场调研及查阅资料，项目实际产业创新类企业奖补标准</w:t>
      </w:r>
      <w:r>
        <w:rPr>
          <w:rFonts w:hint="eastAsia"/>
          <w:highlight w:val="none"/>
          <w:lang w:val="en-US" w:eastAsia="zh-CN"/>
        </w:rPr>
        <w:t>为每个企业100万元，山东当康文化传播有限公司和山东天瀚新能源科技有限公司为</w:t>
      </w:r>
      <w:r>
        <w:rPr>
          <w:rFonts w:hint="eastAsia"/>
          <w:highlight w:val="none"/>
        </w:rPr>
        <w:t>产业创新类企业</w:t>
      </w:r>
      <w:r>
        <w:rPr>
          <w:rFonts w:hint="eastAsia"/>
          <w:highlight w:val="none"/>
          <w:lang w:eastAsia="zh-CN"/>
        </w:rPr>
        <w:t>，</w:t>
      </w:r>
      <w:r>
        <w:rPr>
          <w:rFonts w:hint="eastAsia"/>
          <w:highlight w:val="none"/>
          <w:lang w:val="en-US" w:eastAsia="zh-CN"/>
        </w:rPr>
        <w:t>分别奖补100万元。</w:t>
      </w:r>
      <w:r>
        <w:rPr>
          <w:rFonts w:hint="eastAsia"/>
          <w:highlight w:val="none"/>
        </w:rPr>
        <w:t>根据评分标准</w:t>
      </w:r>
      <w:r>
        <w:rPr>
          <w:rFonts w:hint="eastAsia"/>
          <w:highlight w:val="none"/>
          <w:lang w:eastAsia="zh-CN"/>
        </w:rPr>
        <w:t>“</w:t>
      </w:r>
      <w:r>
        <w:rPr>
          <w:rFonts w:hint="eastAsia"/>
          <w:highlight w:val="none"/>
          <w:lang w:val="en-US" w:eastAsia="zh-CN"/>
        </w:rPr>
        <w:t>枣庄英才产业创新类企业的奖补50-200万元，本项目中的产业创新类企业奖补100万元/个，共2个企业。不符合奖补标准的不得分”</w:t>
      </w:r>
      <w:r>
        <w:rPr>
          <w:rFonts w:hint="eastAsia"/>
          <w:highlight w:val="none"/>
        </w:rPr>
        <w:t>，此指标得分为</w:t>
      </w:r>
      <w:r>
        <w:rPr>
          <w:rFonts w:hint="eastAsia"/>
          <w:highlight w:val="none"/>
          <w:lang w:val="en-US" w:eastAsia="zh-CN"/>
        </w:rPr>
        <w:t>2</w:t>
      </w:r>
      <w:r>
        <w:rPr>
          <w:rFonts w:hint="eastAsia"/>
          <w:highlight w:val="none"/>
        </w:rPr>
        <w:t>分。</w:t>
      </w:r>
    </w:p>
    <w:p>
      <w:pPr>
        <w:spacing w:line="580" w:lineRule="exact"/>
        <w:ind w:firstLine="640"/>
        <w:outlineLvl w:val="1"/>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449" w:name="_Toc9554"/>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（四）项目效益情况</w:t>
      </w:r>
      <w:bookmarkEnd w:id="449"/>
    </w:p>
    <w:p>
      <w:pPr>
        <w:pStyle w:val="9"/>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450" w:name="_Toc83377067"/>
      <w:bookmarkStart w:id="451" w:name="_Toc120282185"/>
      <w:bookmarkStart w:id="452" w:name="_Toc52275159"/>
      <w:bookmarkStart w:id="453" w:name="_Toc120281604"/>
      <w:bookmarkStart w:id="454" w:name="_Toc49278631"/>
      <w:bookmarkStart w:id="455" w:name="_Toc81994044"/>
      <w:bookmarkStart w:id="456" w:name="_Toc51683717"/>
      <w:bookmarkStart w:id="457" w:name="_Toc52121529"/>
      <w:bookmarkStart w:id="458" w:name="_Toc46747338"/>
      <w:bookmarkStart w:id="459" w:name="_Toc28466"/>
      <w:bookmarkStart w:id="460" w:name="_Toc119629967"/>
      <w:bookmarkStart w:id="461" w:name="_Toc1034"/>
      <w:bookmarkStart w:id="462" w:name="_Toc24675"/>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1.社会效益（指标分值9分，得分7分）</w:t>
      </w:r>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社会效益是指项目实施对社会发展带来的直接或间接影响。包括项目按进度落地情况、就业拉动情况、申请国家专利或计算机软件著作权数量3个三级指标。</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（1）项目按进度落地情况（指标分值3分，得分2分）</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通过对三家获奖补企业的走访调研和资料分析，3家企业均签订枣庄英才工作合同，合同中规定企业的2022年度目标，通过对其完成情况进行考察，发现项目落地情况如下：</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当康文化传播有限公司项目已按计划落地。依托其自主研发的大数据系统，搭建图书全链条循环利用体系，通过在全国设立超3000个渠道及线下阅读书屋，形成了全国图书循环利用体系。打造图书全生命周期的回收定价、仓储管理、B2B2C运营、数据采集、客户管理、分销体系以及自主研发的“掏书铺”APP平台，盘活闲置图书资源。</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山东天瀚新能源科技有限公司项目已按计划落地。完成关键性材料的开发及磷酸锰铁锂复合正极电池样品的研发并完成相关性能测试。</w:t>
      </w:r>
    </w:p>
    <w:p>
      <w:pPr>
        <w:pStyle w:val="5"/>
        <w:ind w:left="0" w:leftChars="0" w:firstLine="640" w:firstLineChars="20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枣庄八度阳光新能源科技有限公司项目未按计划落地。未完成建设500kw分布式智慧能源光伏发电项目的目标。</w:t>
      </w:r>
    </w:p>
    <w:p>
      <w:pPr>
        <w:pStyle w:val="2"/>
        <w:rPr>
          <w:rFonts w:hint="default"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因此，按照评分标准“三家企业均按进度完成项目落地，得3分，少一家扣1分，扣完为止”，该指标得2分。</w:t>
      </w:r>
    </w:p>
    <w:p>
      <w:pPr>
        <w:numPr>
          <w:ilvl w:val="0"/>
          <w:numId w:val="3"/>
        </w:numPr>
        <w:spacing w:line="580" w:lineRule="exact"/>
        <w:ind w:firstLine="640"/>
        <w:rPr>
          <w:highlight w:val="none"/>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就业拉动情况（指</w:t>
      </w:r>
      <w:r>
        <w:rPr>
          <w:rFonts w:hint="eastAsia"/>
          <w:highlight w:val="none"/>
        </w:rPr>
        <w:t>标分值</w:t>
      </w:r>
      <w:r>
        <w:rPr>
          <w:rFonts w:hint="eastAsia"/>
          <w:highlight w:val="none"/>
          <w:lang w:val="en-US" w:eastAsia="zh-CN"/>
        </w:rPr>
        <w:t>3</w:t>
      </w:r>
      <w:r>
        <w:rPr>
          <w:rFonts w:hint="eastAsia"/>
          <w:highlight w:val="none"/>
        </w:rPr>
        <w:t>分，得分</w:t>
      </w:r>
      <w:r>
        <w:rPr>
          <w:rFonts w:hint="eastAsia"/>
          <w:highlight w:val="none"/>
          <w:lang w:val="en-US" w:eastAsia="zh-CN"/>
        </w:rPr>
        <w:t>2</w:t>
      </w:r>
      <w:r>
        <w:rPr>
          <w:rFonts w:hint="eastAsia"/>
          <w:highlight w:val="none"/>
        </w:rPr>
        <w:t>分）</w:t>
      </w:r>
    </w:p>
    <w:p>
      <w:pPr>
        <w:pStyle w:val="2"/>
        <w:ind w:firstLine="640" w:firstLineChars="200"/>
        <w:rPr>
          <w:rFonts w:hint="default"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通过对三家获奖补企业的走访调研和资料分析，英才计划项目在企业落地以后对当地就业拉动情况如下：山东当康文化传播有限公司2021年职工人数54人，2022年职工</w:t>
      </w:r>
      <w:r>
        <w:rPr>
          <w:rFonts w:hint="eastAsia" w:cs="仿宋_GB2312"/>
          <w:color w:val="000000" w:themeColor="text1"/>
          <w:sz w:val="32"/>
          <w:szCs w:val="32"/>
          <w:highlight w:val="none"/>
          <w:lang w:val="en-US" w:eastAsia="zh-CN" w:bidi="ar-SA"/>
          <w14:textFill>
            <w14:solidFill>
              <w14:schemeClr w14:val="tx1"/>
            </w14:solidFill>
          </w14:textFill>
        </w:rPr>
        <w:t>人数为131人，职工人数增长率大于0；</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山东天瀚新能源科技有限公司</w:t>
      </w:r>
      <w:r>
        <w:rPr>
          <w:rFonts w:hint="eastAsia" w:cs="仿宋_GB2312"/>
          <w:color w:val="000000" w:themeColor="text1"/>
          <w:sz w:val="32"/>
          <w:szCs w:val="32"/>
          <w:highlight w:val="none"/>
          <w:lang w:val="en-US" w:eastAsia="zh-CN" w:bidi="ar-SA"/>
          <w14:textFill>
            <w14:solidFill>
              <w14:schemeClr w14:val="tx1"/>
            </w14:solidFill>
          </w14:textFill>
        </w:rPr>
        <w:t>2021年职工人数180人，2022年职工人数264人，职工人数增长率大于0；</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枣庄八度阳光新能源科技有限公司项目未按计划落地</w:t>
      </w:r>
      <w:r>
        <w:rPr>
          <w:rFonts w:hint="eastAsia" w:cs="仿宋_GB2312"/>
          <w:color w:val="000000" w:themeColor="text1"/>
          <w:sz w:val="32"/>
          <w:szCs w:val="32"/>
          <w:highlight w:val="none"/>
          <w:lang w:val="en-US" w:eastAsia="zh-CN" w:bidi="ar-SA"/>
          <w14:textFill>
            <w14:solidFill>
              <w14:schemeClr w14:val="tx1"/>
            </w14:solidFill>
          </w14:textFill>
        </w:rPr>
        <w:t>，因此2022年在枣庄没</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有工程项目，所以没有承包单位，未拉动就业，枣庄没有工程项目，2021年和2022年职工人数均为6人，职工人数增长率等于0。因此，按照评分标准“三家企业2022年职工人数增长率均大于0得满分，有一家小于等于0扣一分，扣完为止”，该指标得2分。</w:t>
      </w:r>
    </w:p>
    <w:p>
      <w:pPr>
        <w:numPr>
          <w:ilvl w:val="0"/>
          <w:numId w:val="3"/>
        </w:numPr>
        <w:spacing w:line="580" w:lineRule="exact"/>
        <w:ind w:firstLine="640"/>
        <w:rPr>
          <w:highlight w:val="none"/>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申请国家专利或计算机软件著作权数量（指标分</w:t>
      </w:r>
      <w:r>
        <w:rPr>
          <w:rFonts w:hint="eastAsia"/>
          <w:highlight w:val="none"/>
        </w:rPr>
        <w:t>值</w:t>
      </w:r>
      <w:r>
        <w:rPr>
          <w:rFonts w:hint="eastAsia"/>
          <w:highlight w:val="none"/>
          <w:lang w:val="en-US" w:eastAsia="zh-CN"/>
        </w:rPr>
        <w:t>3</w:t>
      </w:r>
      <w:r>
        <w:rPr>
          <w:rFonts w:hint="eastAsia"/>
          <w:highlight w:val="none"/>
        </w:rPr>
        <w:t>分，得分</w:t>
      </w:r>
      <w:r>
        <w:rPr>
          <w:rFonts w:hint="eastAsia"/>
          <w:highlight w:val="none"/>
          <w:lang w:val="en-US" w:eastAsia="zh-CN"/>
        </w:rPr>
        <w:t>3</w:t>
      </w:r>
      <w:r>
        <w:rPr>
          <w:rFonts w:hint="eastAsia"/>
          <w:highlight w:val="none"/>
        </w:rPr>
        <w:t>分）</w:t>
      </w:r>
    </w:p>
    <w:p>
      <w:pPr>
        <w:spacing w:line="580" w:lineRule="exact"/>
        <w:ind w:firstLine="640"/>
        <w:rPr>
          <w:rFonts w:hint="default"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通过对三家获奖补企业的走访调研和资料分析</w:t>
      </w:r>
      <w:r>
        <w:rPr>
          <w:rFonts w:hint="eastAsia"/>
          <w:highlight w:val="none"/>
        </w:rPr>
        <w:t>，</w:t>
      </w:r>
      <w:r>
        <w:rPr>
          <w:rFonts w:hint="eastAsia"/>
          <w:highlight w:val="none"/>
          <w:lang w:val="en-US" w:eastAsia="zh-CN"/>
        </w:rPr>
        <w:t>英</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才计划项目在企业落地以后</w:t>
      </w:r>
      <w:r>
        <w:rPr>
          <w:rFonts w:hint="eastAsia" w:cs="仿宋_GB2312"/>
          <w:color w:val="000000" w:themeColor="text1"/>
          <w:sz w:val="32"/>
          <w:szCs w:val="32"/>
          <w:highlight w:val="none"/>
          <w:lang w:val="en-US" w:eastAsia="zh-CN" w:bidi="ar-SA"/>
          <w14:textFill>
            <w14:solidFill>
              <w14:schemeClr w14:val="tx1"/>
            </w14:solidFill>
          </w14:textFill>
        </w:rPr>
        <w:t>各企业</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申请国家专利或计算机软件著作权数量</w:t>
      </w:r>
      <w:r>
        <w:rPr>
          <w:rFonts w:hint="eastAsia" w:cs="仿宋_GB2312"/>
          <w:color w:val="000000" w:themeColor="text1"/>
          <w:sz w:val="32"/>
          <w:szCs w:val="32"/>
          <w:highlight w:val="none"/>
          <w:lang w:val="en-US" w:eastAsia="zh-CN" w:bidi="ar-SA"/>
          <w14:textFill>
            <w14:solidFill>
              <w14:schemeClr w14:val="tx1"/>
            </w14:solidFill>
          </w14:textFill>
        </w:rPr>
        <w:t>情况如下：当康文化已申请一种电商类商品物流快速自动化包装机械及包装方法等5件</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国家专利或计算机软件著作权</w:t>
      </w:r>
      <w:r>
        <w:rPr>
          <w:rFonts w:hint="eastAsia" w:cs="仿宋_GB2312"/>
          <w:color w:val="000000" w:themeColor="text1"/>
          <w:sz w:val="32"/>
          <w:szCs w:val="32"/>
          <w:highlight w:val="none"/>
          <w:lang w:val="en-US" w:eastAsia="zh-CN" w:bidi="ar-SA"/>
          <w14:textFill>
            <w14:solidFill>
              <w14:schemeClr w14:val="tx1"/>
            </w14:solidFill>
          </w14:textFill>
        </w:rPr>
        <w:t>，天瀚新能源已申请一种安全稳定的无钴锂电池等14项国家专利；八度阳光已申请一种角度可调节的光伏太阳能电池板等6项国家专利。根据评分标准“三家企业申请国家专利或计算机软件著作权数量≥5项，得满分，有一家达不到扣1分，扣完为止”，</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该指标得</w:t>
      </w:r>
      <w:r>
        <w:rPr>
          <w:rFonts w:hint="eastAsia" w:cs="仿宋_GB2312"/>
          <w:color w:val="000000" w:themeColor="text1"/>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分</w:t>
      </w:r>
      <w:r>
        <w:rPr>
          <w:rFonts w:hint="eastAsia" w:cs="仿宋_GB2312"/>
          <w:color w:val="000000" w:themeColor="text1"/>
          <w:sz w:val="32"/>
          <w:szCs w:val="32"/>
          <w:highlight w:val="none"/>
          <w:lang w:val="en-US" w:eastAsia="zh-CN" w:bidi="ar-SA"/>
          <w14:textFill>
            <w14:solidFill>
              <w14:schemeClr w14:val="tx1"/>
            </w14:solidFill>
          </w14:textFill>
        </w:rPr>
        <w:t>。</w:t>
      </w:r>
    </w:p>
    <w:p>
      <w:pPr>
        <w:pStyle w:val="9"/>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2.经济效益（指标分值10分，得分4.69分）</w:t>
      </w:r>
    </w:p>
    <w:p>
      <w:pPr>
        <w:spacing w:line="580" w:lineRule="exact"/>
        <w:ind w:firstLine="640"/>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（1）获奖补企业经济贡献程度（指标分值5分，得分3.33分）</w:t>
      </w:r>
    </w:p>
    <w:p>
      <w:pPr>
        <w:spacing w:line="580" w:lineRule="exact"/>
        <w:ind w:firstLine="640"/>
        <w:rPr>
          <w:rFonts w:hint="eastAsia"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通过对三家获奖补企业的走访调研和资料分析，英才计划项目在企业落地以后各企业对当地</w:t>
      </w:r>
      <w:r>
        <w:rPr>
          <w:rFonts w:hint="eastAsia" w:cs="仿宋_GB2312"/>
          <w:color w:val="000000" w:themeColor="text1"/>
          <w:sz w:val="32"/>
          <w:szCs w:val="32"/>
          <w:highlight w:val="none"/>
          <w:lang w:val="en-US" w:eastAsia="zh-CN" w:bidi="ar-SA"/>
          <w14:textFill>
            <w14:solidFill>
              <w14:schemeClr w14:val="tx1"/>
            </w14:solidFill>
          </w14:textFill>
        </w:rPr>
        <w:t>税收贡献情况如下：当康文化2021年纳税1.72万元，2022年纳税15.66万元，纳税增长率＞0；天瀚新能源2021年纳税64.09万元，2022年纳税110.92万元，纳税增长率＞0；八度阳光英才项目未按计划落地，项目未产生收益，因此该项目也未产生纳税。</w:t>
      </w:r>
    </w:p>
    <w:p>
      <w:pPr>
        <w:spacing w:line="580" w:lineRule="exact"/>
        <w:ind w:firstLine="640"/>
        <w:rPr>
          <w:rFonts w:hint="default" w:cs="仿宋_GB2312"/>
          <w:color w:val="000000" w:themeColor="text1"/>
          <w:sz w:val="32"/>
          <w:szCs w:val="32"/>
          <w:highlight w:val="none"/>
          <w:lang w:val="en-US" w:eastAsia="zh-CN" w:bidi="ar-SA"/>
          <w14:textFill>
            <w14:solidFill>
              <w14:schemeClr w14:val="tx1"/>
            </w14:solidFill>
          </w14:textFill>
        </w:rPr>
      </w:pPr>
      <w:r>
        <w:rPr>
          <w:rFonts w:hint="eastAsia" w:cs="仿宋_GB2312"/>
          <w:color w:val="000000" w:themeColor="text1"/>
          <w:sz w:val="32"/>
          <w:szCs w:val="32"/>
          <w:highlight w:val="none"/>
          <w:lang w:val="en-US" w:eastAsia="zh-CN" w:bidi="ar-SA"/>
          <w14:textFill>
            <w14:solidFill>
              <w14:schemeClr w14:val="tx1"/>
            </w14:solidFill>
          </w14:textFill>
        </w:rPr>
        <w:t>根据评分标准“英才工作合同签订项目已按进度落地且已产生收益的企业2022年纳税增长率＞0得满分，否则按达标企业占比的得分”，达标企业2个，未达标1个，该指标得</w:t>
      </w:r>
      <w:r>
        <w:rPr>
          <w:rFonts w:hint="eastAsia" w:cs="仿宋_GB2312"/>
          <w:color w:val="000000" w:themeColor="text1"/>
          <w:sz w:val="32"/>
          <w:szCs w:val="32"/>
          <w:highlight w:val="none"/>
          <w:lang w:val="en-US" w:eastAsia="zh-CN" w:bidi="ar-SA"/>
          <w14:textFill>
            <w14:solidFill>
              <w14:schemeClr w14:val="tx1"/>
            </w14:solidFill>
          </w14:textFill>
        </w:rPr>
        <w:t>（2/3）</w:t>
      </w:r>
      <w:r>
        <w:rPr>
          <w:rFonts w:hint="eastAsia" w:cs="仿宋_GB2312"/>
          <w:color w:val="000000" w:themeColor="text1"/>
          <w:sz w:val="32"/>
          <w:szCs w:val="32"/>
          <w:highlight w:val="none"/>
          <w:lang w:val="en-US" w:eastAsia="zh-CN" w:bidi="ar-SA"/>
          <w14:textFill>
            <w14:solidFill>
              <w14:schemeClr w14:val="tx1"/>
            </w14:solidFill>
          </w14:textFill>
        </w:rPr>
        <w:t>*5=3.33分。</w:t>
      </w:r>
    </w:p>
    <w:p>
      <w:pPr>
        <w:spacing w:line="580" w:lineRule="exact"/>
        <w:ind w:firstLine="640"/>
        <w:rPr>
          <w:rFonts w:hint="eastAsia" w:cs="仿宋_GB2312"/>
          <w:color w:val="000000" w:themeColor="text1"/>
          <w:sz w:val="32"/>
          <w:szCs w:val="32"/>
          <w:highlight w:val="none"/>
          <w:lang w:val="en-US" w:eastAsia="zh-CN" w:bidi="ar-SA"/>
          <w14:textFill>
            <w14:solidFill>
              <w14:schemeClr w14:val="tx1"/>
            </w14:solidFill>
          </w14:textFill>
        </w:rPr>
      </w:pPr>
      <w:r>
        <w:rPr>
          <w:rFonts w:hint="eastAsia" w:cs="仿宋_GB2312"/>
          <w:color w:val="000000" w:themeColor="text1"/>
          <w:sz w:val="32"/>
          <w:szCs w:val="32"/>
          <w:highlight w:val="none"/>
          <w:lang w:val="en-US" w:eastAsia="zh-CN" w:bidi="ar-SA"/>
          <w14:textFill>
            <w14:solidFill>
              <w14:schemeClr w14:val="tx1"/>
            </w14:solidFill>
          </w14:textFill>
        </w:rPr>
        <w:t>（2）销售目标完成情况（指标分值5分，得分1.36分）</w:t>
      </w:r>
    </w:p>
    <w:p>
      <w:pPr>
        <w:spacing w:line="580" w:lineRule="exact"/>
        <w:ind w:firstLine="640"/>
        <w:rPr>
          <w:rFonts w:hint="default"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463" w:name="_Toc46747339"/>
      <w:bookmarkStart w:id="464" w:name="_Toc120281605"/>
      <w:bookmarkStart w:id="465" w:name="_Toc120282186"/>
      <w:bookmarkStart w:id="466" w:name="_Toc119629968"/>
      <w:bookmarkStart w:id="467" w:name="_Toc49278632"/>
      <w:bookmarkStart w:id="468" w:name="_Toc4792"/>
      <w:bookmarkStart w:id="469" w:name="_Toc83377068"/>
      <w:bookmarkStart w:id="470" w:name="_Toc29143"/>
      <w:bookmarkStart w:id="471" w:name="_Toc51683718"/>
      <w:bookmarkStart w:id="472" w:name="_Toc81994045"/>
      <w:bookmarkStart w:id="473" w:name="_Toc52121530"/>
      <w:bookmarkStart w:id="474" w:name="_Toc7687"/>
      <w:bookmarkStart w:id="475" w:name="_Toc52275160"/>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通过对三家获奖补企业的走访调研和资料分析</w:t>
      </w:r>
      <w:r>
        <w:rPr>
          <w:rFonts w:hint="eastAsia" w:cs="仿宋_GB2312"/>
          <w:color w:val="000000" w:themeColor="text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3家企业均签订枣庄英才工作合同，合同中规定企业的2022年度目标，通过对其完成</w:t>
      </w:r>
      <w:r>
        <w:rPr>
          <w:rFonts w:hint="eastAsia" w:cs="仿宋_GB2312"/>
          <w:color w:val="000000" w:themeColor="text1"/>
          <w:sz w:val="32"/>
          <w:szCs w:val="32"/>
          <w:highlight w:val="none"/>
          <w:lang w:val="en-US" w:eastAsia="zh-CN" w:bidi="ar-SA"/>
          <w14:textFill>
            <w14:solidFill>
              <w14:schemeClr w14:val="tx1"/>
            </w14:solidFill>
          </w14:textFill>
        </w:rPr>
        <w:t>情况进行考察，发现企业营业额收入目标完成情况如下：当康文化企业2022年营业额8147万元，因疫情影响，年度内三次封仓暂停营业，未能完成年收入1.5亿元的营收目标；天瀚新能源英才工作合同2022年目标未规定营业额目标值，高性能磷酸锰铁锂电池的研究及产业化项目处于研发阶段，暂未产生经济效益；八度阳光2022年营业额收入目标为80万元，但其项目未落地，未产生经济效益。根据评分标准“2022年度目标：当康营业额1.5亿；八度阳光营业额80万元；天瀚无。则当康和八度阳光各2.5分，企业完成目标得2.5分；项目未落地，扣2.5分；项目已落地但未完成营业额目标得分=（实际完成营业额/目标营业额）*2.5”，该指标得(0.8147/1.5)*2.5=1.36分。</w:t>
      </w:r>
    </w:p>
    <w:p>
      <w:pPr>
        <w:pStyle w:val="9"/>
        <w:spacing w:line="580" w:lineRule="exact"/>
        <w:ind w:firstLine="640"/>
        <w:rPr>
          <w:highlight w:val="none"/>
        </w:rPr>
      </w:pPr>
      <w:r>
        <w:rPr>
          <w:rFonts w:hint="eastAsia" w:cs="仿宋_GB2312"/>
          <w:color w:val="000000" w:themeColor="text1"/>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.可持续</w:t>
      </w:r>
      <w:r>
        <w:rPr>
          <w:rFonts w:hint="eastAsia" w:cs="仿宋_GB2312"/>
          <w:color w:val="000000" w:themeColor="text1"/>
          <w:sz w:val="32"/>
          <w:szCs w:val="32"/>
          <w:highlight w:val="none"/>
          <w:lang w:val="en-US" w:eastAsia="zh-CN" w:bidi="ar-SA"/>
          <w14:textFill>
            <w14:solidFill>
              <w14:schemeClr w14:val="tx1"/>
            </w14:solidFill>
          </w14:textFill>
        </w:rPr>
        <w:t>影响</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（指标分值</w:t>
      </w:r>
      <w:r>
        <w:rPr>
          <w:rFonts w:hint="eastAsia" w:cs="仿宋_GB2312"/>
          <w:color w:val="000000" w:themeColor="text1"/>
          <w:sz w:val="32"/>
          <w:szCs w:val="32"/>
          <w:highlight w:val="none"/>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分，得分</w:t>
      </w:r>
      <w:r>
        <w:rPr>
          <w:rFonts w:hint="eastAsia" w:cs="仿宋_GB2312"/>
          <w:color w:val="000000" w:themeColor="text1"/>
          <w:sz w:val="32"/>
          <w:szCs w:val="32"/>
          <w:highlight w:val="none"/>
          <w:lang w:val="en-US" w:eastAsia="zh-CN" w:bidi="ar-SA"/>
          <w14:textFill>
            <w14:solidFill>
              <w14:schemeClr w14:val="tx1"/>
            </w14:solidFill>
          </w14:textFill>
        </w:rPr>
        <w:t>4</w:t>
      </w:r>
      <w:r>
        <w:rPr>
          <w:rFonts w:hint="eastAsia"/>
          <w:highlight w:val="none"/>
        </w:rPr>
        <w:t>分）</w:t>
      </w:r>
      <w:bookmarkEnd w:id="463"/>
      <w:bookmarkEnd w:id="464"/>
      <w:bookmarkEnd w:id="465"/>
      <w:bookmarkEnd w:id="466"/>
      <w:bookmarkEnd w:id="467"/>
      <w:bookmarkEnd w:id="468"/>
      <w:bookmarkEnd w:id="469"/>
      <w:bookmarkEnd w:id="470"/>
      <w:bookmarkEnd w:id="471"/>
      <w:bookmarkEnd w:id="472"/>
      <w:bookmarkEnd w:id="473"/>
      <w:bookmarkEnd w:id="474"/>
      <w:bookmarkEnd w:id="475"/>
    </w:p>
    <w:p>
      <w:pPr>
        <w:spacing w:line="580" w:lineRule="exact"/>
        <w:ind w:firstLine="640"/>
        <w:rPr>
          <w:highlight w:val="none"/>
        </w:rPr>
      </w:pPr>
      <w:r>
        <w:rPr>
          <w:rFonts w:hint="eastAsia"/>
          <w:highlight w:val="none"/>
        </w:rPr>
        <w:t>该二级指标是为了反映</w:t>
      </w:r>
      <w:r>
        <w:rPr>
          <w:rFonts w:hint="eastAsia"/>
          <w:highlight w:val="none"/>
          <w:lang w:val="en-US" w:eastAsia="zh-CN"/>
        </w:rPr>
        <w:t>政策</w:t>
      </w:r>
      <w:r>
        <w:rPr>
          <w:rFonts w:hint="eastAsia"/>
          <w:highlight w:val="none"/>
        </w:rPr>
        <w:t>实施的可持续性，通过考核英才</w:t>
      </w:r>
      <w:r>
        <w:rPr>
          <w:rFonts w:hint="eastAsia"/>
          <w:highlight w:val="none"/>
          <w:lang w:val="en-US" w:eastAsia="zh-CN"/>
        </w:rPr>
        <w:t>计划</w:t>
      </w:r>
      <w:r>
        <w:rPr>
          <w:rFonts w:hint="eastAsia"/>
          <w:highlight w:val="none"/>
        </w:rPr>
        <w:t>机制健全性、政策对城市发展的促进程度进行评价</w:t>
      </w:r>
      <w:r>
        <w:rPr>
          <w:rFonts w:hint="eastAsia" w:ascii="Arial" w:hAnsi="Arial" w:cs="Arial"/>
          <w:highlight w:val="none"/>
        </w:rPr>
        <w:t>。</w:t>
      </w:r>
    </w:p>
    <w:p>
      <w:pPr>
        <w:numPr>
          <w:ilvl w:val="0"/>
          <w:numId w:val="4"/>
        </w:numPr>
        <w:spacing w:line="580" w:lineRule="exact"/>
        <w:ind w:firstLine="640"/>
        <w:rPr>
          <w:rFonts w:hint="eastAsia"/>
          <w:highlight w:val="none"/>
        </w:rPr>
      </w:pPr>
      <w:r>
        <w:rPr>
          <w:rFonts w:hint="eastAsia"/>
          <w:highlight w:val="none"/>
        </w:rPr>
        <w:t>英才</w:t>
      </w:r>
      <w:r>
        <w:rPr>
          <w:rFonts w:hint="eastAsia"/>
          <w:highlight w:val="none"/>
          <w:lang w:val="en-US" w:eastAsia="zh-CN"/>
        </w:rPr>
        <w:t>计划</w:t>
      </w:r>
      <w:r>
        <w:rPr>
          <w:rFonts w:hint="eastAsia"/>
          <w:highlight w:val="none"/>
        </w:rPr>
        <w:t>机制健全性（指标分值</w:t>
      </w:r>
      <w:r>
        <w:rPr>
          <w:rFonts w:hint="eastAsia"/>
          <w:highlight w:val="none"/>
          <w:lang w:val="en-US" w:eastAsia="zh-CN"/>
        </w:rPr>
        <w:t>3</w:t>
      </w:r>
      <w:r>
        <w:rPr>
          <w:rFonts w:hint="eastAsia"/>
          <w:highlight w:val="none"/>
        </w:rPr>
        <w:t>分，得分</w:t>
      </w:r>
      <w:r>
        <w:rPr>
          <w:rFonts w:hint="eastAsia"/>
          <w:highlight w:val="none"/>
          <w:lang w:val="en-US" w:eastAsia="zh-CN"/>
        </w:rPr>
        <w:t>1</w:t>
      </w:r>
      <w:r>
        <w:rPr>
          <w:rFonts w:hint="eastAsia"/>
          <w:highlight w:val="none"/>
        </w:rPr>
        <w:t>分）</w:t>
      </w:r>
    </w:p>
    <w:p>
      <w:pPr>
        <w:numPr>
          <w:ilvl w:val="0"/>
          <w:numId w:val="0"/>
        </w:numPr>
        <w:spacing w:line="580" w:lineRule="exact"/>
        <w:ind w:firstLine="640" w:firstLineChars="200"/>
        <w:rPr>
          <w:highlight w:val="none"/>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通过对三家获奖补企业的走访调研和</w:t>
      </w:r>
      <w:r>
        <w:rPr>
          <w:rFonts w:hint="eastAsia" w:cs="仿宋_GB2312"/>
          <w:color w:val="000000" w:themeColor="text1"/>
          <w:sz w:val="32"/>
          <w:szCs w:val="32"/>
          <w:highlight w:val="none"/>
          <w:lang w:val="en-US" w:eastAsia="zh-CN" w:bidi="ar-SA"/>
          <w14:textFill>
            <w14:solidFill>
              <w14:schemeClr w14:val="tx1"/>
            </w14:solidFill>
          </w14:textFill>
        </w:rPr>
        <w:t>相关部门的座谈</w:t>
      </w:r>
      <w:r>
        <w:rPr>
          <w:rFonts w:hint="eastAsia"/>
          <w:highlight w:val="none"/>
        </w:rPr>
        <w:t>，枣庄英才</w:t>
      </w:r>
      <w:r>
        <w:rPr>
          <w:rFonts w:hint="eastAsia"/>
          <w:highlight w:val="none"/>
          <w:lang w:val="en-US" w:eastAsia="zh-CN"/>
        </w:rPr>
        <w:t>计划的</w:t>
      </w:r>
      <w:r>
        <w:rPr>
          <w:rFonts w:hint="eastAsia"/>
          <w:highlight w:val="none"/>
        </w:rPr>
        <w:t>宣传机制、评选机制、信息公开机制、考核机制</w:t>
      </w:r>
      <w:r>
        <w:rPr>
          <w:rFonts w:hint="eastAsia"/>
          <w:highlight w:val="none"/>
          <w:lang w:val="en-US" w:eastAsia="zh-CN"/>
        </w:rPr>
        <w:t>等俱全，但其考核机制有待进一步完善</w:t>
      </w:r>
      <w:r>
        <w:rPr>
          <w:rFonts w:hint="eastAsia"/>
          <w:highlight w:val="none"/>
        </w:rPr>
        <w:t>。</w:t>
      </w:r>
      <w:r>
        <w:rPr>
          <w:rFonts w:hint="eastAsia"/>
          <w:highlight w:val="none"/>
          <w:lang w:val="en-US" w:eastAsia="zh-CN"/>
        </w:rPr>
        <w:t>由于英才工作合同规定项目总体目标、中期目标和2022年度目标，所以主管部门也应对2022年度目标完成情况进行考核。此外，该项目的主管部门为党群工作部，但实施过程却由主要由科技局负责监管，党群工作部只负责申请资金的拨付，因此该项目的财权与事权不统一。</w:t>
      </w:r>
      <w:r>
        <w:rPr>
          <w:rFonts w:hint="eastAsia"/>
          <w:highlight w:val="none"/>
        </w:rPr>
        <w:t>根据评分</w:t>
      </w:r>
      <w:r>
        <w:rPr>
          <w:rFonts w:hint="eastAsia"/>
          <w:highlight w:val="none"/>
          <w:lang w:val="en-US" w:eastAsia="zh-CN"/>
        </w:rPr>
        <w:t>标准“每发现一项机制不健全，扣1分，扣完为止。”，此指</w:t>
      </w:r>
      <w:r>
        <w:rPr>
          <w:rFonts w:hint="eastAsia"/>
          <w:highlight w:val="none"/>
        </w:rPr>
        <w:t>标得</w:t>
      </w:r>
      <w:r>
        <w:rPr>
          <w:rFonts w:hint="eastAsia"/>
          <w:highlight w:val="none"/>
          <w:lang w:val="en-US" w:eastAsia="zh-CN"/>
        </w:rPr>
        <w:t>1</w:t>
      </w:r>
      <w:r>
        <w:rPr>
          <w:rFonts w:hint="eastAsia"/>
          <w:highlight w:val="none"/>
        </w:rPr>
        <w:t>分。</w:t>
      </w:r>
    </w:p>
    <w:p>
      <w:pPr>
        <w:spacing w:line="580" w:lineRule="exact"/>
        <w:ind w:firstLine="640"/>
        <w:rPr>
          <w:rFonts w:hint="eastAsia"/>
          <w:highlight w:val="none"/>
        </w:rPr>
      </w:pPr>
      <w:r>
        <w:rPr>
          <w:rFonts w:hint="eastAsia"/>
          <w:highlight w:val="none"/>
        </w:rPr>
        <w:t>（2）政策对城市发展的促进程度（指标分值3，得分3分）</w:t>
      </w:r>
    </w:p>
    <w:p>
      <w:pPr>
        <w:spacing w:line="580" w:lineRule="exact"/>
        <w:ind w:firstLine="640"/>
        <w:rPr>
          <w:rFonts w:hint="eastAsia"/>
          <w:highlight w:val="none"/>
        </w:rPr>
      </w:pPr>
      <w:bookmarkStart w:id="476" w:name="_Toc46747340"/>
      <w:bookmarkStart w:id="477" w:name="_Toc52275161"/>
      <w:bookmarkStart w:id="478" w:name="_Toc6131"/>
      <w:bookmarkStart w:id="479" w:name="_Toc51683719"/>
      <w:bookmarkStart w:id="480" w:name="_Toc83377069"/>
      <w:bookmarkStart w:id="481" w:name="_Toc49278633"/>
      <w:bookmarkStart w:id="482" w:name="_Toc119629969"/>
      <w:bookmarkStart w:id="483" w:name="_Toc12524"/>
      <w:bookmarkStart w:id="484" w:name="_Toc52121531"/>
      <w:bookmarkStart w:id="485" w:name="_Toc120282187"/>
      <w:bookmarkStart w:id="486" w:name="_Toc120281606"/>
      <w:bookmarkStart w:id="487" w:name="_Toc28007"/>
      <w:bookmarkStart w:id="488" w:name="_Toc81994046"/>
      <w:r>
        <w:rPr>
          <w:rFonts w:hint="eastAsia"/>
          <w:highlight w:val="none"/>
        </w:rPr>
        <w:t>根据调查问卷，</w:t>
      </w:r>
      <w:r>
        <w:rPr>
          <w:rFonts w:hint="eastAsia"/>
          <w:highlight w:val="none"/>
          <w:lang w:val="en-US" w:eastAsia="zh-CN"/>
        </w:rPr>
        <w:t>枣庄英才计划</w:t>
      </w:r>
      <w:r>
        <w:rPr>
          <w:rFonts w:hint="eastAsia"/>
          <w:highlight w:val="none"/>
        </w:rPr>
        <w:t>政策对城市发展的促进程度为100%，根据评分标准</w:t>
      </w:r>
      <w:r>
        <w:rPr>
          <w:rFonts w:hint="eastAsia"/>
          <w:highlight w:val="none"/>
          <w:lang w:eastAsia="zh-CN"/>
        </w:rPr>
        <w:t>“</w:t>
      </w:r>
      <w:r>
        <w:rPr>
          <w:rFonts w:hint="eastAsia"/>
          <w:highlight w:val="none"/>
        </w:rPr>
        <w:t>政策对城市发展的影响程度≧90%得满分，每降低1%，扣0.</w:t>
      </w:r>
      <w:r>
        <w:rPr>
          <w:rFonts w:hint="eastAsia"/>
          <w:highlight w:val="none"/>
          <w:lang w:val="en-US" w:eastAsia="zh-CN"/>
        </w:rPr>
        <w:t>3</w:t>
      </w:r>
      <w:r>
        <w:rPr>
          <w:rFonts w:hint="eastAsia"/>
          <w:highlight w:val="none"/>
        </w:rPr>
        <w:t>分。</w:t>
      </w:r>
      <w:r>
        <w:rPr>
          <w:rFonts w:hint="eastAsia"/>
          <w:highlight w:val="none"/>
          <w:lang w:eastAsia="zh-CN"/>
        </w:rPr>
        <w:t>”</w:t>
      </w:r>
      <w:r>
        <w:rPr>
          <w:rFonts w:hint="eastAsia"/>
          <w:highlight w:val="none"/>
        </w:rPr>
        <w:t>，本指标得分为</w:t>
      </w:r>
      <w:r>
        <w:rPr>
          <w:rFonts w:hint="eastAsia"/>
          <w:highlight w:val="none"/>
          <w:lang w:val="en-US" w:eastAsia="zh-CN"/>
        </w:rPr>
        <w:t>3</w:t>
      </w:r>
      <w:r>
        <w:rPr>
          <w:rFonts w:hint="eastAsia"/>
          <w:highlight w:val="none"/>
        </w:rPr>
        <w:t>分。</w:t>
      </w:r>
    </w:p>
    <w:p>
      <w:pPr>
        <w:spacing w:line="580" w:lineRule="exact"/>
        <w:ind w:firstLine="640"/>
        <w:rPr>
          <w:rFonts w:hint="eastAsia"/>
          <w:highlight w:val="none"/>
        </w:rPr>
      </w:pPr>
      <w:r>
        <w:rPr>
          <w:rFonts w:hint="eastAsia"/>
          <w:highlight w:val="none"/>
        </w:rPr>
        <w:t>4.满意度（指标分值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bookmarkEnd w:id="476"/>
      <w:bookmarkEnd w:id="477"/>
      <w:bookmarkEnd w:id="478"/>
      <w:bookmarkEnd w:id="479"/>
      <w:bookmarkEnd w:id="480"/>
      <w:bookmarkEnd w:id="481"/>
      <w:bookmarkEnd w:id="482"/>
      <w:bookmarkEnd w:id="483"/>
      <w:bookmarkEnd w:id="484"/>
      <w:bookmarkEnd w:id="485"/>
      <w:bookmarkEnd w:id="486"/>
      <w:bookmarkEnd w:id="487"/>
      <w:bookmarkEnd w:id="488"/>
    </w:p>
    <w:p>
      <w:pPr>
        <w:spacing w:line="580" w:lineRule="exact"/>
        <w:ind w:firstLine="640"/>
        <w:rPr>
          <w:highlight w:val="none"/>
        </w:rPr>
      </w:pPr>
      <w:r>
        <w:rPr>
          <w:rFonts w:hint="eastAsia"/>
          <w:highlight w:val="none"/>
        </w:rPr>
        <w:t>满意度是项目受益群体对项目实施过程及结果的满意度情况。</w:t>
      </w:r>
    </w:p>
    <w:p>
      <w:pPr>
        <w:spacing w:line="580" w:lineRule="exact"/>
        <w:ind w:firstLine="640"/>
        <w:rPr>
          <w:highlight w:val="none"/>
        </w:rPr>
      </w:pPr>
      <w:r>
        <w:rPr>
          <w:rFonts w:hint="eastAsia"/>
          <w:highlight w:val="none"/>
        </w:rPr>
        <w:t>获奖补企业满意度（指标分值</w:t>
      </w:r>
      <w:r>
        <w:rPr>
          <w:rFonts w:hint="eastAsia"/>
          <w:highlight w:val="none"/>
          <w:lang w:val="en-US" w:eastAsia="zh-CN"/>
        </w:rPr>
        <w:t>5</w:t>
      </w:r>
      <w:r>
        <w:rPr>
          <w:rFonts w:hint="eastAsia"/>
          <w:highlight w:val="none"/>
        </w:rPr>
        <w:t>分，得分</w:t>
      </w:r>
      <w:r>
        <w:rPr>
          <w:rFonts w:hint="eastAsia"/>
          <w:highlight w:val="none"/>
          <w:lang w:val="en-US" w:eastAsia="zh-CN"/>
        </w:rPr>
        <w:t>5</w:t>
      </w:r>
      <w:r>
        <w:rPr>
          <w:rFonts w:hint="eastAsia"/>
          <w:highlight w:val="none"/>
        </w:rPr>
        <w:t>分）</w:t>
      </w:r>
    </w:p>
    <w:p>
      <w:pPr>
        <w:spacing w:line="580" w:lineRule="exact"/>
        <w:ind w:firstLine="640"/>
        <w:rPr>
          <w:highlight w:val="none"/>
        </w:rPr>
      </w:pPr>
      <w:r>
        <w:rPr>
          <w:rFonts w:hint="eastAsia"/>
          <w:highlight w:val="none"/>
        </w:rPr>
        <w:t>根据问卷调查，计算出此项目获奖补企业对项目实施一系列问题的平均满意度的得分统计，获奖补企业满意度为</w:t>
      </w:r>
      <w:r>
        <w:rPr>
          <w:rFonts w:hint="eastAsia"/>
          <w:highlight w:val="none"/>
          <w:lang w:val="en-US" w:eastAsia="zh-CN"/>
        </w:rPr>
        <w:t>100</w:t>
      </w:r>
      <w:r>
        <w:rPr>
          <w:rFonts w:hint="eastAsia"/>
          <w:highlight w:val="none"/>
        </w:rPr>
        <w:t>%。根据评分标准</w:t>
      </w:r>
      <w:r>
        <w:rPr>
          <w:rFonts w:hint="eastAsia"/>
          <w:highlight w:val="none"/>
          <w:lang w:eastAsia="zh-CN"/>
        </w:rPr>
        <w:t>“</w:t>
      </w:r>
      <w:r>
        <w:rPr>
          <w:rFonts w:hint="eastAsia"/>
          <w:highlight w:val="none"/>
        </w:rPr>
        <w:t>获奖</w:t>
      </w:r>
      <w:r>
        <w:rPr>
          <w:rFonts w:hint="eastAsia"/>
          <w:highlight w:val="none"/>
          <w:lang w:val="en-US" w:eastAsia="zh-CN"/>
        </w:rPr>
        <w:t>补</w:t>
      </w:r>
      <w:r>
        <w:rPr>
          <w:rFonts w:hint="eastAsia"/>
          <w:highlight w:val="none"/>
        </w:rPr>
        <w:t>企业满意度≧90%得满分，每降低1%，扣0.</w:t>
      </w:r>
      <w:r>
        <w:rPr>
          <w:rFonts w:hint="eastAsia"/>
          <w:highlight w:val="none"/>
          <w:lang w:val="en-US" w:eastAsia="zh-CN"/>
        </w:rPr>
        <w:t>3</w:t>
      </w:r>
      <w:r>
        <w:rPr>
          <w:rFonts w:hint="eastAsia"/>
          <w:highlight w:val="none"/>
        </w:rPr>
        <w:t>分。</w:t>
      </w:r>
      <w:r>
        <w:rPr>
          <w:rFonts w:hint="eastAsia"/>
          <w:highlight w:val="none"/>
          <w:lang w:eastAsia="zh-CN"/>
        </w:rPr>
        <w:t>”</w:t>
      </w:r>
      <w:r>
        <w:rPr>
          <w:rFonts w:hint="eastAsia"/>
          <w:highlight w:val="none"/>
        </w:rPr>
        <w:t>，该指标得5分。</w:t>
      </w:r>
    </w:p>
    <w:p>
      <w:pPr>
        <w:pStyle w:val="7"/>
        <w:spacing w:line="640" w:lineRule="exact"/>
        <w:ind w:firstLine="605"/>
        <w:rPr>
          <w:rFonts w:hint="eastAsia" w:eastAsia="黑体"/>
          <w:highlight w:val="none"/>
          <w:lang w:eastAsia="zh-CN"/>
        </w:rPr>
      </w:pPr>
      <w:bookmarkStart w:id="489" w:name="_Toc12509"/>
      <w:r>
        <w:rPr>
          <w:rFonts w:hint="eastAsia"/>
          <w:highlight w:val="none"/>
          <w:lang w:val="en-US" w:eastAsia="zh-CN"/>
        </w:rPr>
        <w:t>六</w:t>
      </w:r>
      <w:r>
        <w:rPr>
          <w:rFonts w:hint="eastAsia"/>
          <w:highlight w:val="none"/>
        </w:rPr>
        <w:t>、存在的问题及原因分析</w:t>
      </w:r>
      <w:bookmarkEnd w:id="489"/>
    </w:p>
    <w:p>
      <w:pPr>
        <w:pStyle w:val="8"/>
        <w:spacing w:line="580" w:lineRule="exact"/>
        <w:rPr>
          <w:rFonts w:hint="eastAsia"/>
          <w:highlight w:val="none"/>
          <w:lang w:val="en-US" w:eastAsia="zh-CN"/>
        </w:rPr>
      </w:pPr>
      <w:bookmarkStart w:id="490" w:name="_Toc5016"/>
      <w:r>
        <w:rPr>
          <w:rFonts w:hint="eastAsia"/>
          <w:highlight w:val="none"/>
        </w:rPr>
        <w:t>（一）</w:t>
      </w:r>
      <w:r>
        <w:rPr>
          <w:rFonts w:hint="eastAsia"/>
          <w:highlight w:val="none"/>
          <w:lang w:val="en-US" w:eastAsia="zh-CN"/>
        </w:rPr>
        <w:t>2022年应支付项目资金的50%作为项目启动资金，但已提前支付全部项目资金，不符合英才工作合同和政策规定</w:t>
      </w:r>
      <w:bookmarkEnd w:id="490"/>
    </w:p>
    <w:p>
      <w:pPr>
        <w:pStyle w:val="8"/>
        <w:spacing w:line="580" w:lineRule="exact"/>
        <w:ind w:firstLine="605"/>
        <w:rPr>
          <w:rFonts w:hint="eastAsia"/>
          <w:highlight w:val="none"/>
        </w:rPr>
      </w:pPr>
      <w:bookmarkStart w:id="491" w:name="_Toc26479"/>
      <w:bookmarkStart w:id="492" w:name="_Toc7936"/>
      <w:r>
        <w:rPr>
          <w:rFonts w:hint="eastAsia" w:ascii="仿宋_GB2312" w:hAnsi="仿宋_GB2312" w:eastAsia="仿宋_GB2312" w:cs="仿宋_GB2312"/>
          <w:bCs w:val="0"/>
          <w:color w:val="000000" w:themeColor="text1"/>
          <w:w w:val="100"/>
          <w:sz w:val="32"/>
          <w:szCs w:val="32"/>
          <w:highlight w:val="none"/>
          <w:lang w:val="en-US" w:eastAsia="zh-CN" w:bidi="ar-SA"/>
          <w14:textFill>
            <w14:solidFill>
              <w14:schemeClr w14:val="tx1"/>
            </w14:solidFill>
          </w14:textFill>
        </w:rPr>
        <w:t>通过现场调研及查阅资料，项目的管理期为3年，即自2022年1月1日至2024年12月31日。根据英才工作合同和《关于实施枣庄英才集聚工程的意见》（枣办发〔2014〕28号），2022年应先支付全部资金的50%作为项目启动资金，管理期期满验收后支付后50%作为绩效奖励资金。但通过查看党群工作部支出凭证和三家企业的英才项目资金到账凭证，2022年8月份，已一次性拨付项目全部资金250万元，资金提前支付，不符合合同和政策规定。</w:t>
      </w:r>
      <w:bookmarkEnd w:id="491"/>
      <w:bookmarkEnd w:id="492"/>
    </w:p>
    <w:p>
      <w:pPr>
        <w:pStyle w:val="8"/>
        <w:spacing w:line="580" w:lineRule="exact"/>
        <w:ind w:firstLine="605"/>
        <w:rPr>
          <w:rFonts w:hint="default" w:eastAsia="楷体_GB2312"/>
          <w:highlight w:val="none"/>
          <w:lang w:val="en-US" w:eastAsia="zh-CN"/>
        </w:rPr>
      </w:pPr>
      <w:bookmarkStart w:id="493" w:name="_Toc22254"/>
      <w:r>
        <w:rPr>
          <w:rFonts w:hint="eastAsia"/>
          <w:highlight w:val="none"/>
        </w:rPr>
        <w:t>（</w:t>
      </w:r>
      <w:r>
        <w:rPr>
          <w:rFonts w:hint="eastAsia"/>
          <w:highlight w:val="none"/>
          <w:lang w:val="en-US" w:eastAsia="zh-CN"/>
        </w:rPr>
        <w:t>二</w:t>
      </w:r>
      <w:r>
        <w:rPr>
          <w:rFonts w:hint="eastAsia"/>
          <w:highlight w:val="none"/>
        </w:rPr>
        <w:t>）</w:t>
      </w:r>
      <w:r>
        <w:rPr>
          <w:rFonts w:hint="eastAsia"/>
          <w:highlight w:val="none"/>
          <w:lang w:val="en-US" w:eastAsia="zh-CN"/>
        </w:rPr>
        <w:t>项目财权与事权不匹配，影响组织运作效率</w:t>
      </w:r>
      <w:bookmarkEnd w:id="493"/>
    </w:p>
    <w:p>
      <w:pPr>
        <w:spacing w:line="580" w:lineRule="exact"/>
        <w:ind w:firstLine="640"/>
        <w:rPr>
          <w:highlight w:val="none"/>
        </w:rPr>
      </w:pPr>
      <w:r>
        <w:rPr>
          <w:rFonts w:hint="eastAsia" w:ascii="仿宋_GB2312" w:eastAsia="仿宋_GB2312"/>
          <w:highlight w:val="none"/>
          <w:lang w:val="en-US" w:eastAsia="zh-CN"/>
        </w:rPr>
        <w:t>通过现场调研，枣庄英才计划项目的财权属于枣庄高新区党群工作部，事权属于高新区科技局。即科技局负责该项目的具体实施，包括对符合条件的人选和企业申报部署、申报推荐、形式审查、组织评审、综合论证、公示和研究审定，也负责对枣庄英才项目实施的日常管理、中期评估和期满验收工作。研究审定后的获奖补企业数量再汇报到党群工作部，由其负责对该项目进行预算资金的申请和拨付，这个过程往往是跨年度的，因此影响组织</w:t>
      </w:r>
      <w:r>
        <w:rPr>
          <w:rFonts w:hint="eastAsia"/>
          <w:highlight w:val="none"/>
        </w:rPr>
        <w:t>的</w:t>
      </w:r>
      <w:r>
        <w:rPr>
          <w:rFonts w:hint="eastAsia" w:ascii="仿宋_GB2312" w:eastAsia="仿宋_GB2312"/>
          <w:highlight w:val="none"/>
          <w:lang w:val="en-US" w:eastAsia="zh-CN"/>
        </w:rPr>
        <w:t>运作效率</w:t>
      </w:r>
      <w:r>
        <w:rPr>
          <w:rFonts w:hint="eastAsia"/>
          <w:highlight w:val="none"/>
        </w:rPr>
        <w:t>，</w:t>
      </w:r>
      <w:r>
        <w:rPr>
          <w:rFonts w:hint="eastAsia" w:ascii="仿宋_GB2312" w:eastAsia="仿宋_GB2312"/>
          <w:highlight w:val="none"/>
          <w:lang w:val="en-US" w:eastAsia="zh-CN"/>
        </w:rPr>
        <w:t>也不利于枣庄英才计划项目的日常管理</w:t>
      </w:r>
      <w:r>
        <w:rPr>
          <w:rFonts w:hint="eastAsia"/>
          <w:highlight w:val="none"/>
        </w:rPr>
        <w:t>。</w:t>
      </w:r>
    </w:p>
    <w:p>
      <w:pPr>
        <w:pStyle w:val="8"/>
        <w:spacing w:line="580" w:lineRule="exact"/>
        <w:ind w:firstLine="605"/>
        <w:rPr>
          <w:rFonts w:hint="default" w:eastAsia="楷体_GB2312"/>
          <w:highlight w:val="none"/>
          <w:lang w:val="en-US" w:eastAsia="zh-CN"/>
        </w:rPr>
      </w:pPr>
      <w:bookmarkStart w:id="494" w:name="_Toc482"/>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枣庄英才项目按合同进度落地情况较差，该项目的动态监管制度缺失</w:t>
      </w:r>
      <w:bookmarkEnd w:id="494"/>
    </w:p>
    <w:p>
      <w:pPr>
        <w:pStyle w:val="5"/>
        <w:ind w:left="0" w:leftChars="0" w:firstLine="640" w:firstLineChars="200"/>
        <w:rPr>
          <w:rFonts w:hint="default"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highlight w:val="none"/>
        </w:rPr>
        <w:t>根据现场调研及查阅相关资料</w:t>
      </w:r>
      <w:r>
        <w:rPr>
          <w:rFonts w:hint="eastAsia"/>
          <w:highlight w:val="none"/>
          <w:lang w:eastAsia="zh-CN"/>
        </w:rPr>
        <w:t>，</w:t>
      </w:r>
      <w:r>
        <w:rPr>
          <w:rFonts w:hint="eastAsia"/>
          <w:highlight w:val="none"/>
          <w:lang w:val="en-US" w:eastAsia="zh-CN"/>
        </w:rPr>
        <w:t>获奖补企业之一</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枣庄八度阳光新能源科技有限公司</w:t>
      </w:r>
      <w:r>
        <w:rPr>
          <w:rFonts w:hint="eastAsia" w:cs="仿宋_GB2312"/>
          <w:color w:val="000000" w:themeColor="text1"/>
          <w:sz w:val="32"/>
          <w:szCs w:val="32"/>
          <w:highlight w:val="none"/>
          <w:lang w:val="en-US" w:eastAsia="zh-CN" w:bidi="ar-SA"/>
          <w14:textFill>
            <w14:solidFill>
              <w14:schemeClr w14:val="tx1"/>
            </w14:solidFill>
          </w14:textFill>
        </w:rPr>
        <w:t>，合同签订</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项目未按计划落地</w:t>
      </w:r>
      <w:r>
        <w:rPr>
          <w:rFonts w:hint="eastAsia" w:cs="仿宋_GB2312"/>
          <w:color w:val="000000" w:themeColor="text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未完成建设500kw分布式智慧能源光伏发电项目的</w:t>
      </w:r>
      <w:r>
        <w:rPr>
          <w:rFonts w:hint="eastAsia" w:cs="仿宋_GB2312"/>
          <w:color w:val="000000" w:themeColor="text1"/>
          <w:sz w:val="32"/>
          <w:szCs w:val="32"/>
          <w:highlight w:val="none"/>
          <w:lang w:val="en-US" w:eastAsia="zh-CN" w:bidi="ar-SA"/>
          <w14:textFill>
            <w14:solidFill>
              <w14:schemeClr w14:val="tx1"/>
            </w14:solidFill>
          </w14:textFill>
        </w:rPr>
        <w:t>2022年度</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目标</w:t>
      </w:r>
      <w:r>
        <w:rPr>
          <w:rFonts w:hint="eastAsia" w:cs="仿宋_GB2312"/>
          <w:color w:val="000000" w:themeColor="text1"/>
          <w:sz w:val="32"/>
          <w:szCs w:val="32"/>
          <w:highlight w:val="none"/>
          <w:lang w:val="en-US" w:eastAsia="zh-CN" w:bidi="ar-SA"/>
          <w14:textFill>
            <w14:solidFill>
              <w14:schemeClr w14:val="tx1"/>
            </w14:solidFill>
          </w14:textFill>
        </w:rPr>
        <w:t>，未实现节约国家电网资源，降低能耗支出等效益，且该公司全体职工在项目评价期间已不在枣庄市高新区公司。主管部门未具体落实</w:t>
      </w:r>
      <w:r>
        <w:rPr>
          <w:rFonts w:hint="eastAsia"/>
          <w:highlight w:val="none"/>
        </w:rPr>
        <w:t>《关于实施枣庄英才集聚工程的意见》（枣办发〔2014〕28号）</w:t>
      </w:r>
      <w:r>
        <w:rPr>
          <w:rFonts w:hint="eastAsia"/>
          <w:highlight w:val="none"/>
          <w:lang w:val="en-US" w:eastAsia="zh-CN"/>
        </w:rPr>
        <w:t>要求，未设置具体动态监管制度，</w:t>
      </w:r>
      <w:r>
        <w:rPr>
          <w:rFonts w:hint="eastAsia" w:cs="仿宋_GB2312"/>
          <w:color w:val="000000" w:themeColor="text1"/>
          <w:sz w:val="32"/>
          <w:szCs w:val="32"/>
          <w:highlight w:val="none"/>
          <w:lang w:val="en-US" w:eastAsia="zh-CN" w:bidi="ar-SA"/>
          <w14:textFill>
            <w14:solidFill>
              <w14:schemeClr w14:val="tx1"/>
            </w14:solidFill>
          </w14:textFill>
        </w:rPr>
        <w:t>对该项目的监管力度有待加强，抽查监督和动态监测水平有待提高。</w:t>
      </w:r>
    </w:p>
    <w:p>
      <w:pPr>
        <w:pStyle w:val="8"/>
        <w:spacing w:line="580" w:lineRule="exact"/>
        <w:ind w:firstLine="605"/>
        <w:rPr>
          <w:rFonts w:hint="default" w:eastAsia="楷体_GB2312"/>
          <w:highlight w:val="none"/>
          <w:lang w:val="en-US" w:eastAsia="zh-CN"/>
        </w:rPr>
      </w:pPr>
      <w:bookmarkStart w:id="495" w:name="_Toc9536"/>
      <w:r>
        <w:rPr>
          <w:rFonts w:hint="eastAsia"/>
          <w:highlight w:val="none"/>
        </w:rPr>
        <w:t>（</w:t>
      </w:r>
      <w:r>
        <w:rPr>
          <w:rFonts w:hint="eastAsia"/>
          <w:highlight w:val="none"/>
          <w:lang w:val="en-US" w:eastAsia="zh-CN"/>
        </w:rPr>
        <w:t>四</w:t>
      </w:r>
      <w:r>
        <w:rPr>
          <w:rFonts w:hint="eastAsia"/>
          <w:highlight w:val="none"/>
        </w:rPr>
        <w:t>）项目</w:t>
      </w:r>
      <w:r>
        <w:rPr>
          <w:rFonts w:hint="eastAsia"/>
          <w:highlight w:val="none"/>
          <w:lang w:val="en-US" w:eastAsia="zh-CN"/>
        </w:rPr>
        <w:t>审核流程资料丢</w:t>
      </w:r>
      <w:r>
        <w:rPr>
          <w:rFonts w:hint="eastAsia"/>
          <w:highlight w:val="none"/>
          <w:lang w:val="en-US" w:eastAsia="zh-CN"/>
        </w:rPr>
        <w:t>失，档案管理工作不规范，档案管理意识有待加强</w:t>
      </w:r>
      <w:bookmarkEnd w:id="495"/>
    </w:p>
    <w:p>
      <w:pPr>
        <w:spacing w:line="580" w:lineRule="exact"/>
        <w:ind w:firstLine="640"/>
        <w:rPr>
          <w:rFonts w:hint="eastAsia" w:eastAsia="仿宋_GB2312"/>
          <w:highlight w:val="none"/>
          <w:lang w:eastAsia="zh-CN"/>
        </w:rPr>
      </w:pPr>
      <w:r>
        <w:rPr>
          <w:rFonts w:hint="eastAsia"/>
          <w:highlight w:val="none"/>
        </w:rPr>
        <w:t>根据现场调研及查阅相关资料，</w:t>
      </w:r>
      <w:r>
        <w:rPr>
          <w:rFonts w:hint="eastAsia" w:ascii="仿宋_GB2312" w:eastAsia="仿宋_GB2312"/>
          <w:highlight w:val="none"/>
          <w:lang w:val="en-US" w:eastAsia="zh-CN"/>
        </w:rPr>
        <w:t>主管部门前期需要对枣庄英才集聚工程申报企业进行审核，主要核查其在系统填报申报资料， 包括申报人选情况、申报人选主要学术成就、创办企业基本情况、地方（指所在园区、设区的市、县（市、区）或主管部门）对创业企业和科技创业领军人才提供支持和服务情况、相关证明材料等。但</w:t>
      </w:r>
      <w:r>
        <w:rPr>
          <w:rFonts w:hint="eastAsia"/>
          <w:highlight w:val="none"/>
        </w:rPr>
        <w:t>由于更换系统，</w:t>
      </w:r>
      <w:r>
        <w:rPr>
          <w:rFonts w:hint="eastAsia" w:ascii="仿宋_GB2312" w:eastAsia="仿宋_GB2312"/>
          <w:highlight w:val="none"/>
          <w:lang w:val="en-US" w:eastAsia="zh-CN"/>
        </w:rPr>
        <w:t>主管部门对该项目部门审核资料未及时归档，造成</w:t>
      </w:r>
      <w:r>
        <w:rPr>
          <w:rFonts w:hint="eastAsia"/>
          <w:highlight w:val="none"/>
        </w:rPr>
        <w:t>审核资料</w:t>
      </w:r>
      <w:r>
        <w:rPr>
          <w:rFonts w:hint="eastAsia" w:ascii="仿宋_GB2312" w:eastAsia="仿宋_GB2312"/>
          <w:highlight w:val="none"/>
          <w:lang w:val="en-US" w:eastAsia="zh-CN"/>
        </w:rPr>
        <w:t>的缺</w:t>
      </w:r>
      <w:r>
        <w:rPr>
          <w:rFonts w:hint="eastAsia"/>
          <w:highlight w:val="none"/>
        </w:rPr>
        <w:t>失，无法体现其审核流程。档案管理工作不规范，</w:t>
      </w:r>
      <w:r>
        <w:rPr>
          <w:rFonts w:hint="eastAsia" w:ascii="仿宋_GB2312" w:eastAsia="仿宋_GB2312"/>
          <w:highlight w:val="none"/>
          <w:lang w:val="en-US" w:eastAsia="zh-CN"/>
        </w:rPr>
        <w:t>主管部门</w:t>
      </w:r>
      <w:r>
        <w:rPr>
          <w:rFonts w:hint="eastAsia"/>
          <w:highlight w:val="none"/>
        </w:rPr>
        <w:t>档案管理意识有待加强</w:t>
      </w:r>
      <w:r>
        <w:rPr>
          <w:rFonts w:hint="eastAsia" w:eastAsia="仿宋_GB2312"/>
          <w:highlight w:val="none"/>
          <w:lang w:eastAsia="zh-CN"/>
        </w:rPr>
        <w:t>。</w:t>
      </w:r>
    </w:p>
    <w:p>
      <w:pPr>
        <w:pStyle w:val="7"/>
        <w:spacing w:line="640" w:lineRule="exact"/>
        <w:ind w:firstLine="605"/>
        <w:rPr>
          <w:highlight w:val="none"/>
        </w:rPr>
      </w:pPr>
      <w:bookmarkStart w:id="496" w:name="_Toc14628"/>
      <w:r>
        <w:rPr>
          <w:rFonts w:hint="eastAsia"/>
          <w:highlight w:val="none"/>
          <w:lang w:val="en-US" w:eastAsia="zh-CN"/>
        </w:rPr>
        <w:t>七</w:t>
      </w:r>
      <w:r>
        <w:rPr>
          <w:rFonts w:hint="eastAsia"/>
          <w:highlight w:val="none"/>
        </w:rPr>
        <w:t>、意见建议</w:t>
      </w:r>
      <w:bookmarkEnd w:id="496"/>
    </w:p>
    <w:p>
      <w:pPr>
        <w:pStyle w:val="8"/>
        <w:spacing w:line="580" w:lineRule="exact"/>
        <w:ind w:firstLine="605"/>
        <w:rPr>
          <w:rFonts w:hint="default"/>
          <w:highlight w:val="none"/>
          <w:lang w:val="en-US" w:eastAsia="zh-CN"/>
        </w:rPr>
      </w:pPr>
      <w:bookmarkStart w:id="497" w:name="_Toc876"/>
      <w:r>
        <w:rPr>
          <w:rFonts w:hint="eastAsia"/>
          <w:highlight w:val="none"/>
          <w:lang w:val="en-US" w:eastAsia="zh-CN"/>
        </w:rPr>
        <w:t>（一）加强资金支付管理，并且在后续工作中严格执行，避免发生超前支付的情况</w:t>
      </w:r>
      <w:bookmarkEnd w:id="497"/>
    </w:p>
    <w:p>
      <w:pPr>
        <w:pStyle w:val="8"/>
        <w:spacing w:line="580" w:lineRule="exact"/>
        <w:ind w:firstLine="605"/>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pPr>
      <w:bookmarkStart w:id="498" w:name="_Toc21229"/>
      <w:r>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t>建议项目主管部门与获奖补企业及财政金融局就该问题召开专题协商会，明确下一步解决思路。且后续主管部门应加强项目资金支付管理，应严格按照《关于实施枣庄英才集聚工程的意见》（枣办发〔2014〕28号）和枣庄英才工作合同落实资金拨付进度，避免资金超前支付。</w:t>
      </w:r>
      <w:bookmarkEnd w:id="498"/>
    </w:p>
    <w:p>
      <w:pPr>
        <w:pStyle w:val="8"/>
        <w:spacing w:line="580" w:lineRule="exact"/>
        <w:ind w:firstLine="605"/>
        <w:rPr>
          <w:rFonts w:hint="default"/>
          <w:highlight w:val="none"/>
          <w:lang w:val="en-US" w:eastAsia="zh-CN"/>
        </w:rPr>
      </w:pPr>
      <w:bookmarkStart w:id="499" w:name="_Toc22735"/>
      <w:r>
        <w:rPr>
          <w:rFonts w:hint="eastAsia"/>
          <w:highlight w:val="none"/>
          <w:lang w:val="en-US" w:eastAsia="zh-CN"/>
        </w:rPr>
        <w:t>（二）增强财权和事权的匹配性，减少矛盾与分歧，提高组织运行效率</w:t>
      </w:r>
      <w:bookmarkEnd w:id="499"/>
    </w:p>
    <w:p>
      <w:pPr>
        <w:spacing w:line="580" w:lineRule="exact"/>
        <w:ind w:firstLine="640"/>
        <w:rPr>
          <w:rFonts w:hint="default"/>
          <w:highlight w:val="none"/>
          <w:lang w:val="en-US"/>
        </w:rPr>
      </w:pPr>
      <w:r>
        <w:rPr>
          <w:rFonts w:hint="eastAsia" w:hAnsi="Times New Roman" w:cs="Times New Roman"/>
          <w:kern w:val="2"/>
          <w:highlight w:val="none"/>
        </w:rPr>
        <w:t>建议</w:t>
      </w:r>
      <w:r>
        <w:rPr>
          <w:rFonts w:hint="eastAsia" w:hAnsi="Times New Roman" w:cs="Times New Roman"/>
          <w:kern w:val="2"/>
          <w:highlight w:val="none"/>
          <w:lang w:val="en-US" w:eastAsia="zh-CN"/>
        </w:rPr>
        <w:t>相关部门统一该项目的财权与事权，项目的实际管理部门和财政资金的预算编制部门一致，不仅可以减少部门间的矛盾与分歧，也可以避免部门间互相推诿现象的发生，从而提高组织运行效率，项目的实施过程更加完善，日常管理更加健全。</w:t>
      </w:r>
    </w:p>
    <w:p>
      <w:pPr>
        <w:pStyle w:val="8"/>
        <w:spacing w:line="580" w:lineRule="exact"/>
        <w:ind w:firstLine="605"/>
        <w:rPr>
          <w:rFonts w:hint="default" w:eastAsia="楷体_GB2312"/>
          <w:highlight w:val="none"/>
          <w:lang w:val="en-US" w:eastAsia="zh-CN"/>
        </w:rPr>
      </w:pPr>
      <w:bookmarkStart w:id="500" w:name="_Toc11177"/>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建立项目跟踪监督制度，强化日产管理，实行动态管理</w:t>
      </w:r>
      <w:bookmarkEnd w:id="500"/>
    </w:p>
    <w:p>
      <w:pPr>
        <w:spacing w:line="580" w:lineRule="exact"/>
        <w:ind w:firstLine="640"/>
        <w:rPr>
          <w:rFonts w:hint="eastAsia" w:eastAsia="仿宋_GB2312"/>
          <w:highlight w:val="none"/>
          <w:lang w:eastAsia="zh-CN"/>
        </w:rPr>
      </w:pPr>
      <w:r>
        <w:rPr>
          <w:rFonts w:hint="eastAsia"/>
          <w:highlight w:val="none"/>
        </w:rPr>
        <w:t>建议部门加强项目管理意识，</w:t>
      </w:r>
      <w:r>
        <w:rPr>
          <w:rFonts w:hint="eastAsia" w:ascii="仿宋_GB2312" w:eastAsia="仿宋_GB2312"/>
          <w:highlight w:val="none"/>
          <w:lang w:val="en-US" w:eastAsia="zh-CN"/>
        </w:rPr>
        <w:t>按政策要求实行动态管理和强化日常监督</w:t>
      </w:r>
      <w:r>
        <w:rPr>
          <w:rFonts w:hint="eastAsia"/>
          <w:highlight w:val="none"/>
        </w:rPr>
        <w:t>。</w:t>
      </w:r>
    </w:p>
    <w:p>
      <w:pPr>
        <w:spacing w:line="580" w:lineRule="exact"/>
        <w:ind w:firstLine="640"/>
        <w:rPr>
          <w:rFonts w:hint="eastAsia" w:eastAsia="仿宋_GB2312"/>
          <w:highlight w:val="none"/>
          <w:lang w:val="en-US" w:eastAsia="zh-CN"/>
        </w:rPr>
      </w:pPr>
      <w:r>
        <w:rPr>
          <w:rFonts w:hint="eastAsia"/>
          <w:highlight w:val="none"/>
        </w:rPr>
        <w:t>实行动态管理。工程人选公布后超过3个月未正常开展工作、本人表示不再担任、经评估认定为不合格或因其他原因不宜继续资助扶持的，取消人才称号，停止其相关待遇，按规定收回所拨经费并追究用人单位责任。对在人才团队管理服务中出现重大问题、配套措施落实不到位的用人单位，要限期整改，整改期间停拨经费，问题严重的取消申报枣庄英才集聚工程资格。</w:t>
      </w:r>
      <w:r>
        <w:rPr>
          <w:rFonts w:hint="eastAsia" w:ascii="仿宋_GB2312" w:eastAsia="仿宋_GB2312"/>
          <w:highlight w:val="none"/>
          <w:lang w:val="en-US" w:eastAsia="zh-CN"/>
        </w:rPr>
        <w:t>对</w:t>
      </w:r>
      <w:r>
        <w:rPr>
          <w:rFonts w:hint="eastAsia" w:eastAsia="仿宋_GB2312"/>
          <w:highlight w:val="none"/>
          <w:lang w:eastAsia="zh-CN"/>
        </w:rPr>
        <w:t>枣庄八度阳光新能源科技有限公司</w:t>
      </w:r>
      <w:r>
        <w:rPr>
          <w:rFonts w:hint="eastAsia" w:ascii="仿宋_GB2312" w:eastAsia="仿宋_GB2312"/>
          <w:highlight w:val="none"/>
          <w:lang w:val="en-US" w:eastAsia="zh-CN"/>
        </w:rPr>
        <w:t>的2022年年度目标（</w:t>
      </w:r>
      <w:r>
        <w:rPr>
          <w:rFonts w:hint="eastAsia" w:eastAsia="仿宋_GB2312"/>
          <w:highlight w:val="none"/>
          <w:lang w:eastAsia="zh-CN"/>
        </w:rPr>
        <w:t>建设500kw分布式智慧能源光伏发电项目）</w:t>
      </w:r>
      <w:r>
        <w:rPr>
          <w:rFonts w:hint="eastAsia" w:ascii="仿宋_GB2312" w:eastAsia="仿宋_GB2312"/>
          <w:highlight w:val="none"/>
          <w:lang w:val="en-US" w:eastAsia="zh-CN"/>
        </w:rPr>
        <w:t>进行评估，根据评估结果，按照</w:t>
      </w:r>
      <w:r>
        <w:rPr>
          <w:rFonts w:hint="eastAsia" w:ascii="仿宋_GB2312" w:hAnsi="Times New Roman" w:eastAsia="仿宋_GB2312" w:cs="Times New Roman"/>
          <w:bCs w:val="0"/>
          <w:color w:val="000000" w:themeColor="text1"/>
          <w:w w:val="100"/>
          <w:kern w:val="2"/>
          <w:sz w:val="32"/>
          <w:szCs w:val="32"/>
          <w:highlight w:val="none"/>
          <w:lang w:val="en-US" w:eastAsia="zh-CN" w:bidi="ar-SA"/>
          <w14:textFill>
            <w14:solidFill>
              <w14:schemeClr w14:val="tx1"/>
            </w14:solidFill>
          </w14:textFill>
        </w:rPr>
        <w:t>《关于实施枣庄英才集聚工程的意见》（枣办发〔2014〕28号）</w:t>
      </w:r>
      <w:r>
        <w:rPr>
          <w:rFonts w:hint="eastAsia" w:hAnsi="Times New Roman" w:cs="Times New Roman"/>
          <w:bCs w:val="0"/>
          <w:color w:val="000000" w:themeColor="text1"/>
          <w:w w:val="100"/>
          <w:kern w:val="2"/>
          <w:sz w:val="32"/>
          <w:szCs w:val="32"/>
          <w:highlight w:val="none"/>
          <w:lang w:val="en-US" w:eastAsia="zh-CN" w:bidi="ar-SA"/>
          <w14:textFill>
            <w14:solidFill>
              <w14:schemeClr w14:val="tx1"/>
            </w14:solidFill>
          </w14:textFill>
        </w:rPr>
        <w:t>要求，</w:t>
      </w:r>
      <w:r>
        <w:rPr>
          <w:rFonts w:hint="eastAsia" w:ascii="仿宋_GB2312" w:eastAsia="仿宋_GB2312"/>
          <w:highlight w:val="none"/>
          <w:lang w:val="en-US" w:eastAsia="zh-CN"/>
        </w:rPr>
        <w:t>进一步跟踪核实该企业枣庄英才聚集工程资格</w:t>
      </w:r>
      <w:r>
        <w:rPr>
          <w:rFonts w:hint="eastAsia" w:eastAsia="仿宋_GB2312"/>
          <w:highlight w:val="none"/>
          <w:lang w:eastAsia="zh-CN"/>
        </w:rPr>
        <w:t>。</w:t>
      </w:r>
    </w:p>
    <w:p>
      <w:pPr>
        <w:spacing w:line="580" w:lineRule="exact"/>
        <w:ind w:firstLine="640"/>
        <w:rPr>
          <w:rFonts w:hint="default" w:eastAsia="仿宋_GB2312"/>
          <w:highlight w:val="none"/>
          <w:lang w:val="en-US" w:eastAsia="zh-CN"/>
        </w:rPr>
      </w:pPr>
      <w:r>
        <w:rPr>
          <w:rFonts w:hint="eastAsia"/>
          <w:highlight w:val="none"/>
        </w:rPr>
        <w:t>强化日常监督。建立项目跟踪监督制度，主管部门要及时掌握</w:t>
      </w:r>
      <w:r>
        <w:rPr>
          <w:rFonts w:hint="eastAsia" w:ascii="仿宋_GB2312" w:eastAsia="仿宋_GB2312"/>
          <w:highlight w:val="none"/>
          <w:lang w:val="en-US" w:eastAsia="zh-CN"/>
        </w:rPr>
        <w:t>英才</w:t>
      </w:r>
      <w:r>
        <w:rPr>
          <w:rFonts w:hint="eastAsia"/>
          <w:highlight w:val="none"/>
        </w:rPr>
        <w:t>工作情况，</w:t>
      </w:r>
      <w:r>
        <w:rPr>
          <w:rFonts w:hint="eastAsia" w:ascii="仿宋_GB2312" w:eastAsia="仿宋_GB2312"/>
          <w:highlight w:val="none"/>
          <w:lang w:val="en-US" w:eastAsia="zh-CN"/>
        </w:rPr>
        <w:t>并对</w:t>
      </w:r>
      <w:r>
        <w:rPr>
          <w:rFonts w:hint="eastAsia"/>
          <w:highlight w:val="none"/>
        </w:rPr>
        <w:t>工作情况进行抽查监督和动态监测</w:t>
      </w:r>
      <w:r>
        <w:rPr>
          <w:rFonts w:hint="eastAsia" w:eastAsia="仿宋_GB2312"/>
          <w:highlight w:val="none"/>
          <w:lang w:eastAsia="zh-CN"/>
        </w:rPr>
        <w:t>，</w:t>
      </w:r>
      <w:r>
        <w:rPr>
          <w:rFonts w:hint="eastAsia" w:ascii="仿宋_GB2312" w:eastAsia="仿宋_GB2312"/>
          <w:highlight w:val="none"/>
          <w:lang w:val="en-US" w:eastAsia="zh-CN"/>
        </w:rPr>
        <w:t>确保奖补资金使用合规。</w:t>
      </w:r>
    </w:p>
    <w:p>
      <w:pPr>
        <w:pStyle w:val="8"/>
        <w:spacing w:line="580" w:lineRule="exact"/>
        <w:ind w:firstLine="605"/>
        <w:rPr>
          <w:rFonts w:hint="default" w:eastAsia="楷体_GB2312"/>
          <w:highlight w:val="none"/>
          <w:lang w:val="en-US" w:eastAsia="zh-CN"/>
        </w:rPr>
      </w:pPr>
      <w:bookmarkStart w:id="501" w:name="_Toc135"/>
      <w:r>
        <w:rPr>
          <w:rFonts w:hint="eastAsia"/>
          <w:highlight w:val="none"/>
        </w:rPr>
        <w:t>（</w:t>
      </w:r>
      <w:r>
        <w:rPr>
          <w:rFonts w:hint="eastAsia"/>
          <w:highlight w:val="none"/>
          <w:lang w:val="en-US" w:eastAsia="zh-CN"/>
        </w:rPr>
        <w:t>四</w:t>
      </w:r>
      <w:r>
        <w:rPr>
          <w:rFonts w:hint="eastAsia"/>
          <w:highlight w:val="none"/>
        </w:rPr>
        <w:t>）</w:t>
      </w:r>
      <w:r>
        <w:rPr>
          <w:rFonts w:hint="eastAsia"/>
          <w:highlight w:val="none"/>
          <w:lang w:val="en-US" w:eastAsia="zh-CN"/>
        </w:rPr>
        <w:t>加强档案管理意识，规范档案管理工作</w:t>
      </w:r>
      <w:bookmarkEnd w:id="501"/>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bCs/>
          <w:sz w:val="32"/>
          <w:szCs w:val="32"/>
          <w:highlight w:val="none"/>
          <w:lang w:val="en-US" w:eastAsia="zh-CN"/>
        </w:rPr>
      </w:pPr>
      <w:r>
        <w:rPr>
          <w:rFonts w:hint="eastAsia"/>
          <w:highlight w:val="none"/>
        </w:rPr>
        <w:t>建议主管部门</w:t>
      </w:r>
      <w:r>
        <w:rPr>
          <w:rFonts w:hint="eastAsia" w:ascii="仿宋_GB2312" w:eastAsia="仿宋_GB2312"/>
          <w:highlight w:val="none"/>
          <w:lang w:val="en-US" w:eastAsia="zh-CN"/>
        </w:rPr>
        <w:t>增强对档案管理工作的重视</w:t>
      </w:r>
      <w:r>
        <w:rPr>
          <w:rFonts w:hint="eastAsia" w:ascii="仿宋_GB2312" w:hAnsi="仿宋" w:eastAsia="仿宋_GB2312"/>
          <w:bCs/>
          <w:sz w:val="32"/>
          <w:szCs w:val="32"/>
          <w:highlight w:val="none"/>
          <w:lang w:val="en-US" w:eastAsia="zh-CN"/>
        </w:rPr>
        <w:t>，明确</w:t>
      </w:r>
      <w:r>
        <w:rPr>
          <w:rFonts w:hint="eastAsia" w:hAnsi="仿宋"/>
          <w:bCs/>
          <w:sz w:val="32"/>
          <w:szCs w:val="32"/>
          <w:highlight w:val="none"/>
          <w:lang w:val="en-US" w:eastAsia="zh-CN"/>
        </w:rPr>
        <w:t>档案管理</w:t>
      </w:r>
      <w:r>
        <w:rPr>
          <w:rFonts w:hint="eastAsia" w:ascii="仿宋_GB2312" w:hAnsi="仿宋" w:eastAsia="仿宋_GB2312"/>
          <w:bCs/>
          <w:sz w:val="32"/>
          <w:szCs w:val="32"/>
          <w:highlight w:val="none"/>
          <w:lang w:val="en-US" w:eastAsia="zh-CN"/>
        </w:rPr>
        <w:t>责任人，</w:t>
      </w:r>
      <w:r>
        <w:rPr>
          <w:rFonts w:hint="eastAsia" w:hAnsi="仿宋"/>
          <w:bCs/>
          <w:sz w:val="32"/>
          <w:szCs w:val="32"/>
          <w:highlight w:val="none"/>
          <w:lang w:val="en-US" w:eastAsia="zh-CN"/>
        </w:rPr>
        <w:t>健全档案管理制度，提高档案管理工作技能水平，合理配置部门的档案资料，分类明确，提高检索率，从而提升部门的工作效率</w:t>
      </w:r>
      <w:r>
        <w:rPr>
          <w:rFonts w:hint="eastAsia" w:ascii="仿宋_GB2312" w:hAnsi="仿宋" w:eastAsia="仿宋_GB2312"/>
          <w:bCs/>
          <w:sz w:val="32"/>
          <w:szCs w:val="32"/>
          <w:highlight w:val="none"/>
          <w:lang w:val="en-US" w:eastAsia="zh-CN"/>
        </w:rPr>
        <w:t>。</w:t>
      </w:r>
    </w:p>
    <w:p>
      <w:pPr>
        <w:pStyle w:val="7"/>
        <w:spacing w:line="640" w:lineRule="exact"/>
        <w:ind w:firstLine="605"/>
        <w:rPr>
          <w:highlight w:val="none"/>
        </w:rPr>
      </w:pPr>
      <w:bookmarkStart w:id="502" w:name="_Toc26847"/>
      <w:r>
        <w:rPr>
          <w:rFonts w:hint="eastAsia"/>
          <w:highlight w:val="none"/>
          <w:lang w:val="en-US" w:eastAsia="zh-CN"/>
        </w:rPr>
        <w:t>八</w:t>
      </w:r>
      <w:r>
        <w:rPr>
          <w:rFonts w:hint="eastAsia"/>
          <w:highlight w:val="none"/>
        </w:rPr>
        <w:t>、其他需要说明的事项</w:t>
      </w:r>
      <w:bookmarkEnd w:id="502"/>
    </w:p>
    <w:p>
      <w:pPr>
        <w:pStyle w:val="2"/>
        <w:spacing w:line="580" w:lineRule="exact"/>
        <w:ind w:firstLine="640" w:firstLineChars="200"/>
        <w:rPr>
          <w:sz w:val="32"/>
          <w:szCs w:val="32"/>
          <w:highlight w:val="none"/>
        </w:rPr>
      </w:pPr>
      <w:r>
        <w:rPr>
          <w:rFonts w:hint="eastAsia"/>
          <w:sz w:val="32"/>
          <w:szCs w:val="32"/>
          <w:highlight w:val="none"/>
        </w:rPr>
        <w:t>无</w:t>
      </w:r>
    </w:p>
    <w:p>
      <w:pPr>
        <w:tabs>
          <w:tab w:val="left" w:pos="312"/>
        </w:tabs>
        <w:spacing w:before="60" w:after="120" w:line="580" w:lineRule="exact"/>
        <w:ind w:firstLine="640"/>
        <w:outlineLvl w:val="1"/>
        <w:rPr>
          <w:bCs/>
          <w:highlight w:val="none"/>
          <w:lang w:bidi="zh-CN"/>
        </w:rPr>
      </w:pPr>
      <w:bookmarkStart w:id="503" w:name="_Toc19825"/>
      <w:bookmarkStart w:id="504" w:name="_Toc1116"/>
      <w:r>
        <w:rPr>
          <w:rFonts w:ascii="Times New Roman" w:hAnsi="Times New Roman" w:cs="Times New Roman"/>
          <w:highlight w:val="none"/>
        </w:rPr>
        <w:t>附</w:t>
      </w:r>
      <w:r>
        <w:rPr>
          <w:rFonts w:hint="eastAsia" w:ascii="Times New Roman" w:hAnsi="Times New Roman" w:cs="Times New Roman"/>
          <w:highlight w:val="none"/>
        </w:rPr>
        <w:t>件</w:t>
      </w:r>
      <w:r>
        <w:rPr>
          <w:rFonts w:ascii="Times New Roman" w:hAnsi="Times New Roman" w:cs="Times New Roman"/>
          <w:highlight w:val="none"/>
        </w:rPr>
        <w:t>：</w:t>
      </w:r>
      <w:r>
        <w:rPr>
          <w:rFonts w:hint="eastAsia"/>
          <w:bCs/>
          <w:highlight w:val="none"/>
          <w:lang w:bidi="zh-CN"/>
        </w:rPr>
        <w:t>1.绩效评价得分表</w:t>
      </w:r>
      <w:bookmarkEnd w:id="503"/>
      <w:bookmarkEnd w:id="504"/>
    </w:p>
    <w:p>
      <w:pPr>
        <w:spacing w:before="60" w:after="120" w:line="580" w:lineRule="exact"/>
        <w:ind w:firstLine="1280" w:firstLineChars="400"/>
        <w:outlineLvl w:val="1"/>
        <w:rPr>
          <w:bCs/>
          <w:highlight w:val="none"/>
          <w:lang w:bidi="zh-CN"/>
        </w:rPr>
      </w:pPr>
      <w:r>
        <w:rPr>
          <w:rFonts w:hint="eastAsia"/>
          <w:bCs/>
          <w:highlight w:val="none"/>
          <w:lang w:bidi="zh-CN"/>
        </w:rPr>
        <w:t xml:space="preserve">  </w:t>
      </w:r>
      <w:bookmarkStart w:id="505" w:name="_Toc3994"/>
      <w:r>
        <w:rPr>
          <w:rFonts w:hint="eastAsia"/>
          <w:bCs/>
          <w:highlight w:val="none"/>
          <w:lang w:bidi="zh-CN"/>
        </w:rPr>
        <w:t>2.</w:t>
      </w:r>
      <w:r>
        <w:rPr>
          <w:rFonts w:hint="eastAsia"/>
          <w:highlight w:val="none"/>
        </w:rPr>
        <w:t>调查问卷</w:t>
      </w:r>
      <w:bookmarkEnd w:id="505"/>
    </w:p>
    <w:p>
      <w:pPr>
        <w:pStyle w:val="30"/>
        <w:ind w:firstLine="640"/>
        <w:outlineLvl w:val="9"/>
        <w:rPr>
          <w:highlight w:val="none"/>
        </w:rPr>
        <w:sectPr>
          <w:footerReference r:id="rId16" w:type="first"/>
          <w:footerReference r:id="rId15" w:type="default"/>
          <w:pgSz w:w="11906" w:h="16838"/>
          <w:pgMar w:top="1417" w:right="1474" w:bottom="1984" w:left="1587" w:header="851" w:footer="1474" w:gutter="0"/>
          <w:pgNumType w:fmt="decimal" w:start="1"/>
          <w:cols w:space="0" w:num="1"/>
          <w:titlePg/>
          <w:rtlGutter w:val="0"/>
          <w:docGrid w:type="lines" w:linePitch="440" w:charSpace="0"/>
        </w:sectPr>
      </w:pPr>
    </w:p>
    <w:p>
      <w:pPr>
        <w:pStyle w:val="7"/>
        <w:spacing w:line="640" w:lineRule="exact"/>
        <w:ind w:firstLine="605"/>
        <w:rPr>
          <w:highlight w:val="none"/>
        </w:rPr>
      </w:pPr>
      <w:bookmarkStart w:id="506" w:name="_Toc24430"/>
      <w:bookmarkStart w:id="507" w:name="_Toc2053"/>
      <w:r>
        <w:rPr>
          <w:rFonts w:hint="eastAsia"/>
          <w:highlight w:val="none"/>
        </w:rPr>
        <w:t>附件一  绩效指标评分表</w:t>
      </w:r>
      <w:bookmarkEnd w:id="506"/>
      <w:bookmarkEnd w:id="507"/>
    </w:p>
    <w:p>
      <w:pPr>
        <w:spacing w:line="640" w:lineRule="exact"/>
        <w:ind w:firstLine="0" w:firstLineChars="0"/>
        <w:jc w:val="center"/>
        <w:rPr>
          <w:rFonts w:ascii="方正小标宋简体" w:hAnsi="黑体" w:eastAsia="方正小标宋简体"/>
          <w:bCs/>
          <w:highlight w:val="none"/>
        </w:rPr>
      </w:pPr>
      <w:r>
        <w:rPr>
          <w:rFonts w:hint="eastAsia" w:ascii="方正小标宋简体" w:hAnsi="黑体" w:eastAsia="方正小标宋简体"/>
          <w:bCs/>
          <w:highlight w:val="none"/>
          <w:lang w:eastAsia="zh-CN"/>
        </w:rPr>
        <w:t>2022年度枣庄高新区英才计划项目</w:t>
      </w:r>
      <w:r>
        <w:rPr>
          <w:rFonts w:hint="eastAsia" w:ascii="方正小标宋简体" w:hAnsi="黑体" w:eastAsia="方正小标宋简体"/>
          <w:bCs/>
          <w:highlight w:val="none"/>
        </w:rPr>
        <w:t>绩效指标评分表</w:t>
      </w:r>
    </w:p>
    <w:p>
      <w:pPr>
        <w:spacing w:line="240" w:lineRule="auto"/>
        <w:ind w:firstLine="560"/>
        <w:rPr>
          <w:rFonts w:hAnsi="宋体" w:cs="宋体"/>
          <w:color w:val="000000"/>
          <w:sz w:val="28"/>
          <w:szCs w:val="28"/>
          <w:highlight w:val="none"/>
        </w:rPr>
      </w:pPr>
    </w:p>
    <w:tbl>
      <w:tblPr>
        <w:tblStyle w:val="32"/>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54"/>
        <w:gridCol w:w="1712"/>
        <w:gridCol w:w="2263"/>
        <w:gridCol w:w="3223"/>
        <w:gridCol w:w="73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39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b/>
                <w:color w:val="000000"/>
                <w:kern w:val="2"/>
                <w:sz w:val="18"/>
                <w:szCs w:val="18"/>
                <w:highlight w:val="none"/>
                <w:lang w:val="en-US" w:eastAsia="zh-CN" w:bidi="zh-CN"/>
              </w:rPr>
              <w:t>一</w:t>
            </w:r>
            <w:r>
              <w:rPr>
                <w:rFonts w:hint="eastAsia" w:ascii="宋体" w:hAnsi="宋体" w:eastAsia="宋体" w:cs="宋体"/>
                <w:b/>
                <w:color w:val="000000"/>
                <w:kern w:val="2"/>
                <w:sz w:val="18"/>
                <w:szCs w:val="18"/>
                <w:highlight w:val="none"/>
                <w:lang w:val="zh-CN" w:eastAsia="zh-CN" w:bidi="zh-CN"/>
              </w:rPr>
              <w:t>级指标</w:t>
            </w:r>
          </w:p>
        </w:tc>
        <w:tc>
          <w:tcPr>
            <w:tcW w:w="4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二级指标</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三级指标</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指标解释</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评分标准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得分</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color w:val="000000"/>
                <w:kern w:val="2"/>
                <w:sz w:val="18"/>
                <w:szCs w:val="18"/>
                <w:highlight w:val="none"/>
                <w:lang w:val="zh-CN" w:eastAsia="zh-CN" w:bidi="zh-CN"/>
              </w:rPr>
            </w:pPr>
            <w:r>
              <w:rPr>
                <w:rFonts w:hint="eastAsia" w:ascii="宋体" w:hAnsi="宋体" w:eastAsia="宋体" w:cs="宋体"/>
                <w:b/>
                <w:color w:val="000000"/>
                <w:kern w:val="2"/>
                <w:sz w:val="18"/>
                <w:szCs w:val="18"/>
                <w:highlight w:val="none"/>
                <w:lang w:val="zh-CN" w:eastAsia="zh-CN" w:bidi="zh-CN"/>
              </w:rPr>
              <w:t>失分</w:t>
            </w:r>
            <w:r>
              <w:rPr>
                <w:rFonts w:hint="eastAsia" w:ascii="宋体" w:hAnsi="宋体" w:eastAsia="宋体" w:cs="宋体"/>
                <w:b/>
                <w:color w:val="000000"/>
                <w:kern w:val="2"/>
                <w:sz w:val="18"/>
                <w:szCs w:val="18"/>
                <w:highlight w:val="no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393" w:type="pct"/>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决策（</w:t>
            </w:r>
            <w:r>
              <w:rPr>
                <w:rFonts w:hint="eastAsia" w:ascii="宋体" w:hAnsi="宋体" w:eastAsia="宋体" w:cs="宋体"/>
                <w:color w:val="000000"/>
                <w:kern w:val="2"/>
                <w:sz w:val="18"/>
                <w:szCs w:val="18"/>
                <w:highlight w:val="none"/>
                <w:lang w:val="en-US" w:eastAsia="zh-CN" w:bidi="zh-CN"/>
              </w:rPr>
              <w:t>2</w:t>
            </w:r>
            <w:r>
              <w:rPr>
                <w:rFonts w:hint="eastAsia" w:ascii="宋体" w:hAnsi="宋体" w:eastAsia="宋体" w:cs="宋体"/>
                <w:color w:val="000000"/>
                <w:kern w:val="2"/>
                <w:sz w:val="18"/>
                <w:szCs w:val="18"/>
                <w:highlight w:val="none"/>
                <w:lang w:val="zh-CN" w:eastAsia="zh-CN" w:bidi="zh-CN"/>
              </w:rPr>
              <w:t>0分）</w:t>
            </w: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项目立项（</w:t>
            </w:r>
            <w:r>
              <w:rPr>
                <w:rFonts w:hint="eastAsia" w:ascii="宋体" w:hAnsi="宋体" w:eastAsia="宋体" w:cs="宋体"/>
                <w:color w:val="000000"/>
                <w:kern w:val="2"/>
                <w:sz w:val="18"/>
                <w:szCs w:val="18"/>
                <w:highlight w:val="none"/>
                <w:lang w:val="en-US" w:eastAsia="zh-CN" w:bidi="zh-CN"/>
              </w:rPr>
              <w:t>8分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立项依据充分性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(4分)</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12"/>
                <w:kern w:val="2"/>
                <w:sz w:val="18"/>
                <w:szCs w:val="18"/>
                <w:highlight w:val="none"/>
                <w:lang w:val="zh-CN" w:eastAsia="zh-CN" w:bidi="zh-CN"/>
              </w:rPr>
              <w:t>项目立项是否符合法律法规、相</w:t>
            </w:r>
            <w:r>
              <w:rPr>
                <w:rFonts w:hint="eastAsia" w:ascii="宋体" w:hAnsi="宋体" w:eastAsia="宋体" w:cs="宋体"/>
                <w:color w:val="000000"/>
                <w:spacing w:val="5"/>
                <w:kern w:val="2"/>
                <w:sz w:val="18"/>
                <w:szCs w:val="18"/>
                <w:highlight w:val="none"/>
                <w:lang w:val="zh-CN" w:eastAsia="zh-CN" w:bidi="zh-CN"/>
              </w:rPr>
              <w:t>关政策、发展规划以及部门职</w:t>
            </w:r>
            <w:r>
              <w:rPr>
                <w:rFonts w:hint="eastAsia" w:ascii="宋体" w:hAnsi="宋体" w:eastAsia="宋体" w:cs="宋体"/>
                <w:color w:val="000000"/>
                <w:spacing w:val="-12"/>
                <w:kern w:val="2"/>
                <w:sz w:val="18"/>
                <w:szCs w:val="18"/>
                <w:highlight w:val="none"/>
                <w:lang w:val="zh-CN" w:eastAsia="zh-CN" w:bidi="zh-CN"/>
              </w:rPr>
              <w:t>责，用以反映和考核项目立项依</w:t>
            </w:r>
            <w:r>
              <w:rPr>
                <w:rFonts w:hint="eastAsia" w:ascii="宋体" w:hAnsi="宋体" w:eastAsia="宋体" w:cs="宋体"/>
                <w:color w:val="000000"/>
                <w:spacing w:val="-5"/>
                <w:kern w:val="2"/>
                <w:sz w:val="18"/>
                <w:szCs w:val="18"/>
                <w:highlight w:val="none"/>
                <w:lang w:val="zh-CN" w:eastAsia="zh-CN" w:bidi="zh-CN"/>
              </w:rPr>
              <w:t>据情况。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项目立项符合国家法律法规、国民经济发展规划和相关政策得</w:t>
            </w:r>
            <w:r>
              <w:rPr>
                <w:rFonts w:hint="eastAsia" w:ascii="宋体" w:hAnsi="宋体" w:eastAsia="宋体" w:cs="宋体"/>
                <w:color w:val="000000"/>
                <w:kern w:val="2"/>
                <w:sz w:val="18"/>
                <w:szCs w:val="18"/>
                <w:highlight w:val="none"/>
                <w:lang w:val="en-US" w:eastAsia="zh-CN" w:bidi="zh-CN"/>
              </w:rPr>
              <w:t>0.8分；</w:t>
            </w:r>
            <w:r>
              <w:rPr>
                <w:rFonts w:hint="eastAsia" w:ascii="宋体" w:hAnsi="宋体" w:eastAsia="宋体" w:cs="宋体"/>
                <w:color w:val="000000"/>
                <w:kern w:val="2"/>
                <w:sz w:val="18"/>
                <w:szCs w:val="18"/>
                <w:highlight w:val="none"/>
                <w:lang w:val="zh-CN" w:eastAsia="zh-CN" w:bidi="zh-CN"/>
              </w:rPr>
              <w:t>符合行业发展规划和政策要求得</w:t>
            </w:r>
            <w:r>
              <w:rPr>
                <w:rFonts w:hint="eastAsia" w:ascii="宋体" w:hAnsi="宋体" w:eastAsia="宋体" w:cs="宋体"/>
                <w:color w:val="000000"/>
                <w:kern w:val="2"/>
                <w:sz w:val="18"/>
                <w:szCs w:val="18"/>
                <w:highlight w:val="none"/>
                <w:lang w:val="en-US" w:eastAsia="zh-CN" w:bidi="zh-CN"/>
              </w:rPr>
              <w:t>0.8分</w:t>
            </w:r>
            <w:r>
              <w:rPr>
                <w:rFonts w:hint="eastAsia" w:ascii="宋体" w:hAnsi="宋体" w:eastAsia="宋体" w:cs="宋体"/>
                <w:color w:val="000000"/>
                <w:kern w:val="2"/>
                <w:sz w:val="18"/>
                <w:szCs w:val="18"/>
                <w:highlight w:val="none"/>
                <w:lang w:val="zh-CN" w:eastAsia="zh-CN" w:bidi="zh-CN"/>
              </w:rPr>
              <w:t>；与部门职责范围相符，属于部门履职所需得</w:t>
            </w:r>
            <w:r>
              <w:rPr>
                <w:rFonts w:hint="eastAsia" w:ascii="宋体" w:hAnsi="宋体" w:eastAsia="宋体" w:cs="宋体"/>
                <w:color w:val="000000"/>
                <w:kern w:val="2"/>
                <w:sz w:val="18"/>
                <w:szCs w:val="18"/>
                <w:highlight w:val="none"/>
                <w:lang w:val="en-US" w:eastAsia="zh-CN" w:bidi="zh-CN"/>
              </w:rPr>
              <w:t>0.8分</w:t>
            </w:r>
            <w:r>
              <w:rPr>
                <w:rFonts w:hint="eastAsia" w:ascii="宋体" w:hAnsi="宋体" w:eastAsia="宋体" w:cs="宋体"/>
                <w:color w:val="000000"/>
                <w:kern w:val="2"/>
                <w:sz w:val="18"/>
                <w:szCs w:val="18"/>
                <w:highlight w:val="none"/>
                <w:lang w:val="zh-CN" w:eastAsia="zh-CN" w:bidi="zh-CN"/>
              </w:rPr>
              <w:t>；属于公共财政支持范围，符合中央、地方事权支出责任划分原则得</w:t>
            </w:r>
            <w:r>
              <w:rPr>
                <w:rFonts w:hint="eastAsia" w:ascii="宋体" w:hAnsi="宋体" w:eastAsia="宋体" w:cs="宋体"/>
                <w:color w:val="000000"/>
                <w:kern w:val="2"/>
                <w:sz w:val="18"/>
                <w:szCs w:val="18"/>
                <w:highlight w:val="none"/>
                <w:lang w:val="en-US" w:eastAsia="zh-CN" w:bidi="zh-CN"/>
              </w:rPr>
              <w:t>0.8分</w:t>
            </w:r>
            <w:r>
              <w:rPr>
                <w:rFonts w:hint="eastAsia" w:ascii="宋体" w:hAnsi="宋体" w:eastAsia="宋体" w:cs="宋体"/>
                <w:color w:val="000000"/>
                <w:kern w:val="2"/>
                <w:sz w:val="18"/>
                <w:szCs w:val="18"/>
                <w:highlight w:val="none"/>
                <w:lang w:val="zh-CN" w:eastAsia="zh-CN" w:bidi="zh-CN"/>
              </w:rPr>
              <w:t>；没有与相关部门同类项目或部门内部相关项目重复得</w:t>
            </w:r>
            <w:r>
              <w:rPr>
                <w:rFonts w:hint="eastAsia" w:ascii="宋体" w:hAnsi="宋体" w:eastAsia="宋体" w:cs="宋体"/>
                <w:color w:val="000000"/>
                <w:kern w:val="2"/>
                <w:sz w:val="18"/>
                <w:szCs w:val="18"/>
                <w:highlight w:val="none"/>
                <w:lang w:val="en-US" w:eastAsia="zh-CN" w:bidi="zh-CN"/>
              </w:rPr>
              <w:t>0.8分。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E w:val="0"/>
              <w:autoSpaceDN w:val="0"/>
              <w:ind w:left="0" w:leftChars="0" w:firstLine="0" w:firstLineChars="0"/>
              <w:jc w:val="both"/>
              <w:rPr>
                <w:rFonts w:hint="eastAsia" w:ascii="宋体" w:hAnsi="宋体" w:eastAsia="宋体" w:cs="宋体"/>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立项程序规范性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13"/>
                <w:kern w:val="2"/>
                <w:sz w:val="18"/>
                <w:szCs w:val="18"/>
                <w:highlight w:val="none"/>
                <w:lang w:val="zh-CN" w:eastAsia="zh-CN" w:bidi="zh-CN"/>
              </w:rPr>
              <w:t>项目申请、设立过程是否符合相</w:t>
            </w:r>
            <w:r>
              <w:rPr>
                <w:rFonts w:hint="eastAsia" w:ascii="宋体" w:hAnsi="宋体" w:eastAsia="宋体" w:cs="宋体"/>
                <w:color w:val="000000"/>
                <w:spacing w:val="-12"/>
                <w:kern w:val="2"/>
                <w:sz w:val="18"/>
                <w:szCs w:val="18"/>
                <w:highlight w:val="none"/>
                <w:lang w:val="zh-CN" w:eastAsia="zh-CN" w:bidi="zh-CN"/>
              </w:rPr>
              <w:t>关要求，用以反映和考核项目立</w:t>
            </w:r>
            <w:r>
              <w:rPr>
                <w:rFonts w:hint="eastAsia" w:ascii="宋体" w:hAnsi="宋体" w:eastAsia="宋体" w:cs="宋体"/>
                <w:color w:val="000000"/>
                <w:spacing w:val="-5"/>
                <w:kern w:val="2"/>
                <w:sz w:val="18"/>
                <w:szCs w:val="18"/>
                <w:highlight w:val="none"/>
                <w:lang w:val="zh-CN" w:eastAsia="zh-CN" w:bidi="zh-CN"/>
              </w:rPr>
              <w:t>项的规范情况。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0"/>
                <w:sz w:val="18"/>
                <w:szCs w:val="18"/>
                <w:highlight w:val="none"/>
                <w:lang w:val="zh-CN" w:bidi="zh-CN"/>
              </w:rPr>
              <w:t>项目按照规定的程序申请设立得</w:t>
            </w:r>
            <w:r>
              <w:rPr>
                <w:rFonts w:hint="eastAsia" w:ascii="宋体" w:hAnsi="宋体" w:eastAsia="宋体" w:cs="宋体"/>
                <w:color w:val="000000"/>
                <w:kern w:val="0"/>
                <w:sz w:val="18"/>
                <w:szCs w:val="18"/>
                <w:highlight w:val="none"/>
                <w:lang w:val="en-US" w:eastAsia="zh-CN" w:bidi="zh-CN"/>
              </w:rPr>
              <w:t>1</w:t>
            </w:r>
            <w:r>
              <w:rPr>
                <w:rFonts w:hint="eastAsia" w:ascii="宋体" w:hAnsi="宋体" w:eastAsia="宋体" w:cs="宋体"/>
                <w:color w:val="000000"/>
                <w:kern w:val="0"/>
                <w:sz w:val="18"/>
                <w:szCs w:val="18"/>
                <w:highlight w:val="none"/>
                <w:lang w:val="zh-CN" w:bidi="zh-CN"/>
              </w:rPr>
              <w:t>分；审批文件、材料符合相关要求得</w:t>
            </w:r>
            <w:r>
              <w:rPr>
                <w:rFonts w:hint="eastAsia" w:ascii="宋体" w:hAnsi="宋体" w:eastAsia="宋体" w:cs="宋体"/>
                <w:color w:val="000000"/>
                <w:kern w:val="0"/>
                <w:sz w:val="18"/>
                <w:szCs w:val="18"/>
                <w:highlight w:val="none"/>
                <w:lang w:val="en-US" w:eastAsia="zh-CN" w:bidi="zh-CN"/>
              </w:rPr>
              <w:t>1</w:t>
            </w:r>
            <w:r>
              <w:rPr>
                <w:rFonts w:hint="eastAsia" w:ascii="宋体" w:hAnsi="宋体" w:eastAsia="宋体" w:cs="宋体"/>
                <w:color w:val="000000"/>
                <w:kern w:val="0"/>
                <w:sz w:val="18"/>
                <w:szCs w:val="18"/>
                <w:highlight w:val="none"/>
                <w:lang w:val="zh-CN" w:bidi="zh-CN"/>
              </w:rPr>
              <w:t>分；事前已经过必要的可行性研究、专家论证、风险评估、绩效评估、集体决策等满足其中</w:t>
            </w:r>
            <w:r>
              <w:rPr>
                <w:rFonts w:hint="eastAsia" w:ascii="宋体" w:hAnsi="宋体" w:eastAsia="宋体" w:cs="宋体"/>
                <w:color w:val="000000"/>
                <w:kern w:val="0"/>
                <w:sz w:val="18"/>
                <w:szCs w:val="18"/>
                <w:highlight w:val="none"/>
                <w:lang w:val="en-US" w:eastAsia="zh-CN" w:bidi="zh-CN"/>
              </w:rPr>
              <w:t>1</w:t>
            </w:r>
            <w:r>
              <w:rPr>
                <w:rFonts w:hint="eastAsia" w:ascii="宋体" w:hAnsi="宋体" w:eastAsia="宋体" w:cs="宋体"/>
                <w:color w:val="000000"/>
                <w:kern w:val="0"/>
                <w:sz w:val="18"/>
                <w:szCs w:val="18"/>
                <w:highlight w:val="none"/>
                <w:lang w:val="zh-CN" w:bidi="zh-CN"/>
              </w:rPr>
              <w:t>项得</w:t>
            </w:r>
            <w:r>
              <w:rPr>
                <w:rFonts w:hint="eastAsia" w:ascii="宋体" w:hAnsi="宋体" w:eastAsia="宋体" w:cs="宋体"/>
                <w:color w:val="000000"/>
                <w:kern w:val="0"/>
                <w:sz w:val="18"/>
                <w:szCs w:val="18"/>
                <w:highlight w:val="none"/>
                <w:lang w:val="en-US" w:eastAsia="zh-CN" w:bidi="zh-CN"/>
              </w:rPr>
              <w:t>2</w:t>
            </w:r>
            <w:r>
              <w:rPr>
                <w:rFonts w:hint="eastAsia" w:ascii="宋体" w:hAnsi="宋体" w:eastAsia="宋体" w:cs="宋体"/>
                <w:color w:val="000000"/>
                <w:kern w:val="0"/>
                <w:sz w:val="18"/>
                <w:szCs w:val="18"/>
                <w:highlight w:val="none"/>
                <w:lang w:val="zh-CN" w:bidi="zh-CN"/>
              </w:rPr>
              <w:t>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000000" w:sz="8" w:space="0"/>
              <w:right w:val="single" w:color="000000" w:sz="8" w:space="0"/>
            </w:tcBorders>
            <w:shd w:val="clear" w:color="auto" w:fill="FFFFFF"/>
            <w:vAlign w:val="center"/>
          </w:tcPr>
          <w:p>
            <w:pPr>
              <w:widowControl w:val="0"/>
              <w:autoSpaceDE w:val="0"/>
              <w:autoSpaceDN w:val="0"/>
              <w:ind w:firstLine="360" w:firstLineChars="200"/>
              <w:rPr>
                <w:rFonts w:hint="eastAsia" w:ascii="宋体" w:hAnsi="宋体" w:eastAsia="宋体" w:cs="宋体"/>
                <w:sz w:val="18"/>
                <w:szCs w:val="18"/>
                <w:highlight w:val="none"/>
                <w:lang w:val="zh-CN" w:eastAsia="zh-CN" w:bidi="zh-CN"/>
              </w:rPr>
            </w:pP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绩效目标（</w:t>
            </w:r>
            <w:r>
              <w:rPr>
                <w:rFonts w:hint="eastAsia" w:ascii="宋体" w:hAnsi="宋体" w:eastAsia="宋体" w:cs="宋体"/>
                <w:color w:val="000000"/>
                <w:kern w:val="2"/>
                <w:sz w:val="18"/>
                <w:szCs w:val="18"/>
                <w:highlight w:val="none"/>
                <w:lang w:val="en-US" w:eastAsia="zh-CN" w:bidi="zh-CN"/>
              </w:rPr>
              <w:t>5分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绩效目标合理性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2分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pacing w:val="5"/>
                <w:kern w:val="2"/>
                <w:sz w:val="18"/>
                <w:szCs w:val="18"/>
                <w:highlight w:val="none"/>
                <w:lang w:val="zh-CN" w:eastAsia="zh-CN" w:bidi="zh-CN"/>
              </w:rPr>
              <w:t>项目所设定的绩效目标是否依</w:t>
            </w:r>
            <w:r>
              <w:rPr>
                <w:rFonts w:hint="eastAsia" w:ascii="宋体" w:hAnsi="宋体" w:eastAsia="宋体" w:cs="宋体"/>
                <w:color w:val="000000"/>
                <w:spacing w:val="-13"/>
                <w:kern w:val="2"/>
                <w:sz w:val="18"/>
                <w:szCs w:val="18"/>
                <w:highlight w:val="none"/>
                <w:lang w:val="zh-CN" w:eastAsia="zh-CN" w:bidi="zh-CN"/>
              </w:rPr>
              <w:t>据充分，是否符合客观实际，用</w:t>
            </w:r>
            <w:r>
              <w:rPr>
                <w:rFonts w:hint="eastAsia" w:ascii="宋体" w:hAnsi="宋体" w:eastAsia="宋体" w:cs="宋体"/>
                <w:color w:val="000000"/>
                <w:spacing w:val="5"/>
                <w:kern w:val="2"/>
                <w:sz w:val="18"/>
                <w:szCs w:val="18"/>
                <w:highlight w:val="none"/>
                <w:lang w:val="zh-CN" w:eastAsia="zh-CN" w:bidi="zh-CN"/>
              </w:rPr>
              <w:t>以反映和考核项目绩效目标与</w:t>
            </w:r>
            <w:r>
              <w:rPr>
                <w:rFonts w:hint="eastAsia" w:ascii="宋体" w:hAnsi="宋体" w:eastAsia="宋体" w:cs="宋体"/>
                <w:color w:val="000000"/>
                <w:spacing w:val="-3"/>
                <w:kern w:val="2"/>
                <w:sz w:val="18"/>
                <w:szCs w:val="18"/>
                <w:highlight w:val="none"/>
                <w:lang w:val="zh-CN" w:eastAsia="zh-CN" w:bidi="zh-CN"/>
              </w:rPr>
              <w:t>项目实施的相符情况。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项目有绩效目标得</w:t>
            </w:r>
            <w:r>
              <w:rPr>
                <w:rFonts w:hint="eastAsia" w:ascii="宋体" w:hAnsi="宋体" w:eastAsia="宋体" w:cs="宋体"/>
                <w:color w:val="000000"/>
                <w:kern w:val="2"/>
                <w:sz w:val="18"/>
                <w:szCs w:val="18"/>
                <w:highlight w:val="none"/>
                <w:lang w:val="en-US" w:eastAsia="zh-CN" w:bidi="zh-CN"/>
              </w:rPr>
              <w:t>0.5分，若没有则绩效目标二级指标整体不得分；</w:t>
            </w:r>
            <w:r>
              <w:rPr>
                <w:rFonts w:hint="eastAsia" w:ascii="宋体" w:hAnsi="宋体" w:eastAsia="宋体" w:cs="宋体"/>
                <w:color w:val="000000"/>
                <w:kern w:val="2"/>
                <w:sz w:val="18"/>
                <w:szCs w:val="18"/>
                <w:highlight w:val="none"/>
                <w:lang w:val="zh-CN" w:eastAsia="zh-CN" w:bidi="zh-CN"/>
              </w:rPr>
              <w:t>项目绩效目标与实际工作内容具有相关性得</w:t>
            </w:r>
            <w:r>
              <w:rPr>
                <w:rFonts w:hint="eastAsia" w:ascii="宋体" w:hAnsi="宋体" w:eastAsia="宋体" w:cs="宋体"/>
                <w:color w:val="000000"/>
                <w:kern w:val="2"/>
                <w:sz w:val="18"/>
                <w:szCs w:val="18"/>
                <w:highlight w:val="none"/>
                <w:lang w:val="en-US" w:eastAsia="zh-CN" w:bidi="zh-CN"/>
              </w:rPr>
              <w:t>0.5分；</w:t>
            </w:r>
            <w:r>
              <w:rPr>
                <w:rFonts w:hint="eastAsia" w:ascii="宋体" w:hAnsi="宋体" w:eastAsia="宋体" w:cs="宋体"/>
                <w:color w:val="000000"/>
                <w:kern w:val="2"/>
                <w:sz w:val="18"/>
                <w:szCs w:val="18"/>
                <w:highlight w:val="none"/>
                <w:lang w:val="zh-CN" w:eastAsia="zh-CN" w:bidi="zh-CN"/>
              </w:rPr>
              <w:t>项目预期产出效益和效果符合正常的业绩水平得</w:t>
            </w:r>
            <w:r>
              <w:rPr>
                <w:rFonts w:hint="eastAsia" w:ascii="宋体" w:hAnsi="宋体" w:eastAsia="宋体" w:cs="宋体"/>
                <w:color w:val="000000"/>
                <w:kern w:val="2"/>
                <w:sz w:val="18"/>
                <w:szCs w:val="18"/>
                <w:highlight w:val="none"/>
                <w:lang w:val="en-US" w:eastAsia="zh-CN" w:bidi="zh-CN"/>
              </w:rPr>
              <w:t>0.5分；</w:t>
            </w:r>
            <w:r>
              <w:rPr>
                <w:rFonts w:hint="eastAsia" w:ascii="宋体" w:hAnsi="宋体" w:eastAsia="宋体" w:cs="宋体"/>
                <w:color w:val="000000"/>
                <w:kern w:val="2"/>
                <w:sz w:val="18"/>
                <w:szCs w:val="18"/>
                <w:highlight w:val="none"/>
                <w:lang w:val="zh-CN" w:eastAsia="zh-CN" w:bidi="zh-CN"/>
              </w:rPr>
              <w:t>与预算确定的项目相匹配得</w:t>
            </w:r>
            <w:r>
              <w:rPr>
                <w:rFonts w:hint="eastAsia" w:ascii="宋体" w:hAnsi="宋体" w:eastAsia="宋体" w:cs="宋体"/>
                <w:color w:val="000000"/>
                <w:kern w:val="2"/>
                <w:sz w:val="18"/>
                <w:szCs w:val="18"/>
                <w:highlight w:val="none"/>
                <w:lang w:val="en-US" w:eastAsia="zh-CN" w:bidi="zh-CN"/>
              </w:rPr>
              <w:t>0.5分。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绩效指标明确性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3分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依据绩效目标设定的绩效指标是否清晰、细化、可衡量等,用以反映和考核项目绩效目标的明细化情况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pacing w:val="-5"/>
                <w:kern w:val="2"/>
                <w:sz w:val="18"/>
                <w:szCs w:val="18"/>
                <w:highlight w:val="none"/>
                <w:lang w:val="zh-CN" w:eastAsia="zh-CN" w:bidi="zh-CN"/>
              </w:rPr>
              <w:t>项目绩效目标细化分解为具体的绩效指标得</w:t>
            </w:r>
            <w:r>
              <w:rPr>
                <w:rFonts w:hint="eastAsia" w:ascii="宋体" w:hAnsi="宋体" w:eastAsia="宋体" w:cs="宋体"/>
                <w:color w:val="000000"/>
                <w:spacing w:val="-5"/>
                <w:kern w:val="2"/>
                <w:sz w:val="18"/>
                <w:szCs w:val="18"/>
                <w:highlight w:val="none"/>
                <w:lang w:val="en-US" w:eastAsia="zh-CN" w:bidi="zh-CN"/>
              </w:rPr>
              <w:t>1分；</w:t>
            </w:r>
            <w:r>
              <w:rPr>
                <w:rFonts w:hint="eastAsia" w:ascii="宋体" w:hAnsi="宋体" w:eastAsia="宋体" w:cs="宋体"/>
                <w:color w:val="000000"/>
                <w:spacing w:val="-5"/>
                <w:kern w:val="2"/>
                <w:sz w:val="18"/>
                <w:szCs w:val="18"/>
                <w:highlight w:val="none"/>
                <w:lang w:val="zh-CN" w:eastAsia="zh-CN" w:bidi="zh-CN"/>
              </w:rPr>
              <w:t>通</w:t>
            </w:r>
            <w:r>
              <w:rPr>
                <w:rFonts w:hint="eastAsia" w:ascii="宋体" w:hAnsi="宋体" w:eastAsia="宋体" w:cs="宋体"/>
                <w:color w:val="000000"/>
                <w:spacing w:val="-3"/>
                <w:kern w:val="2"/>
                <w:sz w:val="18"/>
                <w:szCs w:val="18"/>
                <w:highlight w:val="none"/>
                <w:lang w:val="zh-CN" w:eastAsia="zh-CN" w:bidi="zh-CN"/>
              </w:rPr>
              <w:t>过清晰、可衡量的指标值予以体现得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与项目目标任务数或计划数</w:t>
            </w:r>
            <w:r>
              <w:rPr>
                <w:rFonts w:hint="eastAsia" w:ascii="宋体" w:hAnsi="宋体" w:eastAsia="宋体" w:cs="宋体"/>
                <w:color w:val="000000"/>
                <w:spacing w:val="-2"/>
                <w:kern w:val="2"/>
                <w:sz w:val="18"/>
                <w:szCs w:val="18"/>
                <w:highlight w:val="none"/>
                <w:lang w:val="zh-CN" w:eastAsia="zh-CN" w:bidi="zh-CN"/>
              </w:rPr>
              <w:t>相对应得</w:t>
            </w:r>
            <w:r>
              <w:rPr>
                <w:rFonts w:hint="eastAsia" w:ascii="宋体" w:hAnsi="宋体" w:eastAsia="宋体" w:cs="宋体"/>
                <w:color w:val="000000"/>
                <w:spacing w:val="-2"/>
                <w:kern w:val="2"/>
                <w:sz w:val="18"/>
                <w:szCs w:val="18"/>
                <w:highlight w:val="none"/>
                <w:lang w:val="en-US" w:eastAsia="zh-CN" w:bidi="zh-CN"/>
              </w:rPr>
              <w:t>1分。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spacing w:val="-5"/>
                <w:kern w:val="2"/>
                <w:sz w:val="18"/>
                <w:szCs w:val="18"/>
                <w:highlight w:val="none"/>
                <w:lang w:val="en-US" w:eastAsia="zh-CN" w:bidi="zh-CN"/>
              </w:rPr>
            </w:pPr>
            <w:r>
              <w:rPr>
                <w:rFonts w:hint="eastAsia" w:ascii="宋体" w:hAnsi="宋体" w:eastAsia="宋体" w:cs="宋体"/>
                <w:color w:val="auto"/>
                <w:spacing w:val="-5"/>
                <w:kern w:val="2"/>
                <w:sz w:val="18"/>
                <w:szCs w:val="18"/>
                <w:highlight w:val="none"/>
                <w:lang w:val="en-US" w:eastAsia="zh-CN" w:bidi="zh-CN"/>
              </w:rPr>
              <w:t>1</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pacing w:val="-5"/>
                <w:kern w:val="2"/>
                <w:sz w:val="18"/>
                <w:szCs w:val="18"/>
                <w:highlight w:val="none"/>
                <w:lang w:val="zh-CN" w:eastAsia="zh-CN" w:bidi="zh-CN"/>
              </w:rPr>
              <w:t>项目绩效目标</w:t>
            </w:r>
            <w:r>
              <w:rPr>
                <w:rFonts w:hint="eastAsia" w:ascii="宋体" w:hAnsi="宋体" w:eastAsia="宋体" w:cs="宋体"/>
                <w:color w:val="000000"/>
                <w:spacing w:val="-5"/>
                <w:kern w:val="2"/>
                <w:sz w:val="18"/>
                <w:szCs w:val="18"/>
                <w:highlight w:val="none"/>
                <w:lang w:val="en-US" w:eastAsia="zh-CN" w:bidi="zh-CN"/>
              </w:rPr>
              <w:t>未</w:t>
            </w:r>
            <w:r>
              <w:rPr>
                <w:rFonts w:hint="eastAsia" w:ascii="宋体" w:hAnsi="宋体" w:eastAsia="宋体" w:cs="宋体"/>
                <w:color w:val="000000"/>
                <w:spacing w:val="-5"/>
                <w:kern w:val="2"/>
                <w:sz w:val="18"/>
                <w:szCs w:val="18"/>
                <w:highlight w:val="none"/>
                <w:lang w:val="zh-CN" w:eastAsia="zh-CN" w:bidi="zh-CN"/>
              </w:rPr>
              <w:t>细化分解为具体的绩效指标；</w:t>
            </w:r>
            <w:r>
              <w:rPr>
                <w:rFonts w:hint="eastAsia" w:ascii="宋体" w:hAnsi="宋体" w:eastAsia="宋体" w:cs="宋体"/>
                <w:color w:val="000000"/>
                <w:spacing w:val="-3"/>
                <w:kern w:val="2"/>
                <w:sz w:val="18"/>
                <w:szCs w:val="18"/>
                <w:highlight w:val="none"/>
                <w:lang w:val="zh-CN" w:eastAsia="zh-CN" w:bidi="zh-CN"/>
              </w:rPr>
              <w:t>项目目标任务数或计划数</w:t>
            </w:r>
            <w:r>
              <w:rPr>
                <w:rFonts w:hint="eastAsia" w:ascii="宋体" w:hAnsi="宋体" w:eastAsia="宋体" w:cs="宋体"/>
                <w:color w:val="000000"/>
                <w:spacing w:val="-3"/>
                <w:kern w:val="2"/>
                <w:sz w:val="18"/>
                <w:szCs w:val="18"/>
                <w:highlight w:val="none"/>
                <w:lang w:val="en-US" w:eastAsia="zh-CN" w:bidi="zh-CN"/>
              </w:rPr>
              <w:t>不</w:t>
            </w:r>
            <w:r>
              <w:rPr>
                <w:rFonts w:hint="eastAsia" w:ascii="宋体" w:hAnsi="宋体" w:eastAsia="宋体" w:cs="宋体"/>
                <w:color w:val="000000"/>
                <w:spacing w:val="-2"/>
                <w:kern w:val="2"/>
                <w:sz w:val="18"/>
                <w:szCs w:val="18"/>
                <w:highlight w:val="none"/>
                <w:lang w:val="zh-CN" w:eastAsia="zh-CN" w:bidi="zh-CN"/>
              </w:rPr>
              <w:t>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资金投入（</w:t>
            </w:r>
            <w:r>
              <w:rPr>
                <w:rFonts w:hint="eastAsia" w:ascii="宋体" w:hAnsi="宋体" w:eastAsia="宋体" w:cs="宋体"/>
                <w:color w:val="000000"/>
                <w:kern w:val="2"/>
                <w:sz w:val="18"/>
                <w:szCs w:val="18"/>
                <w:highlight w:val="none"/>
                <w:lang w:val="en-US" w:eastAsia="zh-CN" w:bidi="zh-CN"/>
              </w:rPr>
              <w:t>7分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预算编制科学性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项目预算编制是否经过科学论</w:t>
            </w:r>
            <w:r>
              <w:rPr>
                <w:rFonts w:hint="eastAsia" w:ascii="宋体" w:hAnsi="宋体" w:eastAsia="宋体" w:cs="宋体"/>
                <w:color w:val="000000"/>
                <w:spacing w:val="-13"/>
                <w:kern w:val="2"/>
                <w:sz w:val="18"/>
                <w:szCs w:val="18"/>
                <w:highlight w:val="none"/>
                <w:lang w:val="zh-CN" w:eastAsia="zh-CN" w:bidi="zh-CN"/>
              </w:rPr>
              <w:t>证、有明确标准，资金额度与年</w:t>
            </w:r>
            <w:r>
              <w:rPr>
                <w:rFonts w:hint="eastAsia" w:ascii="宋体" w:hAnsi="宋体" w:eastAsia="宋体" w:cs="宋体"/>
                <w:color w:val="000000"/>
                <w:spacing w:val="-12"/>
                <w:kern w:val="2"/>
                <w:sz w:val="18"/>
                <w:szCs w:val="18"/>
                <w:highlight w:val="none"/>
                <w:lang w:val="zh-CN" w:eastAsia="zh-CN" w:bidi="zh-CN"/>
              </w:rPr>
              <w:t>度目标是否相适应，用以反映和考核项目预算编制的科学性、合</w:t>
            </w:r>
            <w:r>
              <w:rPr>
                <w:rFonts w:hint="eastAsia" w:ascii="宋体" w:hAnsi="宋体" w:eastAsia="宋体" w:cs="宋体"/>
                <w:color w:val="000000"/>
                <w:spacing w:val="-4"/>
                <w:kern w:val="2"/>
                <w:sz w:val="18"/>
                <w:szCs w:val="18"/>
                <w:highlight w:val="none"/>
                <w:lang w:val="zh-CN" w:eastAsia="zh-CN" w:bidi="zh-CN"/>
              </w:rPr>
              <w:t>理性情况。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预算编制</w:t>
            </w:r>
            <w:r>
              <w:rPr>
                <w:rFonts w:hint="eastAsia" w:ascii="宋体" w:hAnsi="宋体" w:eastAsia="宋体" w:cs="宋体"/>
                <w:color w:val="000000"/>
                <w:spacing w:val="-5"/>
                <w:kern w:val="2"/>
                <w:sz w:val="18"/>
                <w:szCs w:val="18"/>
                <w:highlight w:val="none"/>
                <w:lang w:val="zh-CN" w:eastAsia="zh-CN" w:bidi="zh-CN"/>
              </w:rPr>
              <w:t>经过科学论证得</w:t>
            </w:r>
            <w:r>
              <w:rPr>
                <w:rFonts w:hint="eastAsia" w:ascii="宋体" w:hAnsi="宋体" w:eastAsia="宋体" w:cs="宋体"/>
                <w:color w:val="000000"/>
                <w:spacing w:val="-5"/>
                <w:kern w:val="2"/>
                <w:sz w:val="18"/>
                <w:szCs w:val="18"/>
                <w:highlight w:val="none"/>
                <w:lang w:val="en-US" w:eastAsia="zh-CN" w:bidi="zh-CN"/>
              </w:rPr>
              <w:t>1分；</w:t>
            </w:r>
            <w:r>
              <w:rPr>
                <w:rFonts w:hint="eastAsia" w:ascii="宋体" w:hAnsi="宋体" w:eastAsia="宋体" w:cs="宋体"/>
                <w:color w:val="000000"/>
                <w:spacing w:val="-5"/>
                <w:kern w:val="2"/>
                <w:sz w:val="18"/>
                <w:szCs w:val="18"/>
                <w:highlight w:val="none"/>
                <w:lang w:val="zh-CN" w:eastAsia="zh-CN" w:bidi="zh-CN"/>
              </w:rPr>
              <w:t>预算内容与项目内容相匹</w:t>
            </w:r>
            <w:r>
              <w:rPr>
                <w:rFonts w:hint="eastAsia" w:ascii="宋体" w:hAnsi="宋体" w:eastAsia="宋体" w:cs="宋体"/>
                <w:color w:val="000000"/>
                <w:spacing w:val="-4"/>
                <w:kern w:val="2"/>
                <w:sz w:val="18"/>
                <w:szCs w:val="18"/>
                <w:highlight w:val="none"/>
                <w:lang w:val="zh-CN" w:eastAsia="zh-CN" w:bidi="zh-CN"/>
              </w:rPr>
              <w:t>配得</w:t>
            </w:r>
            <w:r>
              <w:rPr>
                <w:rFonts w:hint="eastAsia" w:ascii="宋体" w:hAnsi="宋体" w:eastAsia="宋体" w:cs="宋体"/>
                <w:color w:val="000000"/>
                <w:spacing w:val="-4"/>
                <w:kern w:val="2"/>
                <w:sz w:val="18"/>
                <w:szCs w:val="18"/>
                <w:highlight w:val="none"/>
                <w:lang w:val="en-US" w:eastAsia="zh-CN" w:bidi="zh-CN"/>
              </w:rPr>
              <w:t>1分</w:t>
            </w:r>
            <w:r>
              <w:rPr>
                <w:rFonts w:hint="eastAsia" w:ascii="宋体" w:hAnsi="宋体" w:eastAsia="宋体" w:cs="宋体"/>
                <w:color w:val="000000"/>
                <w:spacing w:val="-4"/>
                <w:kern w:val="2"/>
                <w:sz w:val="18"/>
                <w:szCs w:val="18"/>
                <w:highlight w:val="none"/>
                <w:lang w:val="zh-CN" w:eastAsia="zh-CN" w:bidi="zh-CN"/>
              </w:rPr>
              <w:t>；预算额度测算依据充分,按照标准编制得</w:t>
            </w:r>
            <w:r>
              <w:rPr>
                <w:rFonts w:hint="eastAsia" w:ascii="宋体" w:hAnsi="宋体" w:eastAsia="宋体" w:cs="宋体"/>
                <w:color w:val="000000"/>
                <w:spacing w:val="-4"/>
                <w:kern w:val="2"/>
                <w:sz w:val="18"/>
                <w:szCs w:val="18"/>
                <w:highlight w:val="none"/>
                <w:lang w:val="en-US" w:eastAsia="zh-CN" w:bidi="zh-CN"/>
              </w:rPr>
              <w:t>1分</w:t>
            </w:r>
            <w:r>
              <w:rPr>
                <w:rFonts w:hint="eastAsia" w:ascii="宋体" w:hAnsi="宋体" w:eastAsia="宋体" w:cs="宋体"/>
                <w:color w:val="000000"/>
                <w:spacing w:val="-4"/>
                <w:kern w:val="2"/>
                <w:sz w:val="18"/>
                <w:szCs w:val="18"/>
                <w:highlight w:val="none"/>
                <w:lang w:val="zh-CN" w:eastAsia="zh-CN" w:bidi="zh-CN"/>
              </w:rPr>
              <w:t>；预算确定的项</w:t>
            </w:r>
            <w:r>
              <w:rPr>
                <w:rFonts w:hint="eastAsia" w:ascii="宋体" w:hAnsi="宋体" w:eastAsia="宋体" w:cs="宋体"/>
                <w:color w:val="000000"/>
                <w:spacing w:val="-3"/>
                <w:kern w:val="2"/>
                <w:sz w:val="18"/>
                <w:szCs w:val="18"/>
                <w:highlight w:val="none"/>
                <w:lang w:val="zh-CN" w:eastAsia="zh-CN" w:bidi="zh-CN"/>
              </w:rPr>
              <w:t>目相匹配得</w:t>
            </w:r>
            <w:r>
              <w:rPr>
                <w:rFonts w:hint="eastAsia" w:ascii="宋体" w:hAnsi="宋体" w:eastAsia="宋体" w:cs="宋体"/>
                <w:color w:val="000000"/>
                <w:spacing w:val="-3"/>
                <w:kern w:val="2"/>
                <w:sz w:val="18"/>
                <w:szCs w:val="18"/>
                <w:highlight w:val="none"/>
                <w:lang w:val="en-US" w:eastAsia="zh-CN" w:bidi="zh-CN"/>
              </w:rPr>
              <w:t>1分。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3</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spacing w:val="-4"/>
                <w:kern w:val="2"/>
                <w:sz w:val="18"/>
                <w:szCs w:val="18"/>
                <w:highlight w:val="none"/>
                <w:lang w:val="zh-CN" w:eastAsia="zh-CN" w:bidi="zh-CN"/>
              </w:rPr>
              <w:t>预算额度</w:t>
            </w:r>
            <w:r>
              <w:rPr>
                <w:rFonts w:hint="eastAsia" w:ascii="宋体" w:hAnsi="宋体" w:eastAsia="宋体" w:cs="宋体"/>
                <w:color w:val="000000"/>
                <w:spacing w:val="-13"/>
                <w:kern w:val="2"/>
                <w:sz w:val="18"/>
                <w:szCs w:val="18"/>
                <w:highlight w:val="none"/>
                <w:lang w:val="zh-CN" w:eastAsia="zh-CN" w:bidi="zh-CN"/>
              </w:rPr>
              <w:t>与年</w:t>
            </w:r>
            <w:r>
              <w:rPr>
                <w:rFonts w:hint="eastAsia" w:ascii="宋体" w:hAnsi="宋体" w:eastAsia="宋体" w:cs="宋体"/>
                <w:color w:val="000000"/>
                <w:spacing w:val="-12"/>
                <w:kern w:val="2"/>
                <w:sz w:val="18"/>
                <w:szCs w:val="18"/>
                <w:highlight w:val="none"/>
                <w:lang w:val="zh-CN" w:eastAsia="zh-CN" w:bidi="zh-CN"/>
              </w:rPr>
              <w:t>度目标</w:t>
            </w:r>
            <w:r>
              <w:rPr>
                <w:rFonts w:hint="eastAsia" w:ascii="宋体" w:hAnsi="宋体" w:eastAsia="宋体" w:cs="宋体"/>
                <w:color w:val="000000"/>
                <w:spacing w:val="-12"/>
                <w:kern w:val="2"/>
                <w:sz w:val="18"/>
                <w:szCs w:val="18"/>
                <w:highlight w:val="none"/>
                <w:lang w:val="en-US" w:eastAsia="zh-CN" w:bidi="zh-CN"/>
              </w:rPr>
              <w:t>不匹配，未按政策标准编制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资金分配合理性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3分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项目预算资金分配是否有测算</w:t>
            </w:r>
            <w:r>
              <w:rPr>
                <w:rFonts w:hint="eastAsia" w:ascii="宋体" w:hAnsi="宋体" w:eastAsia="宋体" w:cs="宋体"/>
                <w:color w:val="000000"/>
                <w:spacing w:val="-12"/>
                <w:kern w:val="2"/>
                <w:sz w:val="18"/>
                <w:szCs w:val="18"/>
                <w:highlight w:val="none"/>
                <w:lang w:val="zh-CN" w:eastAsia="zh-CN" w:bidi="zh-CN"/>
              </w:rPr>
              <w:t>依据，与补助单位或地方实际是</w:t>
            </w:r>
            <w:r>
              <w:rPr>
                <w:rFonts w:hint="eastAsia" w:ascii="宋体" w:hAnsi="宋体" w:eastAsia="宋体" w:cs="宋体"/>
                <w:color w:val="000000"/>
                <w:spacing w:val="-13"/>
                <w:kern w:val="2"/>
                <w:sz w:val="18"/>
                <w:szCs w:val="18"/>
                <w:highlight w:val="none"/>
                <w:lang w:val="zh-CN" w:eastAsia="zh-CN" w:bidi="zh-CN"/>
              </w:rPr>
              <w:t>否相适应，用以反映和考核项目预算资金分配的科学性、合理性</w:t>
            </w:r>
            <w:r>
              <w:rPr>
                <w:rFonts w:hint="eastAsia" w:ascii="宋体" w:hAnsi="宋体" w:eastAsia="宋体" w:cs="宋体"/>
                <w:color w:val="000000"/>
                <w:spacing w:val="-6"/>
                <w:kern w:val="2"/>
                <w:sz w:val="18"/>
                <w:szCs w:val="18"/>
                <w:highlight w:val="none"/>
                <w:lang w:val="zh-CN" w:eastAsia="zh-CN" w:bidi="zh-CN"/>
              </w:rPr>
              <w:t>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预算资金分配依据充分得</w:t>
            </w:r>
            <w:r>
              <w:rPr>
                <w:rFonts w:hint="eastAsia" w:ascii="宋体" w:hAnsi="宋体" w:eastAsia="宋体" w:cs="宋体"/>
                <w:color w:val="000000"/>
                <w:kern w:val="2"/>
                <w:sz w:val="18"/>
                <w:szCs w:val="18"/>
                <w:highlight w:val="none"/>
                <w:lang w:val="en-US" w:eastAsia="zh-CN" w:bidi="zh-CN"/>
              </w:rPr>
              <w:t>1.5分；</w:t>
            </w:r>
            <w:r>
              <w:rPr>
                <w:rFonts w:hint="eastAsia" w:ascii="宋体" w:hAnsi="宋体" w:eastAsia="宋体" w:cs="宋体"/>
                <w:color w:val="000000"/>
                <w:kern w:val="2"/>
                <w:sz w:val="18"/>
                <w:szCs w:val="18"/>
                <w:highlight w:val="none"/>
                <w:lang w:val="zh-CN" w:eastAsia="zh-CN" w:bidi="zh-CN"/>
              </w:rPr>
              <w:t>资金分配额度合理,与项目单位或地方实际相适应得</w:t>
            </w:r>
            <w:r>
              <w:rPr>
                <w:rFonts w:hint="eastAsia" w:ascii="宋体" w:hAnsi="宋体" w:eastAsia="宋体" w:cs="宋体"/>
                <w:color w:val="000000"/>
                <w:kern w:val="2"/>
                <w:sz w:val="18"/>
                <w:szCs w:val="18"/>
                <w:highlight w:val="none"/>
                <w:lang w:val="en-US" w:eastAsia="zh-CN" w:bidi="zh-CN"/>
              </w:rPr>
              <w:t>1.5分</w:t>
            </w:r>
            <w:r>
              <w:rPr>
                <w:rFonts w:hint="eastAsia" w:ascii="宋体" w:hAnsi="宋体" w:eastAsia="宋体" w:cs="宋体"/>
                <w:color w:val="000000"/>
                <w:kern w:val="2"/>
                <w:sz w:val="18"/>
                <w:szCs w:val="18"/>
                <w:highlight w:val="none"/>
                <w:lang w:val="zh-CN" w:eastAsia="zh-CN" w:bidi="zh-CN"/>
              </w:rPr>
              <w:t>。</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3</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39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过程（</w:t>
            </w:r>
            <w:r>
              <w:rPr>
                <w:rFonts w:hint="eastAsia" w:ascii="宋体" w:hAnsi="宋体" w:eastAsia="宋体" w:cs="宋体"/>
                <w:color w:val="000000"/>
                <w:kern w:val="2"/>
                <w:sz w:val="18"/>
                <w:szCs w:val="18"/>
                <w:highlight w:val="none"/>
                <w:lang w:val="en-US" w:eastAsia="zh-CN" w:bidi="zh-CN"/>
              </w:rPr>
              <w:t>20分</w:t>
            </w:r>
            <w:r>
              <w:rPr>
                <w:rFonts w:hint="eastAsia" w:ascii="宋体" w:hAnsi="宋体" w:eastAsia="宋体" w:cs="宋体"/>
                <w:color w:val="000000"/>
                <w:kern w:val="2"/>
                <w:sz w:val="18"/>
                <w:szCs w:val="18"/>
                <w:highlight w:val="none"/>
                <w:lang w:val="zh-CN" w:eastAsia="zh-CN" w:bidi="zh-CN"/>
              </w:rPr>
              <w:t>）</w:t>
            </w: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资金管理（</w:t>
            </w:r>
            <w:r>
              <w:rPr>
                <w:rFonts w:hint="eastAsia" w:ascii="宋体" w:hAnsi="宋体" w:eastAsia="宋体" w:cs="宋体"/>
                <w:color w:val="000000"/>
                <w:kern w:val="2"/>
                <w:sz w:val="18"/>
                <w:szCs w:val="18"/>
                <w:highlight w:val="none"/>
                <w:lang w:val="en-US" w:eastAsia="zh-CN" w:bidi="zh-CN"/>
              </w:rPr>
              <w:t>12分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资金到位率（</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实际到位资金与预算资金的比率,用以反映和考核资金落实情</w:t>
            </w:r>
            <w:r>
              <w:rPr>
                <w:rFonts w:hint="eastAsia" w:ascii="宋体" w:hAnsi="宋体" w:eastAsia="宋体" w:cs="宋体"/>
                <w:color w:val="000000"/>
                <w:spacing w:val="-9"/>
                <w:kern w:val="2"/>
                <w:sz w:val="18"/>
                <w:szCs w:val="18"/>
                <w:highlight w:val="none"/>
                <w:lang w:val="zh-CN" w:eastAsia="zh-CN" w:bidi="zh-CN"/>
              </w:rPr>
              <w:t>况对项目实施的总体保障程度。</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资金到位率达到100%得</w:t>
            </w:r>
            <w:r>
              <w:rPr>
                <w:rFonts w:hint="eastAsia" w:ascii="宋体" w:hAnsi="宋体" w:eastAsia="宋体" w:cs="宋体"/>
                <w:color w:val="000000"/>
                <w:kern w:val="2"/>
                <w:sz w:val="18"/>
                <w:szCs w:val="18"/>
                <w:highlight w:val="none"/>
                <w:lang w:val="en-US" w:eastAsia="zh-CN" w:bidi="zh-CN"/>
              </w:rPr>
              <w:t>4分，每降低1%扣0.1分，扣完为止。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预算执行率（</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项目预算资金是否按照计划执行,用以反映或考核项目预算执行情况。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预算执行率达到100%得</w:t>
            </w:r>
            <w:r>
              <w:rPr>
                <w:rFonts w:hint="eastAsia" w:ascii="宋体" w:hAnsi="宋体" w:eastAsia="宋体" w:cs="宋体"/>
                <w:color w:val="000000"/>
                <w:kern w:val="2"/>
                <w:sz w:val="18"/>
                <w:szCs w:val="18"/>
                <w:highlight w:val="none"/>
                <w:lang w:val="en-US" w:eastAsia="zh-CN" w:bidi="zh-CN"/>
              </w:rPr>
              <w:t>4分，每降低1%扣0.1分，扣完为止。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资金使用合规性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项目资金使用是否符合相关的</w:t>
            </w:r>
            <w:r>
              <w:rPr>
                <w:rFonts w:hint="eastAsia" w:ascii="宋体" w:hAnsi="宋体" w:eastAsia="宋体" w:cs="宋体"/>
                <w:color w:val="000000"/>
                <w:spacing w:val="-12"/>
                <w:kern w:val="2"/>
                <w:sz w:val="18"/>
                <w:szCs w:val="18"/>
                <w:highlight w:val="none"/>
                <w:lang w:val="zh-CN" w:eastAsia="zh-CN" w:bidi="zh-CN"/>
              </w:rPr>
              <w:t>财务管理制度规定，用以反映和</w:t>
            </w:r>
            <w:r>
              <w:rPr>
                <w:rFonts w:hint="eastAsia" w:ascii="宋体" w:hAnsi="宋体" w:eastAsia="宋体" w:cs="宋体"/>
                <w:color w:val="000000"/>
                <w:spacing w:val="-5"/>
                <w:kern w:val="2"/>
                <w:sz w:val="18"/>
                <w:szCs w:val="18"/>
                <w:highlight w:val="none"/>
                <w:lang w:val="zh-CN" w:eastAsia="zh-CN" w:bidi="zh-CN"/>
              </w:rPr>
              <w:t>考核项目资金的规范运行情况。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zh-CN" w:eastAsia="zh-CN" w:bidi="zh-CN"/>
              </w:rPr>
              <w:t>项目资金</w:t>
            </w:r>
            <w:r>
              <w:rPr>
                <w:rFonts w:hint="eastAsia" w:ascii="宋体" w:hAnsi="宋体" w:eastAsia="宋体" w:cs="宋体"/>
                <w:color w:val="000000"/>
                <w:spacing w:val="-3"/>
                <w:kern w:val="2"/>
                <w:sz w:val="18"/>
                <w:szCs w:val="18"/>
                <w:highlight w:val="none"/>
                <w:lang w:val="zh-CN" w:eastAsia="zh-CN" w:bidi="zh-CN"/>
              </w:rPr>
              <w:t>符合国家财经法规和财务管理制度以及有关专项资金管理办法的规定得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；资金的拨付有完整的审批程序和手续得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；符合项目预算批复或合同规定的用途得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；不存在截留、挤占、挪用、虚</w:t>
            </w:r>
            <w:r>
              <w:rPr>
                <w:rFonts w:hint="eastAsia" w:ascii="宋体" w:hAnsi="宋体" w:eastAsia="宋体" w:cs="宋体"/>
                <w:color w:val="000000"/>
                <w:kern w:val="2"/>
                <w:sz w:val="18"/>
                <w:szCs w:val="18"/>
                <w:highlight w:val="none"/>
                <w:lang w:val="zh-CN" w:eastAsia="zh-CN" w:bidi="zh-CN"/>
              </w:rPr>
              <w:t>列支出等情况</w:t>
            </w:r>
            <w:r>
              <w:rPr>
                <w:rFonts w:hint="eastAsia" w:ascii="宋体" w:hAnsi="宋体" w:eastAsia="宋体" w:cs="宋体"/>
                <w:color w:val="000000"/>
                <w:spacing w:val="-3"/>
                <w:kern w:val="2"/>
                <w:sz w:val="18"/>
                <w:szCs w:val="18"/>
                <w:highlight w:val="none"/>
                <w:lang w:val="zh-CN" w:eastAsia="zh-CN" w:bidi="zh-CN"/>
              </w:rPr>
              <w:t>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kern w:val="2"/>
                <w:sz w:val="18"/>
                <w:szCs w:val="18"/>
                <w:highlight w:val="none"/>
                <w:lang w:val="zh-CN" w:eastAsia="zh-CN" w:bidi="zh-CN"/>
              </w:rPr>
              <w:t>。</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按照英才工作合同，先支付项目启动资金50%，管理期期满验收后支付后50%，而实际一次性支全部资金。且八度阳光合同签订项目未正式启动，资金未按照合同约定用于该项目的研发。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组织实施（</w:t>
            </w:r>
            <w:r>
              <w:rPr>
                <w:rFonts w:hint="eastAsia" w:ascii="宋体" w:hAnsi="宋体" w:eastAsia="宋体" w:cs="宋体"/>
                <w:color w:val="000000"/>
                <w:kern w:val="2"/>
                <w:sz w:val="18"/>
                <w:szCs w:val="18"/>
                <w:highlight w:val="none"/>
                <w:lang w:val="en-US" w:eastAsia="zh-CN" w:bidi="zh-CN"/>
              </w:rPr>
              <w:t>8分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管理制度健全性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spacing w:val="-3"/>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项目实施单位的财务和业务管理制度是否健全,用以反映和考核财务和业务管理制度对项目顺利实施的保障情况。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zh-CN" w:eastAsia="zh-CN" w:bidi="zh-CN"/>
              </w:rPr>
              <w:t>项目实施单位制定或具有相应的财务管理</w:t>
            </w:r>
            <w:r>
              <w:rPr>
                <w:rFonts w:hint="eastAsia" w:ascii="宋体" w:hAnsi="宋体" w:eastAsia="宋体" w:cs="宋体"/>
                <w:color w:val="000000"/>
                <w:spacing w:val="-3"/>
                <w:kern w:val="2"/>
                <w:sz w:val="18"/>
                <w:szCs w:val="18"/>
                <w:highlight w:val="none"/>
                <w:lang w:val="en-US" w:eastAsia="zh-CN" w:bidi="zh-CN"/>
              </w:rPr>
              <w:t>制度得1分，具有业务管理</w:t>
            </w:r>
            <w:r>
              <w:rPr>
                <w:rFonts w:hint="eastAsia" w:ascii="宋体" w:hAnsi="宋体" w:eastAsia="宋体" w:cs="宋体"/>
                <w:color w:val="000000"/>
                <w:spacing w:val="-3"/>
                <w:kern w:val="2"/>
                <w:sz w:val="18"/>
                <w:szCs w:val="18"/>
                <w:highlight w:val="none"/>
                <w:lang w:val="zh-CN" w:eastAsia="zh-CN" w:bidi="zh-CN"/>
              </w:rPr>
              <w:t>制度得</w:t>
            </w:r>
            <w:r>
              <w:rPr>
                <w:rFonts w:hint="eastAsia" w:ascii="宋体" w:hAnsi="宋体" w:eastAsia="宋体" w:cs="宋体"/>
                <w:color w:val="000000"/>
                <w:spacing w:val="-3"/>
                <w:kern w:val="2"/>
                <w:sz w:val="18"/>
                <w:szCs w:val="18"/>
                <w:highlight w:val="none"/>
                <w:lang w:val="en-US" w:eastAsia="zh-CN" w:bidi="zh-CN"/>
              </w:rPr>
              <w:t>1分，否则本项指标不得分；</w:t>
            </w:r>
            <w:r>
              <w:rPr>
                <w:rFonts w:hint="eastAsia" w:ascii="宋体" w:hAnsi="宋体" w:eastAsia="宋体" w:cs="宋体"/>
                <w:color w:val="000000"/>
                <w:spacing w:val="-3"/>
                <w:kern w:val="2"/>
                <w:sz w:val="18"/>
                <w:szCs w:val="18"/>
                <w:highlight w:val="none"/>
                <w:lang w:val="zh-CN" w:eastAsia="zh-CN" w:bidi="zh-CN"/>
              </w:rPr>
              <w:t>财务管理制度合法、合规、完整得</w:t>
            </w:r>
            <w:r>
              <w:rPr>
                <w:rFonts w:hint="eastAsia" w:ascii="宋体" w:hAnsi="宋体" w:eastAsia="宋体" w:cs="宋体"/>
                <w:color w:val="000000"/>
                <w:spacing w:val="-3"/>
                <w:kern w:val="2"/>
                <w:sz w:val="18"/>
                <w:szCs w:val="18"/>
                <w:highlight w:val="none"/>
                <w:lang w:val="en-US" w:eastAsia="zh-CN" w:bidi="zh-CN"/>
              </w:rPr>
              <w:t>1分；业务管理制度合法、合规、完整得1分。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en-US" w:eastAsia="zh-CN" w:bidi="zh-CN"/>
              </w:rPr>
              <w:t>枣庄英才计划项目需要进行动态监管，人才人选公布之后3个月内未正常开展工作的，经评估认定后需采取相应的措施，并非只进行中期评估和期满验收工作。主管部门需要根据政策要求制定相应的动态监管制度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制度执行有效性</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pacing w:val="-3"/>
                <w:kern w:val="2"/>
                <w:sz w:val="18"/>
                <w:szCs w:val="18"/>
                <w:highlight w:val="none"/>
                <w:lang w:val="zh-CN" w:eastAsia="zh-CN" w:bidi="zh-CN"/>
              </w:rPr>
              <w:t>项目实施是否符合相关管理规</w:t>
            </w:r>
            <w:r>
              <w:rPr>
                <w:rFonts w:hint="eastAsia" w:ascii="宋体" w:hAnsi="宋体" w:eastAsia="宋体" w:cs="宋体"/>
                <w:color w:val="000000"/>
                <w:spacing w:val="-12"/>
                <w:kern w:val="2"/>
                <w:sz w:val="18"/>
                <w:szCs w:val="18"/>
                <w:highlight w:val="none"/>
                <w:lang w:val="zh-CN" w:eastAsia="zh-CN" w:bidi="zh-CN"/>
              </w:rPr>
              <w:t>定，用以反映和考核相关管理制</w:t>
            </w:r>
            <w:r>
              <w:rPr>
                <w:rFonts w:hint="eastAsia" w:ascii="宋体" w:hAnsi="宋体" w:eastAsia="宋体" w:cs="宋体"/>
                <w:color w:val="000000"/>
                <w:spacing w:val="-5"/>
                <w:kern w:val="2"/>
                <w:sz w:val="18"/>
                <w:szCs w:val="18"/>
                <w:highlight w:val="none"/>
                <w:lang w:val="zh-CN" w:eastAsia="zh-CN" w:bidi="zh-CN"/>
              </w:rPr>
              <w:t>度的有效执行情况。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eastAsia"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zh-CN" w:eastAsia="zh-CN" w:bidi="zh-CN"/>
              </w:rPr>
              <w:t>项目实施遵守相关法律法规和相关管理规定得</w:t>
            </w:r>
            <w:r>
              <w:rPr>
                <w:rFonts w:hint="eastAsia" w:ascii="宋体" w:hAnsi="宋体" w:eastAsia="宋体" w:cs="宋体"/>
                <w:color w:val="000000"/>
                <w:spacing w:val="-3"/>
                <w:kern w:val="2"/>
                <w:sz w:val="18"/>
                <w:szCs w:val="18"/>
                <w:highlight w:val="none"/>
                <w:lang w:val="en-US" w:eastAsia="zh-CN" w:bidi="zh-CN"/>
              </w:rPr>
              <w:t>3分；</w:t>
            </w:r>
          </w:p>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both"/>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zh-CN" w:eastAsia="zh-CN" w:bidi="zh-CN"/>
              </w:rPr>
              <w:t>项目调整及支出调整手续完备得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项目资料齐全并及时归档得</w:t>
            </w:r>
            <w:r>
              <w:rPr>
                <w:rFonts w:hint="eastAsia" w:ascii="宋体" w:hAnsi="宋体" w:eastAsia="宋体" w:cs="宋体"/>
                <w:color w:val="000000"/>
                <w:spacing w:val="-3"/>
                <w:kern w:val="2"/>
                <w:sz w:val="18"/>
                <w:szCs w:val="18"/>
                <w:highlight w:val="none"/>
                <w:lang w:val="en-US" w:eastAsia="zh-CN" w:bidi="zh-CN"/>
              </w:rPr>
              <w:t>1分；</w:t>
            </w:r>
            <w:r>
              <w:rPr>
                <w:rFonts w:hint="eastAsia" w:ascii="宋体" w:hAnsi="宋体" w:eastAsia="宋体" w:cs="宋体"/>
                <w:color w:val="000000"/>
                <w:spacing w:val="-3"/>
                <w:kern w:val="2"/>
                <w:sz w:val="18"/>
                <w:szCs w:val="18"/>
                <w:highlight w:val="none"/>
                <w:lang w:val="zh-CN" w:eastAsia="zh-CN" w:bidi="zh-CN"/>
              </w:rPr>
              <w:t>项目实施的人员条件、场地设备、信息支撑等落实到位得</w:t>
            </w:r>
            <w:r>
              <w:rPr>
                <w:rFonts w:hint="eastAsia" w:ascii="宋体" w:hAnsi="宋体" w:eastAsia="宋体" w:cs="宋体"/>
                <w:color w:val="000000"/>
                <w:spacing w:val="-3"/>
                <w:kern w:val="2"/>
                <w:sz w:val="18"/>
                <w:szCs w:val="18"/>
                <w:highlight w:val="none"/>
                <w:lang w:val="en-US" w:eastAsia="zh-CN" w:bidi="zh-CN"/>
              </w:rPr>
              <w:t>1分，以上未完成一项扣1分，扣完为止。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en-US" w:eastAsia="zh-CN" w:bidi="zh-CN"/>
              </w:rPr>
              <w:t>0</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zh-CN" w:eastAsia="zh-CN" w:bidi="zh-CN"/>
              </w:rPr>
              <w:t>项目2021年公布人选，2022年8月份拨付资金，截止到2022年12月底枣庄八度阳光能源科技有限公司的签约项目仍未按合同要求落地，相当于未进行动态管理，制度执行不到位。项目资料</w:t>
            </w:r>
            <w:r>
              <w:rPr>
                <w:rFonts w:hint="eastAsia" w:ascii="宋体" w:hAnsi="宋体" w:eastAsia="宋体" w:cs="宋体"/>
                <w:color w:val="000000"/>
                <w:spacing w:val="-3"/>
                <w:kern w:val="2"/>
                <w:sz w:val="18"/>
                <w:szCs w:val="18"/>
                <w:highlight w:val="none"/>
                <w:lang w:val="en-US" w:eastAsia="zh-CN" w:bidi="zh-CN"/>
              </w:rPr>
              <w:t>未</w:t>
            </w:r>
            <w:r>
              <w:rPr>
                <w:rFonts w:hint="eastAsia" w:ascii="宋体" w:hAnsi="宋体" w:eastAsia="宋体" w:cs="宋体"/>
                <w:color w:val="000000"/>
                <w:spacing w:val="-3"/>
                <w:kern w:val="2"/>
                <w:sz w:val="18"/>
                <w:szCs w:val="18"/>
                <w:highlight w:val="none"/>
                <w:lang w:val="zh-CN" w:eastAsia="zh-CN" w:bidi="zh-CN"/>
              </w:rPr>
              <w:t>及时归档，</w:t>
            </w:r>
            <w:r>
              <w:rPr>
                <w:rFonts w:hint="eastAsia" w:ascii="宋体" w:hAnsi="宋体" w:eastAsia="宋体" w:cs="宋体"/>
                <w:color w:val="000000"/>
                <w:spacing w:val="-3"/>
                <w:kern w:val="2"/>
                <w:sz w:val="18"/>
                <w:szCs w:val="18"/>
                <w:highlight w:val="none"/>
                <w:lang w:val="en-US" w:eastAsia="zh-CN" w:bidi="zh-CN"/>
              </w:rPr>
              <w:t>由于更换系统，党群工作部对2022年英才工程申报企业的审核资料丢失，无法体现其审核流程。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产出（30分）</w:t>
            </w: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产出数量（10分）</w:t>
            </w:r>
          </w:p>
        </w:tc>
        <w:tc>
          <w:tcPr>
            <w:tcW w:w="681"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枣庄英才奖补科技创业类企业数量（5分）</w:t>
            </w:r>
          </w:p>
        </w:tc>
        <w:tc>
          <w:tcPr>
            <w:tcW w:w="900" w:type="pct"/>
            <w:tcBorders>
              <w:top w:val="single" w:color="000000" w:sz="8" w:space="0"/>
              <w:left w:val="single" w:color="000000" w:sz="8" w:space="0"/>
              <w:right w:val="single" w:color="000000" w:sz="8" w:space="0"/>
            </w:tcBorders>
            <w:shd w:val="clear" w:color="auto" w:fill="FFFFFF"/>
            <w:vAlign w:val="center"/>
          </w:tcPr>
          <w:p>
            <w:pPr>
              <w:widowControl/>
              <w:autoSpaceDE w:val="0"/>
              <w:autoSpaceDN w:val="0"/>
              <w:adjustRightInd/>
              <w:snapToGrid/>
              <w:spacing w:line="300" w:lineRule="exact"/>
              <w:ind w:firstLine="0" w:firstLineChars="0"/>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考察实施</w:t>
            </w:r>
            <w:r>
              <w:rPr>
                <w:rFonts w:hint="eastAsia" w:ascii="宋体" w:hAnsi="宋体" w:eastAsia="宋体" w:cs="宋体"/>
                <w:color w:val="000000"/>
                <w:sz w:val="18"/>
                <w:szCs w:val="18"/>
                <w:highlight w:val="none"/>
                <w:lang w:val="en-US" w:eastAsia="zh-CN" w:bidi="zh-CN"/>
              </w:rPr>
              <w:t>枣庄英才集聚工程</w:t>
            </w:r>
            <w:r>
              <w:rPr>
                <w:rFonts w:hint="eastAsia" w:ascii="宋体" w:hAnsi="宋体" w:eastAsia="宋体" w:cs="宋体"/>
                <w:color w:val="000000"/>
                <w:sz w:val="18"/>
                <w:szCs w:val="18"/>
                <w:highlight w:val="none"/>
                <w:lang w:val="zh-CN" w:bidi="zh-CN"/>
              </w:rPr>
              <w:t>过程中</w:t>
            </w:r>
            <w:r>
              <w:rPr>
                <w:rFonts w:hint="eastAsia" w:ascii="宋体" w:hAnsi="宋体" w:eastAsia="宋体" w:cs="宋体"/>
                <w:color w:val="000000"/>
                <w:sz w:val="18"/>
                <w:szCs w:val="18"/>
                <w:highlight w:val="none"/>
                <w:lang w:val="en-US" w:eastAsia="zh-CN" w:bidi="zh-CN"/>
              </w:rPr>
              <w:t>对</w:t>
            </w:r>
            <w:r>
              <w:rPr>
                <w:rFonts w:hint="eastAsia" w:ascii="宋体" w:hAnsi="宋体" w:eastAsia="宋体" w:cs="宋体"/>
                <w:color w:val="000000"/>
                <w:kern w:val="2"/>
                <w:sz w:val="18"/>
                <w:szCs w:val="18"/>
                <w:highlight w:val="none"/>
                <w:lang w:val="en-US" w:eastAsia="zh-CN" w:bidi="zh-CN"/>
              </w:rPr>
              <w:t>科技创业类企业发放奖补资金的情况。</w:t>
            </w:r>
          </w:p>
        </w:tc>
        <w:tc>
          <w:tcPr>
            <w:tcW w:w="128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完成枣庄英才奖补科技创业类企业数量2个，得满分，少一个企业扣2.5分。</w:t>
            </w:r>
          </w:p>
        </w:tc>
        <w:tc>
          <w:tcPr>
            <w:tcW w:w="29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5</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c>
          <w:tcPr>
            <w:tcW w:w="459"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c>
          <w:tcPr>
            <w:tcW w:w="681"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枣庄英才奖补产业创新类企业数量（5分）</w:t>
            </w:r>
          </w:p>
        </w:tc>
        <w:tc>
          <w:tcPr>
            <w:tcW w:w="900" w:type="pct"/>
            <w:tcBorders>
              <w:top w:val="single" w:color="000000" w:sz="8" w:space="0"/>
              <w:left w:val="single" w:color="000000" w:sz="8" w:space="0"/>
              <w:right w:val="single" w:color="000000" w:sz="8" w:space="0"/>
            </w:tcBorders>
            <w:shd w:val="clear" w:color="auto" w:fill="FFFFFF"/>
            <w:vAlign w:val="center"/>
          </w:tcPr>
          <w:p>
            <w:pPr>
              <w:widowControl/>
              <w:autoSpaceDE w:val="0"/>
              <w:autoSpaceDN w:val="0"/>
              <w:adjustRightInd/>
              <w:snapToGrid/>
              <w:spacing w:line="300" w:lineRule="exact"/>
              <w:ind w:firstLine="0" w:firstLineChars="0"/>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考察实施</w:t>
            </w:r>
            <w:r>
              <w:rPr>
                <w:rFonts w:hint="eastAsia" w:ascii="宋体" w:hAnsi="宋体" w:eastAsia="宋体" w:cs="宋体"/>
                <w:color w:val="000000"/>
                <w:sz w:val="18"/>
                <w:szCs w:val="18"/>
                <w:highlight w:val="none"/>
                <w:lang w:val="en-US" w:eastAsia="zh-CN" w:bidi="zh-CN"/>
              </w:rPr>
              <w:t>枣庄英才集聚工程</w:t>
            </w:r>
            <w:r>
              <w:rPr>
                <w:rFonts w:hint="eastAsia" w:ascii="宋体" w:hAnsi="宋体" w:eastAsia="宋体" w:cs="宋体"/>
                <w:color w:val="000000"/>
                <w:sz w:val="18"/>
                <w:szCs w:val="18"/>
                <w:highlight w:val="none"/>
                <w:lang w:val="zh-CN" w:bidi="zh-CN"/>
              </w:rPr>
              <w:t>过程中</w:t>
            </w:r>
            <w:r>
              <w:rPr>
                <w:rFonts w:hint="eastAsia" w:ascii="宋体" w:hAnsi="宋体" w:eastAsia="宋体" w:cs="宋体"/>
                <w:color w:val="000000"/>
                <w:sz w:val="18"/>
                <w:szCs w:val="18"/>
                <w:highlight w:val="none"/>
                <w:lang w:val="en-US" w:eastAsia="zh-CN" w:bidi="zh-CN"/>
              </w:rPr>
              <w:t>对</w:t>
            </w:r>
            <w:r>
              <w:rPr>
                <w:rFonts w:hint="eastAsia" w:ascii="宋体" w:hAnsi="宋体" w:eastAsia="宋体" w:cs="宋体"/>
                <w:color w:val="000000"/>
                <w:kern w:val="2"/>
                <w:sz w:val="18"/>
                <w:szCs w:val="18"/>
                <w:highlight w:val="none"/>
                <w:lang w:val="en-US" w:eastAsia="zh-CN" w:bidi="zh-CN"/>
              </w:rPr>
              <w:t>产业创新企业发放奖补资金的情况。</w:t>
            </w:r>
          </w:p>
        </w:tc>
        <w:tc>
          <w:tcPr>
            <w:tcW w:w="128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right="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完成枣庄英才奖补产业创新类企业数量1个，得满分，少一个企业扣5分。</w:t>
            </w:r>
          </w:p>
        </w:tc>
        <w:tc>
          <w:tcPr>
            <w:tcW w:w="29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5</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产出质量（</w:t>
            </w:r>
            <w:r>
              <w:rPr>
                <w:rFonts w:hint="eastAsia" w:ascii="宋体" w:hAnsi="宋体" w:eastAsia="宋体" w:cs="宋体"/>
                <w:color w:val="000000"/>
                <w:kern w:val="2"/>
                <w:sz w:val="18"/>
                <w:szCs w:val="18"/>
                <w:highlight w:val="none"/>
                <w:lang w:val="en-US" w:eastAsia="zh-CN" w:bidi="zh-CN"/>
              </w:rPr>
              <w:t>10分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en-US" w:eastAsia="zh-CN" w:bidi="zh-CN"/>
              </w:rPr>
              <w:t>科技创业类获奖补企业</w:t>
            </w:r>
            <w:r>
              <w:rPr>
                <w:rFonts w:hint="eastAsia" w:ascii="宋体" w:hAnsi="宋体" w:eastAsia="宋体" w:cs="宋体"/>
                <w:color w:val="000000"/>
                <w:sz w:val="18"/>
                <w:szCs w:val="18"/>
                <w:highlight w:val="none"/>
                <w:lang w:val="zh-CN" w:bidi="zh-CN"/>
              </w:rPr>
              <w:t>资格符合率</w:t>
            </w:r>
            <w:r>
              <w:rPr>
                <w:rFonts w:hint="eastAsia" w:ascii="宋体" w:hAnsi="宋体" w:eastAsia="宋体" w:cs="宋体"/>
                <w:color w:val="000000"/>
                <w:kern w:val="2"/>
                <w:sz w:val="18"/>
                <w:szCs w:val="18"/>
                <w:highlight w:val="none"/>
                <w:lang w:val="en-US" w:eastAsia="zh-CN" w:bidi="zh-CN"/>
              </w:rPr>
              <w:t>（5分）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kern w:val="2"/>
                <w:sz w:val="18"/>
                <w:szCs w:val="18"/>
                <w:highlight w:val="none"/>
                <w:lang w:val="en-US" w:eastAsia="zh-CN" w:bidi="zh-CN"/>
              </w:rPr>
              <w:t>科技创业</w:t>
            </w:r>
            <w:r>
              <w:rPr>
                <w:rFonts w:hint="eastAsia" w:ascii="宋体" w:hAnsi="宋体" w:eastAsia="宋体" w:cs="宋体"/>
                <w:color w:val="000000"/>
                <w:sz w:val="18"/>
                <w:szCs w:val="18"/>
                <w:highlight w:val="none"/>
                <w:lang w:val="zh-CN" w:bidi="zh-CN"/>
              </w:rPr>
              <w:t>类</w:t>
            </w:r>
            <w:r>
              <w:rPr>
                <w:rFonts w:hint="eastAsia" w:ascii="宋体" w:hAnsi="宋体" w:eastAsia="宋体" w:cs="宋体"/>
                <w:color w:val="000000"/>
                <w:kern w:val="2"/>
                <w:sz w:val="18"/>
                <w:szCs w:val="18"/>
                <w:highlight w:val="none"/>
                <w:lang w:val="en-US" w:eastAsia="zh-CN" w:bidi="zh-CN"/>
              </w:rPr>
              <w:t>获奖补企业</w:t>
            </w:r>
            <w:r>
              <w:rPr>
                <w:rFonts w:hint="eastAsia" w:ascii="宋体" w:hAnsi="宋体" w:eastAsia="宋体" w:cs="宋体"/>
                <w:color w:val="000000"/>
                <w:sz w:val="18"/>
                <w:szCs w:val="18"/>
                <w:highlight w:val="none"/>
                <w:lang w:val="zh-CN" w:bidi="zh-CN"/>
              </w:rPr>
              <w:t>是否符合政策要求</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both"/>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科技创业</w:t>
            </w:r>
            <w:r>
              <w:rPr>
                <w:rFonts w:hint="eastAsia" w:ascii="宋体" w:hAnsi="宋体" w:eastAsia="宋体" w:cs="宋体"/>
                <w:color w:val="000000"/>
                <w:sz w:val="18"/>
                <w:szCs w:val="18"/>
                <w:highlight w:val="none"/>
                <w:lang w:val="zh-CN" w:bidi="zh-CN"/>
              </w:rPr>
              <w:t>类</w:t>
            </w:r>
            <w:r>
              <w:rPr>
                <w:rFonts w:hint="eastAsia" w:ascii="宋体" w:hAnsi="宋体" w:eastAsia="宋体" w:cs="宋体"/>
                <w:color w:val="000000"/>
                <w:kern w:val="2"/>
                <w:sz w:val="18"/>
                <w:szCs w:val="18"/>
                <w:highlight w:val="none"/>
                <w:lang w:val="en-US" w:eastAsia="zh-CN" w:bidi="zh-CN"/>
              </w:rPr>
              <w:t>获奖补企业</w:t>
            </w:r>
            <w:r>
              <w:rPr>
                <w:rFonts w:hint="eastAsia" w:ascii="宋体" w:hAnsi="宋体" w:eastAsia="宋体" w:cs="宋体"/>
                <w:color w:val="000000"/>
                <w:sz w:val="18"/>
                <w:szCs w:val="18"/>
                <w:highlight w:val="none"/>
                <w:lang w:val="zh-CN" w:bidi="zh-CN"/>
              </w:rPr>
              <w:t>资格符合率100%得满分，否则不得分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en-US" w:eastAsia="zh-CN" w:bidi="zh-CN"/>
              </w:rPr>
              <w:t>5</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产业创新类获奖补企业</w:t>
            </w:r>
            <w:r>
              <w:rPr>
                <w:rFonts w:hint="eastAsia" w:ascii="宋体" w:hAnsi="宋体" w:eastAsia="宋体" w:cs="宋体"/>
                <w:color w:val="000000"/>
                <w:sz w:val="18"/>
                <w:szCs w:val="18"/>
                <w:highlight w:val="none"/>
                <w:lang w:val="zh-CN" w:bidi="zh-CN"/>
              </w:rPr>
              <w:t>资格符合率</w:t>
            </w:r>
            <w:r>
              <w:rPr>
                <w:rFonts w:hint="eastAsia" w:ascii="宋体" w:hAnsi="宋体" w:eastAsia="宋体" w:cs="宋体"/>
                <w:color w:val="000000"/>
                <w:kern w:val="2"/>
                <w:sz w:val="18"/>
                <w:szCs w:val="18"/>
                <w:highlight w:val="none"/>
                <w:lang w:val="en-US" w:eastAsia="zh-CN" w:bidi="zh-CN"/>
              </w:rPr>
              <w:t>（5分）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kern w:val="2"/>
                <w:sz w:val="18"/>
                <w:szCs w:val="18"/>
                <w:highlight w:val="none"/>
                <w:lang w:val="en-US" w:eastAsia="zh-CN" w:bidi="zh-CN"/>
              </w:rPr>
              <w:t>产业创新</w:t>
            </w:r>
            <w:r>
              <w:rPr>
                <w:rFonts w:hint="eastAsia" w:ascii="宋体" w:hAnsi="宋体" w:eastAsia="宋体" w:cs="宋体"/>
                <w:color w:val="000000"/>
                <w:sz w:val="18"/>
                <w:szCs w:val="18"/>
                <w:highlight w:val="none"/>
                <w:lang w:val="zh-CN" w:bidi="zh-CN"/>
              </w:rPr>
              <w:t>类</w:t>
            </w:r>
            <w:r>
              <w:rPr>
                <w:rFonts w:hint="eastAsia" w:ascii="宋体" w:hAnsi="宋体" w:eastAsia="宋体" w:cs="宋体"/>
                <w:color w:val="000000"/>
                <w:kern w:val="2"/>
                <w:sz w:val="18"/>
                <w:szCs w:val="18"/>
                <w:highlight w:val="none"/>
                <w:lang w:val="en-US" w:eastAsia="zh-CN" w:bidi="zh-CN"/>
              </w:rPr>
              <w:t>获奖补企业</w:t>
            </w:r>
            <w:r>
              <w:rPr>
                <w:rFonts w:hint="eastAsia" w:ascii="宋体" w:hAnsi="宋体" w:eastAsia="宋体" w:cs="宋体"/>
                <w:color w:val="000000"/>
                <w:sz w:val="18"/>
                <w:szCs w:val="18"/>
                <w:highlight w:val="none"/>
                <w:lang w:val="zh-CN" w:bidi="zh-CN"/>
              </w:rPr>
              <w:t>是否符合政策要求</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both"/>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产业创新类获奖补企业</w:t>
            </w:r>
            <w:r>
              <w:rPr>
                <w:rFonts w:hint="eastAsia" w:ascii="宋体" w:hAnsi="宋体" w:eastAsia="宋体" w:cs="宋体"/>
                <w:color w:val="000000"/>
                <w:sz w:val="18"/>
                <w:szCs w:val="18"/>
                <w:highlight w:val="none"/>
                <w:lang w:val="zh-CN" w:bidi="zh-CN"/>
              </w:rPr>
              <w:t>资格符合率100%得满分，否则不得分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4" w:leftChars="0" w:right="0" w:rightChars="0" w:firstLine="0" w:firstLineChars="0"/>
              <w:jc w:val="center"/>
              <w:textAlignment w:val="auto"/>
              <w:rPr>
                <w:rFonts w:hint="default" w:ascii="宋体" w:hAnsi="宋体" w:eastAsia="宋体" w:cs="宋体"/>
                <w:color w:val="000000"/>
                <w:spacing w:val="-3"/>
                <w:kern w:val="2"/>
                <w:sz w:val="18"/>
                <w:szCs w:val="18"/>
                <w:highlight w:val="none"/>
                <w:lang w:val="en-US" w:eastAsia="zh-CN" w:bidi="zh-CN"/>
              </w:rPr>
            </w:pPr>
            <w:r>
              <w:rPr>
                <w:rFonts w:hint="eastAsia" w:ascii="宋体" w:hAnsi="宋体" w:eastAsia="宋体" w:cs="宋体"/>
                <w:color w:val="000000"/>
                <w:spacing w:val="-3"/>
                <w:kern w:val="2"/>
                <w:sz w:val="18"/>
                <w:szCs w:val="18"/>
                <w:highlight w:val="none"/>
                <w:lang w:val="en-US" w:eastAsia="zh-CN" w:bidi="zh-CN"/>
              </w:rPr>
              <w:t>5</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产出时效（</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奖补资金发放</w:t>
            </w:r>
            <w:r>
              <w:rPr>
                <w:rFonts w:hint="eastAsia" w:ascii="宋体" w:hAnsi="宋体" w:eastAsia="宋体" w:cs="宋体"/>
                <w:color w:val="000000"/>
                <w:kern w:val="2"/>
                <w:sz w:val="18"/>
                <w:szCs w:val="18"/>
                <w:highlight w:val="none"/>
                <w:lang w:val="zh-CN" w:eastAsia="zh-CN" w:bidi="zh-CN"/>
              </w:rPr>
              <w:t>及时</w:t>
            </w:r>
            <w:r>
              <w:rPr>
                <w:rFonts w:hint="eastAsia" w:ascii="宋体" w:hAnsi="宋体" w:eastAsia="宋体" w:cs="宋体"/>
                <w:color w:val="000000"/>
                <w:kern w:val="2"/>
                <w:sz w:val="18"/>
                <w:szCs w:val="18"/>
                <w:highlight w:val="none"/>
                <w:lang w:val="en-US" w:eastAsia="zh-CN" w:bidi="zh-CN"/>
              </w:rPr>
              <w:t>率</w:t>
            </w:r>
          </w:p>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4分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180" w:right="0" w:rightChars="0" w:hanging="180" w:hangingChars="100"/>
              <w:jc w:val="center"/>
              <w:textAlignment w:val="auto"/>
              <w:rPr>
                <w:rFonts w:hint="eastAsia" w:ascii="宋体" w:hAnsi="宋体" w:eastAsia="宋体" w:cs="宋体"/>
                <w:color w:val="000000"/>
                <w:sz w:val="18"/>
                <w:szCs w:val="18"/>
                <w:highlight w:val="none"/>
                <w:lang w:val="zh-CN" w:bidi="zh-CN"/>
              </w:rPr>
            </w:pPr>
            <w:r>
              <w:rPr>
                <w:rFonts w:hint="eastAsia" w:ascii="宋体" w:hAnsi="宋体" w:eastAsia="宋体" w:cs="宋体"/>
                <w:color w:val="000000"/>
                <w:sz w:val="18"/>
                <w:szCs w:val="18"/>
                <w:highlight w:val="none"/>
                <w:lang w:val="zh-CN" w:bidi="zh-CN"/>
              </w:rPr>
              <w:t>考察奖</w:t>
            </w:r>
            <w:r>
              <w:rPr>
                <w:rFonts w:hint="eastAsia" w:ascii="宋体" w:hAnsi="宋体" w:eastAsia="宋体" w:cs="宋体"/>
                <w:color w:val="000000"/>
                <w:sz w:val="18"/>
                <w:szCs w:val="18"/>
                <w:highlight w:val="none"/>
                <w:lang w:val="en-US" w:eastAsia="zh-CN" w:bidi="zh-CN"/>
              </w:rPr>
              <w:t>补资</w:t>
            </w:r>
            <w:r>
              <w:rPr>
                <w:rFonts w:hint="eastAsia" w:ascii="宋体" w:hAnsi="宋体" w:eastAsia="宋体" w:cs="宋体"/>
                <w:color w:val="000000"/>
                <w:sz w:val="18"/>
                <w:szCs w:val="18"/>
                <w:highlight w:val="none"/>
                <w:lang w:val="zh-CN" w:bidi="zh-CN"/>
              </w:rPr>
              <w:t>金发放</w:t>
            </w:r>
          </w:p>
          <w:p>
            <w:pPr>
              <w:keepNext w:val="0"/>
              <w:keepLines w:val="0"/>
              <w:pageBreakBefore w:val="0"/>
              <w:widowControl w:val="0"/>
              <w:kinsoku/>
              <w:wordWrap/>
              <w:overflowPunct/>
              <w:topLinePunct w:val="0"/>
              <w:autoSpaceDE/>
              <w:autoSpaceDN/>
              <w:bidi w:val="0"/>
              <w:adjustRightInd/>
              <w:snapToGrid/>
              <w:spacing w:line="240" w:lineRule="auto"/>
              <w:ind w:left="180" w:right="0" w:rightChars="0" w:hanging="180" w:hangingChars="10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是否及时</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奖补资金发放及时率100%得满分，否则不得分。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4</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产出成本（</w:t>
            </w:r>
            <w:r>
              <w:rPr>
                <w:rFonts w:hint="eastAsia" w:ascii="宋体" w:hAnsi="宋体" w:eastAsia="宋体" w:cs="宋体"/>
                <w:color w:val="000000"/>
                <w:kern w:val="2"/>
                <w:sz w:val="18"/>
                <w:szCs w:val="18"/>
                <w:highlight w:val="none"/>
                <w:lang w:val="en-US" w:eastAsia="zh-CN" w:bidi="zh-CN"/>
              </w:rPr>
              <w:t>6分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枣庄英才奖补资金总成本控制数</w:t>
            </w:r>
          </w:p>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2分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kern w:val="2"/>
                <w:sz w:val="18"/>
                <w:szCs w:val="18"/>
                <w:highlight w:val="none"/>
                <w:lang w:val="en-US" w:eastAsia="zh-CN" w:bidi="zh-CN"/>
              </w:rPr>
              <w:t>枣庄英才</w:t>
            </w:r>
            <w:r>
              <w:rPr>
                <w:rFonts w:hint="eastAsia" w:ascii="宋体" w:hAnsi="宋体" w:eastAsia="宋体" w:cs="宋体"/>
                <w:color w:val="000000"/>
                <w:sz w:val="18"/>
                <w:szCs w:val="18"/>
                <w:highlight w:val="none"/>
                <w:lang w:val="zh-CN" w:bidi="zh-CN"/>
              </w:rPr>
              <w:t>的</w:t>
            </w:r>
            <w:r>
              <w:rPr>
                <w:rFonts w:hint="eastAsia" w:ascii="宋体" w:hAnsi="宋体" w:eastAsia="宋体" w:cs="宋体"/>
                <w:color w:val="000000"/>
                <w:kern w:val="2"/>
                <w:sz w:val="18"/>
                <w:szCs w:val="18"/>
                <w:highlight w:val="none"/>
                <w:lang w:val="en-US" w:eastAsia="zh-CN" w:bidi="zh-CN"/>
              </w:rPr>
              <w:t>奖补</w:t>
            </w:r>
            <w:r>
              <w:rPr>
                <w:rFonts w:hint="eastAsia" w:ascii="宋体" w:hAnsi="宋体" w:eastAsia="宋体" w:cs="宋体"/>
                <w:color w:val="000000"/>
                <w:sz w:val="18"/>
                <w:szCs w:val="18"/>
                <w:highlight w:val="none"/>
                <w:lang w:val="zh-CN" w:bidi="zh-CN"/>
              </w:rPr>
              <w:t>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sz w:val="22"/>
                <w:szCs w:val="22"/>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枣庄英才奖补资金总成本控制数≤250万元，每多10%，扣1分，扣完为止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restart"/>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科技创业类企业奖补标准</w:t>
            </w:r>
          </w:p>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2分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kern w:val="2"/>
                <w:sz w:val="18"/>
                <w:szCs w:val="18"/>
                <w:highlight w:val="none"/>
                <w:lang w:val="en-US" w:eastAsia="zh-CN" w:bidi="zh-CN"/>
              </w:rPr>
              <w:t>枣庄英才科技创业类企业的奖补</w:t>
            </w:r>
            <w:r>
              <w:rPr>
                <w:rFonts w:hint="eastAsia" w:ascii="宋体" w:hAnsi="宋体" w:eastAsia="宋体" w:cs="宋体"/>
                <w:color w:val="000000"/>
                <w:sz w:val="18"/>
                <w:szCs w:val="18"/>
                <w:highlight w:val="none"/>
                <w:lang w:val="zh-CN" w:bidi="zh-CN"/>
              </w:rPr>
              <w:t>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sz w:val="22"/>
                <w:szCs w:val="22"/>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枣庄英才科技创业类企业的奖补50-300万元，本项目中的科技创业类企业奖补50万元，不符合奖补标准的不得分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359"/>
              </w:tabs>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产业创新类企业奖补标准</w:t>
            </w:r>
          </w:p>
          <w:p>
            <w:pPr>
              <w:keepNext w:val="0"/>
              <w:keepLines w:val="0"/>
              <w:pageBreakBefore w:val="0"/>
              <w:widowControl w:val="0"/>
              <w:kinsoku/>
              <w:wordWrap/>
              <w:overflowPunct/>
              <w:topLinePunct w:val="0"/>
              <w:autoSpaceDE/>
              <w:autoSpaceDN/>
              <w:bidi w:val="0"/>
              <w:adjustRightInd/>
              <w:snapToGrid/>
              <w:spacing w:line="240" w:lineRule="auto"/>
              <w:ind w:left="41" w:leftChars="0"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2分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kern w:val="2"/>
                <w:sz w:val="18"/>
                <w:szCs w:val="18"/>
                <w:highlight w:val="none"/>
                <w:lang w:val="en-US" w:eastAsia="zh-CN" w:bidi="zh-CN"/>
              </w:rPr>
              <w:t>枣庄英才产业创新类企业的奖补</w:t>
            </w:r>
            <w:r>
              <w:rPr>
                <w:rFonts w:hint="eastAsia" w:ascii="宋体" w:hAnsi="宋体" w:eastAsia="宋体" w:cs="宋体"/>
                <w:color w:val="000000"/>
                <w:sz w:val="18"/>
                <w:szCs w:val="18"/>
                <w:highlight w:val="none"/>
                <w:lang w:val="zh-CN" w:bidi="zh-CN"/>
              </w:rPr>
              <w:t>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sz w:val="22"/>
                <w:szCs w:val="22"/>
                <w:highlight w:val="none"/>
                <w:lang w:val="en-US" w:eastAsia="zh-CN" w:bidi="zh-CN"/>
              </w:rPr>
            </w:pPr>
            <w:r>
              <w:rPr>
                <w:rFonts w:hint="eastAsia" w:ascii="宋体" w:hAnsi="宋体" w:eastAsia="宋体" w:cs="宋体"/>
                <w:color w:val="000000"/>
                <w:kern w:val="2"/>
                <w:sz w:val="18"/>
                <w:szCs w:val="18"/>
                <w:highlight w:val="none"/>
                <w:lang w:val="en-US" w:eastAsia="zh-CN" w:bidi="zh-CN"/>
              </w:rPr>
              <w:t>枣庄英才产业创新类企业的奖补50-200万元，本项目中的产业创新类企业奖补100万元/个，共2个企业。不符合奖补标准的不得分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9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效益（</w:t>
            </w:r>
            <w:r>
              <w:rPr>
                <w:rFonts w:hint="eastAsia" w:ascii="宋体" w:hAnsi="宋体" w:eastAsia="宋体" w:cs="宋体"/>
                <w:color w:val="000000"/>
                <w:kern w:val="2"/>
                <w:sz w:val="18"/>
                <w:szCs w:val="18"/>
                <w:highlight w:val="none"/>
                <w:lang w:val="en-US" w:eastAsia="zh-CN" w:bidi="zh-CN"/>
              </w:rPr>
              <w:t>30</w:t>
            </w:r>
            <w:r>
              <w:rPr>
                <w:rFonts w:hint="eastAsia" w:ascii="宋体" w:hAnsi="宋体" w:eastAsia="宋体" w:cs="宋体"/>
                <w:color w:val="000000"/>
                <w:kern w:val="2"/>
                <w:sz w:val="18"/>
                <w:szCs w:val="18"/>
                <w:highlight w:val="none"/>
                <w:lang w:val="zh-CN" w:eastAsia="zh-CN" w:bidi="zh-CN"/>
              </w:rPr>
              <w:t>分）</w:t>
            </w:r>
          </w:p>
        </w:tc>
        <w:tc>
          <w:tcPr>
            <w:tcW w:w="459" w:type="pct"/>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社会效益（</w:t>
            </w:r>
            <w:r>
              <w:rPr>
                <w:rFonts w:hint="eastAsia" w:ascii="宋体" w:hAnsi="宋体" w:eastAsia="宋体" w:cs="宋体"/>
                <w:color w:val="000000"/>
                <w:kern w:val="2"/>
                <w:sz w:val="18"/>
                <w:szCs w:val="18"/>
                <w:highlight w:val="none"/>
                <w:lang w:val="en-US" w:eastAsia="zh-CN" w:bidi="zh-CN"/>
              </w:rPr>
              <w:t>9分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utoSpaceDE w:val="0"/>
              <w:autoSpaceDN w:val="0"/>
              <w:spacing w:before="240" w:after="60"/>
              <w:jc w:val="center"/>
              <w:outlineLvl w:val="0"/>
              <w:rPr>
                <w:rFonts w:hint="default" w:ascii="Arial" w:hAnsi="Arial" w:eastAsia="仿宋_GB2312" w:cs="仿宋_GB2312"/>
                <w:b/>
                <w:sz w:val="32"/>
                <w:szCs w:val="22"/>
                <w:highlight w:val="none"/>
                <w:lang w:val="en-US" w:eastAsia="zh-CN" w:bidi="zh-CN"/>
              </w:rPr>
            </w:pPr>
            <w:bookmarkStart w:id="508" w:name="_Toc4320"/>
            <w:bookmarkStart w:id="509" w:name="_Toc15162"/>
            <w:r>
              <w:rPr>
                <w:rFonts w:hint="eastAsia" w:ascii="宋体" w:hAnsi="宋体" w:eastAsia="宋体" w:cs="宋体"/>
                <w:b w:val="0"/>
                <w:color w:val="000000"/>
                <w:kern w:val="2"/>
                <w:sz w:val="18"/>
                <w:szCs w:val="18"/>
                <w:highlight w:val="none"/>
                <w:lang w:val="en-US" w:eastAsia="zh-CN" w:bidi="zh-CN"/>
              </w:rPr>
              <w:t>项目按进度落地情况（3分）</w:t>
            </w:r>
            <w:bookmarkEnd w:id="508"/>
            <w:bookmarkEnd w:id="509"/>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sz w:val="18"/>
                <w:szCs w:val="18"/>
                <w:highlight w:val="none"/>
                <w:lang w:val="en-US" w:eastAsia="zh-CN" w:bidi="zh-CN"/>
              </w:rPr>
              <w:t>获奖补的三家企业按合同约定进度，项目</w:t>
            </w:r>
            <w:r>
              <w:rPr>
                <w:rFonts w:hint="eastAsia" w:ascii="宋体" w:hAnsi="宋体" w:eastAsia="宋体" w:cs="宋体"/>
                <w:color w:val="000000"/>
                <w:sz w:val="18"/>
                <w:szCs w:val="18"/>
                <w:highlight w:val="none"/>
                <w:lang w:val="zh-CN" w:bidi="zh-CN"/>
              </w:rPr>
              <w:t>落地情况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三家企业均按进度完成项目落地，得3分，少一家扣1分，扣完为止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2</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枣庄八度阳光新能源科技有限公司项目未按计划落地。未完成建设500kw分布式智慧能源光伏发电项目的目标。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就业拉动情况（3分）</w:t>
            </w:r>
          </w:p>
        </w:tc>
        <w:tc>
          <w:tcPr>
            <w:tcW w:w="900"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考察获奖补企业对当地就业带动情况</w:t>
            </w:r>
          </w:p>
        </w:tc>
        <w:tc>
          <w:tcPr>
            <w:tcW w:w="128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三家企业2022年职工人数增长率均大于0得满分，有一家小于等于0扣一分，扣完为止</w:t>
            </w:r>
          </w:p>
        </w:tc>
        <w:tc>
          <w:tcPr>
            <w:tcW w:w="292"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2</w:t>
            </w:r>
          </w:p>
        </w:tc>
        <w:tc>
          <w:tcPr>
            <w:tcW w:w="990" w:type="pc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八度阳光职工人数增长率等于0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93"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sz w:val="22"/>
                <w:szCs w:val="22"/>
                <w:highlight w:val="none"/>
                <w:lang w:val="zh-CN" w:bidi="zh-CN"/>
              </w:rPr>
            </w:pPr>
          </w:p>
        </w:tc>
        <w:tc>
          <w:tcPr>
            <w:tcW w:w="459" w:type="pct"/>
            <w:vMerge w:val="continue"/>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sz w:val="22"/>
                <w:szCs w:val="22"/>
                <w:highlight w:val="none"/>
                <w:lang w:val="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申请国家专利或计算机软件著作权数量（3分）</w:t>
            </w:r>
          </w:p>
        </w:tc>
        <w:tc>
          <w:tcPr>
            <w:tcW w:w="900" w:type="pct"/>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考察获奖补企业申请国家专利或计算机软件著作权情况</w:t>
            </w:r>
          </w:p>
        </w:tc>
        <w:tc>
          <w:tcPr>
            <w:tcW w:w="1282" w:type="pct"/>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三家企业申请国家专利或计算机软件著作权数量≥5项，得满分，有一家达不到扣1分，扣完为止</w:t>
            </w:r>
          </w:p>
        </w:tc>
        <w:tc>
          <w:tcPr>
            <w:tcW w:w="292" w:type="pct"/>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3</w:t>
            </w:r>
          </w:p>
        </w:tc>
        <w:tc>
          <w:tcPr>
            <w:tcW w:w="990" w:type="pct"/>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4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经济效益（</w:t>
            </w:r>
            <w:r>
              <w:rPr>
                <w:rFonts w:hint="eastAsia" w:ascii="宋体" w:hAnsi="宋体" w:eastAsia="宋体" w:cs="宋体"/>
                <w:color w:val="000000"/>
                <w:kern w:val="2"/>
                <w:sz w:val="18"/>
                <w:szCs w:val="18"/>
                <w:highlight w:val="none"/>
                <w:lang w:val="en-US" w:eastAsia="zh-CN" w:bidi="zh-CN"/>
              </w:rPr>
              <w:t>10分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获奖</w:t>
            </w:r>
            <w:r>
              <w:rPr>
                <w:rFonts w:hint="eastAsia" w:ascii="宋体" w:hAnsi="宋体" w:eastAsia="宋体" w:cs="宋体"/>
                <w:color w:val="000000"/>
                <w:sz w:val="18"/>
                <w:szCs w:val="18"/>
                <w:highlight w:val="none"/>
                <w:lang w:val="en-US" w:eastAsia="zh-CN" w:bidi="zh-CN"/>
              </w:rPr>
              <w:t>补企业</w:t>
            </w:r>
            <w:r>
              <w:rPr>
                <w:rFonts w:hint="eastAsia" w:ascii="宋体" w:hAnsi="宋体" w:eastAsia="宋体" w:cs="宋体"/>
                <w:color w:val="000000"/>
                <w:sz w:val="18"/>
                <w:szCs w:val="18"/>
                <w:highlight w:val="none"/>
                <w:lang w:val="zh-CN" w:bidi="zh-CN"/>
              </w:rPr>
              <w:t>经济贡献程度</w:t>
            </w:r>
            <w:r>
              <w:rPr>
                <w:rFonts w:hint="eastAsia" w:ascii="宋体" w:hAnsi="宋体" w:eastAsia="宋体" w:cs="宋体"/>
                <w:color w:val="000000"/>
                <w:sz w:val="18"/>
                <w:szCs w:val="18"/>
                <w:highlight w:val="none"/>
                <w:lang w:val="en-US" w:eastAsia="zh-CN" w:bidi="zh-CN"/>
              </w:rPr>
              <w:t>(5分）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考察获奖</w:t>
            </w:r>
            <w:r>
              <w:rPr>
                <w:rFonts w:hint="eastAsia" w:ascii="宋体" w:hAnsi="宋体" w:eastAsia="宋体" w:cs="宋体"/>
                <w:color w:val="000000"/>
                <w:sz w:val="18"/>
                <w:szCs w:val="18"/>
                <w:highlight w:val="none"/>
                <w:lang w:val="en-US" w:eastAsia="zh-CN" w:bidi="zh-CN"/>
              </w:rPr>
              <w:t>补</w:t>
            </w:r>
            <w:r>
              <w:rPr>
                <w:rFonts w:hint="eastAsia" w:ascii="宋体" w:hAnsi="宋体" w:eastAsia="宋体" w:cs="宋体"/>
                <w:color w:val="000000"/>
                <w:sz w:val="18"/>
                <w:szCs w:val="18"/>
                <w:highlight w:val="none"/>
                <w:lang w:val="zh-CN" w:bidi="zh-CN"/>
              </w:rPr>
              <w:t>企业给当地带来的税收情况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英才工作合同签订项目已按进度落地且已产生收益的企业2022年纳税增长率＞0得满分，否则按达标企业占比的得分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3.33</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八度阳光项目未按进度落地，未产生收益和税收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4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sz w:val="18"/>
                <w:szCs w:val="18"/>
                <w:highlight w:val="none"/>
                <w:lang w:val="en-US" w:eastAsia="zh-CN" w:bidi="zh-CN"/>
              </w:rPr>
              <w:t>销售目标完成情况(5分）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考察获奖</w:t>
            </w:r>
            <w:r>
              <w:rPr>
                <w:rFonts w:hint="eastAsia" w:ascii="宋体" w:hAnsi="宋体" w:eastAsia="宋体" w:cs="宋体"/>
                <w:color w:val="000000"/>
                <w:sz w:val="18"/>
                <w:szCs w:val="18"/>
                <w:highlight w:val="none"/>
                <w:lang w:val="en-US" w:eastAsia="zh-CN" w:bidi="zh-CN"/>
              </w:rPr>
              <w:t>补</w:t>
            </w:r>
            <w:r>
              <w:rPr>
                <w:rFonts w:hint="eastAsia" w:ascii="宋体" w:hAnsi="宋体" w:eastAsia="宋体" w:cs="宋体"/>
                <w:color w:val="000000"/>
                <w:sz w:val="18"/>
                <w:szCs w:val="18"/>
                <w:highlight w:val="none"/>
                <w:lang w:val="zh-CN" w:bidi="zh-CN"/>
              </w:rPr>
              <w:t>企业</w:t>
            </w:r>
            <w:r>
              <w:rPr>
                <w:rFonts w:hint="eastAsia" w:ascii="宋体" w:hAnsi="宋体" w:eastAsia="宋体" w:cs="宋体"/>
                <w:color w:val="000000"/>
                <w:sz w:val="18"/>
                <w:szCs w:val="18"/>
                <w:highlight w:val="none"/>
                <w:lang w:val="en-US" w:eastAsia="zh-CN" w:bidi="zh-CN"/>
              </w:rPr>
              <w:t>按合同约定2022年销售目标完成情况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2022年度目标：当康营业额1.5亿；八度阳光营业额80万元；天瀚无.。则当康和八度阳光各2.5分，企业完成目标得2.5分；项目未落地，扣2.5分；项目已落地但未完成营业额目标得分=（实际完成营业额/目标营业额）*2.5</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1.36</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当康文化企业2022年营业额8147万元，因疫情影响，年度内三次封仓暂停营业，未能完成年收入1.5亿元的营收目标；天瀚新能源英才工作合同2022年目标未规定营业额目标值，高性能磷酸锰铁锂电池的研究及产业化项目处于研发阶段，暂未产生经济效益；八度阳光2022年营业额收入目标为80万元，但其项目未落地，未产生经济效益。得分(0.8147/1.5)*2.5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restart"/>
            <w:tcBorders>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可持续影响</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6</w:t>
            </w:r>
            <w:r>
              <w:rPr>
                <w:rFonts w:hint="eastAsia" w:ascii="宋体" w:hAnsi="宋体" w:eastAsia="宋体" w:cs="宋体"/>
                <w:color w:val="000000"/>
                <w:kern w:val="2"/>
                <w:sz w:val="18"/>
                <w:szCs w:val="18"/>
                <w:highlight w:val="none"/>
                <w:lang w:val="zh-CN" w:eastAsia="zh-CN" w:bidi="zh-CN"/>
              </w:rPr>
              <w:t>分）</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snapToGrid/>
              <w:spacing w:after="0" w:line="240" w:lineRule="auto"/>
              <w:ind w:firstLine="0" w:firstLineChars="0"/>
              <w:jc w:val="center"/>
              <w:rPr>
                <w:rFonts w:hint="eastAsia" w:ascii="宋体" w:hAnsi="宋体" w:eastAsia="宋体" w:cs="宋体"/>
                <w:sz w:val="18"/>
                <w:szCs w:val="18"/>
                <w:highlight w:val="none"/>
                <w:lang w:val="en-US" w:eastAsia="zh-CN" w:bidi="zh-CN"/>
              </w:rPr>
            </w:pPr>
            <w:r>
              <w:rPr>
                <w:rFonts w:hint="eastAsia" w:ascii="宋体" w:hAnsi="宋体" w:eastAsia="宋体" w:cs="宋体"/>
                <w:color w:val="000000"/>
                <w:sz w:val="18"/>
                <w:szCs w:val="18"/>
                <w:highlight w:val="none"/>
                <w:lang w:val="en-US" w:eastAsia="zh-CN" w:bidi="zh-CN"/>
              </w:rPr>
              <w:t>英才计划</w:t>
            </w:r>
            <w:r>
              <w:rPr>
                <w:rFonts w:hint="eastAsia" w:ascii="宋体" w:hAnsi="宋体" w:eastAsia="宋体" w:cs="宋体"/>
                <w:color w:val="000000"/>
                <w:sz w:val="18"/>
                <w:szCs w:val="18"/>
                <w:highlight w:val="none"/>
                <w:lang w:val="zh-CN" w:bidi="zh-CN"/>
              </w:rPr>
              <w:t>机制健全性</w:t>
            </w:r>
            <w:r>
              <w:rPr>
                <w:rFonts w:hint="eastAsia" w:ascii="宋体" w:hAnsi="宋体" w:eastAsia="宋体" w:cs="宋体"/>
                <w:color w:val="000000"/>
                <w:kern w:val="2"/>
                <w:sz w:val="18"/>
                <w:szCs w:val="18"/>
                <w:highlight w:val="none"/>
                <w:lang w:val="en-US" w:eastAsia="zh-CN" w:bidi="zh-CN"/>
              </w:rPr>
              <w:t>（3分）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sz w:val="18"/>
                <w:szCs w:val="18"/>
                <w:highlight w:val="none"/>
                <w:lang w:val="en-US" w:eastAsia="zh-CN" w:bidi="zh-CN"/>
              </w:rPr>
              <w:t>枣庄英才计划</w:t>
            </w:r>
            <w:r>
              <w:rPr>
                <w:rFonts w:hint="eastAsia" w:ascii="宋体" w:hAnsi="宋体" w:eastAsia="宋体" w:cs="宋体"/>
                <w:color w:val="000000"/>
                <w:sz w:val="18"/>
                <w:szCs w:val="18"/>
                <w:highlight w:val="none"/>
                <w:lang w:val="zh-CN" w:bidi="zh-CN"/>
              </w:rPr>
              <w:t>机制是否健全，包括宣传机制、评选机制、信息公开机制、考核机制等</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sz w:val="18"/>
                <w:szCs w:val="18"/>
                <w:highlight w:val="none"/>
                <w:lang w:val="en-US" w:eastAsia="zh-CN" w:bidi="zh-CN"/>
              </w:rPr>
            </w:pPr>
            <w:r>
              <w:rPr>
                <w:rFonts w:hint="eastAsia" w:ascii="宋体" w:hAnsi="宋体" w:eastAsia="宋体" w:cs="宋体"/>
                <w:color w:val="000000"/>
                <w:sz w:val="18"/>
                <w:szCs w:val="18"/>
                <w:highlight w:val="none"/>
                <w:lang w:val="zh-CN" w:bidi="zh-CN"/>
              </w:rPr>
              <w:t>每发现一项机制不健全，扣1分，扣完为止。</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1</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建议按合同签订，2022年度目标也要进行考核,考核机制不健全；财权与事权不一致，党群工作部只负责支付资金，项目实施阶段由科技局负责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snapToGrid/>
              <w:spacing w:after="0" w:line="240" w:lineRule="auto"/>
              <w:ind w:firstLine="0" w:firstLineChars="0"/>
              <w:jc w:val="center"/>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sz w:val="18"/>
                <w:szCs w:val="18"/>
                <w:highlight w:val="none"/>
                <w:lang w:val="zh-CN" w:bidi="zh-CN"/>
              </w:rPr>
              <w:t>政策对城市发展的促进程度</w:t>
            </w:r>
            <w:r>
              <w:rPr>
                <w:rFonts w:hint="eastAsia" w:ascii="宋体" w:hAnsi="宋体" w:eastAsia="宋体" w:cs="宋体"/>
                <w:color w:val="000000"/>
                <w:kern w:val="2"/>
                <w:sz w:val="18"/>
                <w:szCs w:val="18"/>
                <w:highlight w:val="none"/>
                <w:lang w:val="en-US" w:eastAsia="zh-CN" w:bidi="zh-CN"/>
              </w:rPr>
              <w:t>（3分）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sz w:val="18"/>
                <w:szCs w:val="18"/>
                <w:highlight w:val="none"/>
                <w:lang w:val="en-US" w:eastAsia="zh-CN" w:bidi="zh-CN"/>
              </w:rPr>
              <w:t>枣庄英才</w:t>
            </w:r>
            <w:r>
              <w:rPr>
                <w:rFonts w:hint="eastAsia" w:ascii="宋体" w:hAnsi="宋体" w:eastAsia="宋体" w:cs="宋体"/>
                <w:color w:val="000000"/>
                <w:sz w:val="18"/>
                <w:szCs w:val="18"/>
                <w:highlight w:val="none"/>
                <w:lang w:val="zh-CN" w:bidi="zh-CN"/>
              </w:rPr>
              <w:t>政策对城市发展的影响程度</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r>
              <w:rPr>
                <w:rFonts w:hint="eastAsia" w:ascii="宋体" w:hAnsi="宋体" w:eastAsia="宋体" w:cs="宋体"/>
                <w:color w:val="000000"/>
                <w:sz w:val="18"/>
                <w:szCs w:val="18"/>
                <w:highlight w:val="none"/>
                <w:lang w:val="zh-CN" w:bidi="zh-CN"/>
              </w:rPr>
              <w:t>政策对城市发展的影响程度≧90%得满分，每降低1%，扣0.</w:t>
            </w:r>
            <w:r>
              <w:rPr>
                <w:rFonts w:hint="eastAsia" w:ascii="宋体" w:hAnsi="宋体" w:eastAsia="宋体" w:cs="宋体"/>
                <w:color w:val="000000"/>
                <w:sz w:val="18"/>
                <w:szCs w:val="18"/>
                <w:highlight w:val="none"/>
                <w:lang w:val="en-US" w:eastAsia="zh-CN" w:bidi="zh-CN"/>
              </w:rPr>
              <w:t>3</w:t>
            </w:r>
            <w:r>
              <w:rPr>
                <w:rFonts w:hint="eastAsia" w:ascii="宋体" w:hAnsi="宋体" w:eastAsia="宋体" w:cs="宋体"/>
                <w:color w:val="000000"/>
                <w:sz w:val="18"/>
                <w:szCs w:val="18"/>
                <w:highlight w:val="none"/>
                <w:lang w:val="zh-CN" w:bidi="zh-CN"/>
              </w:rPr>
              <w:t>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3</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9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p>
        </w:tc>
        <w:tc>
          <w:tcPr>
            <w:tcW w:w="4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满意度</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w:t>
            </w:r>
            <w:r>
              <w:rPr>
                <w:rFonts w:hint="eastAsia" w:ascii="宋体" w:hAnsi="宋体" w:eastAsia="宋体" w:cs="宋体"/>
                <w:color w:val="000000"/>
                <w:kern w:val="2"/>
                <w:sz w:val="18"/>
                <w:szCs w:val="18"/>
                <w:highlight w:val="none"/>
                <w:lang w:val="en-US" w:eastAsia="zh-CN" w:bidi="zh-CN"/>
              </w:rPr>
              <w:t>5分</w:t>
            </w:r>
            <w:r>
              <w:rPr>
                <w:rFonts w:hint="eastAsia" w:ascii="宋体" w:hAnsi="宋体" w:eastAsia="宋体" w:cs="宋体"/>
                <w:color w:val="000000"/>
                <w:kern w:val="2"/>
                <w:sz w:val="18"/>
                <w:szCs w:val="18"/>
                <w:highlight w:val="none"/>
                <w:lang w:val="zh-CN" w:eastAsia="zh-CN" w:bidi="zh-CN"/>
              </w:rPr>
              <w:t>）</w:t>
            </w:r>
          </w:p>
        </w:tc>
        <w:tc>
          <w:tcPr>
            <w:tcW w:w="6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en-US" w:eastAsia="zh-CN" w:bidi="zh-CN"/>
              </w:rPr>
              <w:t>获奖补企业</w:t>
            </w:r>
            <w:r>
              <w:rPr>
                <w:rFonts w:hint="eastAsia" w:ascii="宋体" w:hAnsi="宋体" w:eastAsia="宋体" w:cs="宋体"/>
                <w:color w:val="000000"/>
                <w:kern w:val="2"/>
                <w:sz w:val="18"/>
                <w:szCs w:val="18"/>
                <w:highlight w:val="none"/>
                <w:lang w:val="zh-CN" w:eastAsia="zh-CN" w:bidi="zh-CN"/>
              </w:rPr>
              <w:t>满意度（</w:t>
            </w:r>
            <w:r>
              <w:rPr>
                <w:rFonts w:hint="eastAsia" w:ascii="宋体" w:hAnsi="宋体" w:eastAsia="宋体" w:cs="宋体"/>
                <w:color w:val="000000"/>
                <w:kern w:val="2"/>
                <w:sz w:val="18"/>
                <w:szCs w:val="18"/>
                <w:highlight w:val="none"/>
                <w:lang w:val="en-US" w:eastAsia="zh-CN" w:bidi="zh-CN"/>
              </w:rPr>
              <w:t>5分</w:t>
            </w:r>
            <w:r>
              <w:rPr>
                <w:rFonts w:hint="eastAsia" w:ascii="宋体" w:hAnsi="宋体" w:eastAsia="宋体" w:cs="宋体"/>
                <w:color w:val="000000"/>
                <w:kern w:val="2"/>
                <w:sz w:val="18"/>
                <w:szCs w:val="18"/>
                <w:highlight w:val="none"/>
                <w:lang w:val="zh-CN" w:eastAsia="zh-CN" w:bidi="zh-CN"/>
              </w:rPr>
              <w:t>）</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snapToGrid/>
              <w:spacing w:after="0" w:line="240" w:lineRule="auto"/>
              <w:ind w:firstLine="0" w:firstLineChars="0"/>
              <w:jc w:val="center"/>
              <w:rPr>
                <w:rFonts w:hint="eastAsia" w:ascii="宋体" w:hAnsi="宋体" w:eastAsia="宋体" w:cs="宋体"/>
                <w:color w:val="000000"/>
                <w:sz w:val="18"/>
                <w:szCs w:val="18"/>
                <w:highlight w:val="none"/>
                <w:lang w:val="en-US" w:eastAsia="zh-CN" w:bidi="zh-CN"/>
              </w:rPr>
            </w:pPr>
            <w:r>
              <w:rPr>
                <w:rFonts w:hint="eastAsia" w:ascii="宋体" w:hAnsi="宋体" w:eastAsia="宋体" w:cs="宋体"/>
                <w:color w:val="000000"/>
                <w:sz w:val="18"/>
                <w:szCs w:val="18"/>
                <w:highlight w:val="none"/>
                <w:lang w:val="zh-CN" w:bidi="zh-CN"/>
              </w:rPr>
              <w:t>考察</w:t>
            </w:r>
            <w:r>
              <w:rPr>
                <w:rFonts w:hint="eastAsia" w:ascii="宋体" w:hAnsi="宋体" w:eastAsia="宋体" w:cs="宋体"/>
                <w:color w:val="000000"/>
                <w:sz w:val="18"/>
                <w:szCs w:val="18"/>
                <w:highlight w:val="none"/>
                <w:lang w:val="en-US" w:eastAsia="zh-CN" w:bidi="zh-CN"/>
              </w:rPr>
              <w:t>相关</w:t>
            </w:r>
            <w:r>
              <w:rPr>
                <w:rFonts w:hint="eastAsia" w:ascii="宋体" w:hAnsi="宋体" w:eastAsia="宋体" w:cs="宋体"/>
                <w:color w:val="000000"/>
                <w:sz w:val="18"/>
                <w:szCs w:val="18"/>
                <w:highlight w:val="none"/>
                <w:lang w:val="zh-CN" w:bidi="zh-CN"/>
              </w:rPr>
              <w:t>企业对</w:t>
            </w:r>
            <w:r>
              <w:rPr>
                <w:rFonts w:hint="eastAsia" w:ascii="宋体" w:hAnsi="宋体" w:eastAsia="宋体" w:cs="宋体"/>
                <w:color w:val="000000"/>
                <w:sz w:val="18"/>
                <w:szCs w:val="18"/>
                <w:highlight w:val="none"/>
                <w:lang w:val="en-US" w:eastAsia="zh-CN" w:bidi="zh-CN"/>
              </w:rPr>
              <w:t>枣庄英才</w:t>
            </w:r>
            <w:r>
              <w:rPr>
                <w:rFonts w:hint="eastAsia" w:ascii="宋体" w:hAnsi="宋体" w:eastAsia="宋体" w:cs="宋体"/>
                <w:color w:val="000000"/>
                <w:sz w:val="18"/>
                <w:szCs w:val="18"/>
                <w:highlight w:val="none"/>
                <w:lang w:val="zh-CN" w:bidi="zh-CN"/>
              </w:rPr>
              <w:t>政策实施的满意情况。</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snapToGrid/>
              <w:spacing w:after="0" w:line="240" w:lineRule="auto"/>
              <w:ind w:firstLine="0" w:firstLineChars="0"/>
              <w:jc w:val="center"/>
              <w:rPr>
                <w:rFonts w:hint="eastAsia" w:ascii="宋体" w:hAnsi="宋体" w:eastAsia="宋体" w:cs="宋体"/>
                <w:color w:val="000000"/>
                <w:sz w:val="18"/>
                <w:szCs w:val="18"/>
                <w:highlight w:val="none"/>
                <w:lang w:val="en-US" w:eastAsia="zh-CN" w:bidi="zh-CN"/>
              </w:rPr>
            </w:pPr>
            <w:r>
              <w:rPr>
                <w:rFonts w:hint="eastAsia" w:ascii="宋体" w:hAnsi="宋体" w:eastAsia="宋体" w:cs="宋体"/>
                <w:color w:val="000000"/>
                <w:sz w:val="18"/>
                <w:szCs w:val="18"/>
                <w:highlight w:val="none"/>
                <w:lang w:val="zh-CN" w:bidi="zh-CN"/>
              </w:rPr>
              <w:t>获奖</w:t>
            </w:r>
            <w:r>
              <w:rPr>
                <w:rFonts w:hint="eastAsia" w:ascii="宋体" w:hAnsi="宋体" w:eastAsia="宋体" w:cs="宋体"/>
                <w:color w:val="000000"/>
                <w:sz w:val="18"/>
                <w:szCs w:val="18"/>
                <w:highlight w:val="none"/>
                <w:lang w:val="en-US" w:eastAsia="zh-CN" w:bidi="zh-CN"/>
              </w:rPr>
              <w:t>补</w:t>
            </w:r>
            <w:r>
              <w:rPr>
                <w:rFonts w:hint="eastAsia" w:ascii="宋体" w:hAnsi="宋体" w:eastAsia="宋体" w:cs="宋体"/>
                <w:color w:val="000000"/>
                <w:sz w:val="18"/>
                <w:szCs w:val="18"/>
                <w:highlight w:val="none"/>
                <w:lang w:val="zh-CN" w:bidi="zh-CN"/>
              </w:rPr>
              <w:t>企业满意度≧90%得满分，每降低1%，扣0.</w:t>
            </w:r>
            <w:r>
              <w:rPr>
                <w:rFonts w:hint="eastAsia" w:ascii="宋体" w:hAnsi="宋体" w:eastAsia="宋体" w:cs="宋体"/>
                <w:color w:val="000000"/>
                <w:sz w:val="18"/>
                <w:szCs w:val="18"/>
                <w:highlight w:val="none"/>
                <w:lang w:val="en-US" w:eastAsia="zh-CN" w:bidi="zh-CN"/>
              </w:rPr>
              <w:t>3</w:t>
            </w:r>
            <w:r>
              <w:rPr>
                <w:rFonts w:hint="eastAsia" w:ascii="宋体" w:hAnsi="宋体" w:eastAsia="宋体" w:cs="宋体"/>
                <w:color w:val="000000"/>
                <w:sz w:val="18"/>
                <w:szCs w:val="18"/>
                <w:highlight w:val="none"/>
                <w:lang w:val="zh-CN" w:bidi="zh-CN"/>
              </w:rPr>
              <w:t>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5</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33"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总分</w:t>
            </w:r>
          </w:p>
        </w:tc>
        <w:tc>
          <w:tcPr>
            <w:tcW w:w="9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t>100</w:t>
            </w:r>
          </w:p>
        </w:tc>
        <w:tc>
          <w:tcPr>
            <w:tcW w:w="12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zh-CN" w:eastAsia="zh-CN" w:bidi="zh-CN"/>
              </w:rPr>
            </w:pPr>
            <w:r>
              <w:rPr>
                <w:rFonts w:hint="eastAsia" w:ascii="宋体" w:hAnsi="宋体" w:eastAsia="宋体" w:cs="宋体"/>
                <w:color w:val="000000"/>
                <w:kern w:val="2"/>
                <w:sz w:val="18"/>
                <w:szCs w:val="18"/>
                <w:highlight w:val="none"/>
                <w:lang w:val="zh-CN" w:eastAsia="zh-CN" w:bidi="zh-CN"/>
              </w:rPr>
              <w:t>实际得分</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color w:val="000000"/>
                <w:kern w:val="2"/>
                <w:sz w:val="18"/>
                <w:szCs w:val="18"/>
                <w:highlight w:val="none"/>
                <w:lang w:val="en-US" w:eastAsia="zh-CN" w:bidi="zh-CN"/>
              </w:rPr>
            </w:pPr>
            <w:r>
              <w:rPr>
                <w:rFonts w:hint="eastAsia" w:ascii="宋体" w:hAnsi="宋体" w:eastAsia="宋体" w:cs="宋体"/>
                <w:color w:val="000000"/>
                <w:kern w:val="2"/>
                <w:sz w:val="18"/>
                <w:szCs w:val="18"/>
                <w:highlight w:val="none"/>
                <w:lang w:val="en-US" w:eastAsia="zh-CN" w:bidi="zh-CN"/>
              </w:rPr>
              <w:fldChar w:fldCharType="begin"/>
            </w:r>
            <w:r>
              <w:rPr>
                <w:rFonts w:hint="eastAsia" w:ascii="宋体" w:hAnsi="宋体" w:eastAsia="宋体" w:cs="宋体"/>
                <w:color w:val="000000"/>
                <w:kern w:val="2"/>
                <w:sz w:val="18"/>
                <w:szCs w:val="18"/>
                <w:highlight w:val="none"/>
                <w:lang w:val="en-US" w:eastAsia="zh-CN" w:bidi="zh-CN"/>
              </w:rPr>
              <w:instrText xml:space="preserve"> = sum(F2:F29) \* MERGEFORMAT </w:instrText>
            </w:r>
            <w:r>
              <w:rPr>
                <w:rFonts w:hint="eastAsia" w:ascii="宋体" w:hAnsi="宋体" w:eastAsia="宋体" w:cs="宋体"/>
                <w:color w:val="000000"/>
                <w:kern w:val="2"/>
                <w:sz w:val="18"/>
                <w:szCs w:val="18"/>
                <w:highlight w:val="none"/>
                <w:lang w:val="en-US" w:eastAsia="zh-CN" w:bidi="zh-CN"/>
              </w:rPr>
              <w:fldChar w:fldCharType="separate"/>
            </w:r>
            <w:r>
              <w:rPr>
                <w:rFonts w:hint="eastAsia" w:ascii="宋体" w:hAnsi="宋体" w:eastAsia="宋体" w:cs="宋体"/>
                <w:color w:val="000000"/>
                <w:kern w:val="2"/>
                <w:sz w:val="18"/>
                <w:szCs w:val="18"/>
                <w:highlight w:val="none"/>
                <w:lang w:val="en-US" w:eastAsia="zh-CN" w:bidi="zh-CN"/>
              </w:rPr>
              <w:t>79.9</w:t>
            </w:r>
            <w:r>
              <w:rPr>
                <w:rFonts w:hint="eastAsia" w:ascii="宋体" w:hAnsi="宋体" w:eastAsia="宋体" w:cs="宋体"/>
                <w:color w:val="000000"/>
                <w:kern w:val="2"/>
                <w:sz w:val="18"/>
                <w:szCs w:val="18"/>
                <w:highlight w:val="none"/>
                <w:lang w:val="en-US" w:eastAsia="zh-CN" w:bidi="zh-CN"/>
              </w:rPr>
              <w:fldChar w:fldCharType="end"/>
            </w:r>
            <w:r>
              <w:rPr>
                <w:rFonts w:hint="eastAsia" w:ascii="宋体" w:hAnsi="宋体" w:eastAsia="宋体" w:cs="宋体"/>
                <w:color w:val="000000"/>
                <w:kern w:val="2"/>
                <w:sz w:val="18"/>
                <w:szCs w:val="18"/>
                <w:highlight w:val="none"/>
                <w:lang w:val="en-US" w:eastAsia="zh-CN" w:bidi="zh-CN"/>
              </w:rPr>
              <w:t>6</w:t>
            </w:r>
          </w:p>
        </w:tc>
        <w:tc>
          <w:tcPr>
            <w:tcW w:w="9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000000"/>
                <w:kern w:val="2"/>
                <w:sz w:val="18"/>
                <w:szCs w:val="18"/>
                <w:highlight w:val="none"/>
                <w:lang w:val="en-US" w:eastAsia="zh-CN" w:bidi="zh-CN"/>
              </w:rPr>
            </w:pPr>
          </w:p>
        </w:tc>
      </w:tr>
    </w:tbl>
    <w:p>
      <w:pPr>
        <w:pStyle w:val="5"/>
        <w:rPr>
          <w:highlight w:val="none"/>
        </w:rPr>
        <w:sectPr>
          <w:footerReference r:id="rId17" w:type="default"/>
          <w:pgSz w:w="16838" w:h="11906" w:orient="landscape"/>
          <w:pgMar w:top="1587" w:right="2098" w:bottom="1474" w:left="1984" w:header="851" w:footer="1474" w:gutter="0"/>
          <w:pgNumType w:fmt="decimal"/>
          <w:cols w:space="0" w:num="1"/>
          <w:titlePg/>
          <w:rtlGutter w:val="0"/>
          <w:docGrid w:type="lines" w:linePitch="440" w:charSpace="0"/>
        </w:sectPr>
      </w:pPr>
    </w:p>
    <w:p>
      <w:pPr>
        <w:keepNext/>
        <w:keepLines/>
        <w:spacing w:line="640" w:lineRule="exact"/>
        <w:ind w:firstLine="304" w:firstLineChars="100"/>
        <w:outlineLvl w:val="0"/>
        <w:rPr>
          <w:rFonts w:eastAsia="黑体"/>
          <w:bCs/>
          <w:w w:val="95"/>
          <w:kern w:val="44"/>
          <w:szCs w:val="44"/>
          <w:highlight w:val="none"/>
        </w:rPr>
      </w:pPr>
      <w:bookmarkStart w:id="510" w:name="_Toc15915"/>
      <w:bookmarkStart w:id="511" w:name="_Toc23410"/>
      <w:r>
        <w:rPr>
          <w:rFonts w:hint="eastAsia" w:eastAsia="黑体"/>
          <w:bCs/>
          <w:w w:val="95"/>
          <w:kern w:val="44"/>
          <w:szCs w:val="44"/>
          <w:highlight w:val="none"/>
        </w:rPr>
        <w:t>附件二  调查问卷</w:t>
      </w:r>
      <w:bookmarkEnd w:id="510"/>
      <w:bookmarkEnd w:id="511"/>
    </w:p>
    <w:p>
      <w:pPr>
        <w:widowControl/>
        <w:spacing w:after="0" w:line="600" w:lineRule="exact"/>
        <w:ind w:firstLine="200" w:firstLineChars="0"/>
        <w:jc w:val="center"/>
        <w:rPr>
          <w:rFonts w:hint="eastAsia" w:ascii="仿宋_GB2312" w:hAnsi="仿宋" w:eastAsia="仿宋_GB2312" w:cs="仿宋"/>
          <w:sz w:val="32"/>
          <w:szCs w:val="32"/>
          <w:highlight w:val="none"/>
        </w:rPr>
      </w:pPr>
      <w:bookmarkStart w:id="512" w:name="_Toc29796"/>
      <w:r>
        <w:rPr>
          <w:rFonts w:hint="eastAsia" w:ascii="仿宋_GB2312" w:hAnsi="仿宋" w:eastAsia="仿宋_GB2312" w:cs="仿宋"/>
          <w:sz w:val="32"/>
          <w:szCs w:val="32"/>
          <w:highlight w:val="none"/>
        </w:rPr>
        <w:t>2022年度枣庄高新区英才计划项目</w:t>
      </w:r>
    </w:p>
    <w:p>
      <w:pPr>
        <w:widowControl/>
        <w:spacing w:after="0" w:line="600" w:lineRule="exact"/>
        <w:ind w:firstLine="200" w:firstLineChars="0"/>
        <w:jc w:val="center"/>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问卷调查</w:t>
      </w:r>
    </w:p>
    <w:p>
      <w:pPr>
        <w:widowControl/>
        <w:spacing w:after="0" w:line="600" w:lineRule="exact"/>
        <w:jc w:val="both"/>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为了解2022年度枣庄高新区英才计划项目的效益以及满意度情况，敬请如实填写以下问卷，在相应选项的括号内打“√”，谢谢您对我们工作的支持。</w:t>
      </w:r>
    </w:p>
    <w:p>
      <w:pPr>
        <w:widowControl/>
        <w:spacing w:after="0" w:line="600" w:lineRule="exact"/>
        <w:ind w:firstLine="200" w:firstLineChars="0"/>
        <w:jc w:val="both"/>
        <w:outlineLvl w:val="1"/>
        <w:rPr>
          <w:rFonts w:ascii="仿宋_GB2312" w:hAnsi="仿宋" w:eastAsia="仿宋_GB2312" w:cs="仿宋"/>
          <w:sz w:val="32"/>
          <w:szCs w:val="32"/>
          <w:highlight w:val="none"/>
        </w:rPr>
      </w:pPr>
      <w:bookmarkStart w:id="513" w:name="_Toc22179"/>
      <w:bookmarkStart w:id="514" w:name="_Toc25631"/>
      <w:bookmarkStart w:id="515" w:name="_Toc24485"/>
      <w:r>
        <w:rPr>
          <w:rFonts w:hint="eastAsia" w:ascii="仿宋_GB2312" w:hAnsi="仿宋" w:eastAsia="仿宋_GB2312" w:cs="仿宋"/>
          <w:sz w:val="32"/>
          <w:szCs w:val="32"/>
          <w:highlight w:val="none"/>
        </w:rPr>
        <w:t>1、您（公司）是否收到了相应的补助？</w:t>
      </w:r>
      <w:bookmarkEnd w:id="512"/>
      <w:bookmarkEnd w:id="513"/>
      <w:bookmarkEnd w:id="514"/>
      <w:bookmarkEnd w:id="515"/>
    </w:p>
    <w:p>
      <w:pPr>
        <w:widowControl/>
        <w:spacing w:after="0" w:line="600" w:lineRule="exact"/>
        <w:ind w:firstLine="200" w:firstLineChars="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A 是  B 否</w:t>
      </w:r>
    </w:p>
    <w:p>
      <w:pPr>
        <w:widowControl/>
        <w:spacing w:after="0" w:line="600" w:lineRule="exact"/>
        <w:ind w:firstLine="200" w:firstLineChars="0"/>
        <w:jc w:val="both"/>
        <w:outlineLvl w:val="1"/>
        <w:rPr>
          <w:rFonts w:ascii="仿宋_GB2312" w:hAnsi="仿宋" w:eastAsia="仿宋_GB2312" w:cs="仿宋"/>
          <w:sz w:val="32"/>
          <w:szCs w:val="32"/>
          <w:highlight w:val="none"/>
        </w:rPr>
      </w:pPr>
      <w:bookmarkStart w:id="516" w:name="_Toc3754"/>
      <w:bookmarkStart w:id="517" w:name="_Toc1122"/>
      <w:bookmarkStart w:id="518" w:name="_Toc25961"/>
      <w:bookmarkStart w:id="519" w:name="_Toc26530"/>
      <w:r>
        <w:rPr>
          <w:rFonts w:hint="eastAsia" w:ascii="仿宋_GB2312" w:hAnsi="仿宋" w:eastAsia="仿宋_GB2312" w:cs="仿宋"/>
          <w:sz w:val="32"/>
          <w:szCs w:val="32"/>
          <w:highlight w:val="none"/>
        </w:rPr>
        <w:t>2、您认为</w:t>
      </w:r>
      <w:r>
        <w:rPr>
          <w:rFonts w:hint="eastAsia" w:hAnsi="仿宋" w:cs="仿宋"/>
          <w:sz w:val="32"/>
          <w:szCs w:val="32"/>
          <w:highlight w:val="none"/>
          <w:lang w:val="en-US" w:eastAsia="zh-CN"/>
        </w:rPr>
        <w:t>枣庄英才计划</w:t>
      </w:r>
      <w:r>
        <w:rPr>
          <w:rFonts w:hint="eastAsia" w:ascii="仿宋_GB2312" w:hAnsi="仿宋" w:eastAsia="仿宋_GB2312" w:cs="仿宋"/>
          <w:sz w:val="32"/>
          <w:szCs w:val="32"/>
          <w:highlight w:val="none"/>
        </w:rPr>
        <w:t>对城市发展的促进程度明显吗？</w:t>
      </w:r>
      <w:bookmarkEnd w:id="516"/>
      <w:bookmarkEnd w:id="517"/>
      <w:bookmarkEnd w:id="518"/>
      <w:bookmarkEnd w:id="519"/>
    </w:p>
    <w:p>
      <w:pPr>
        <w:widowControl/>
        <w:spacing w:after="0" w:line="600" w:lineRule="exact"/>
        <w:ind w:firstLine="200" w:firstLineChars="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A 很明显  B 明显  C 一般 D不明显</w:t>
      </w:r>
    </w:p>
    <w:p>
      <w:pPr>
        <w:widowControl/>
        <w:spacing w:after="0" w:line="600" w:lineRule="exact"/>
        <w:ind w:firstLine="200" w:firstLineChars="0"/>
        <w:jc w:val="both"/>
        <w:outlineLvl w:val="1"/>
        <w:rPr>
          <w:rFonts w:ascii="仿宋_GB2312" w:hAnsi="仿宋" w:eastAsia="仿宋_GB2312" w:cs="仿宋"/>
          <w:sz w:val="32"/>
          <w:szCs w:val="32"/>
          <w:highlight w:val="none"/>
        </w:rPr>
      </w:pPr>
      <w:bookmarkStart w:id="520" w:name="_Toc23481"/>
      <w:bookmarkStart w:id="521" w:name="_Toc25648"/>
      <w:bookmarkStart w:id="522" w:name="_Toc19744"/>
      <w:bookmarkStart w:id="523" w:name="_Toc6707"/>
      <w:r>
        <w:rPr>
          <w:rFonts w:hint="eastAsia" w:ascii="仿宋_GB2312" w:hAnsi="仿宋" w:eastAsia="仿宋_GB2312" w:cs="仿宋"/>
          <w:sz w:val="32"/>
          <w:szCs w:val="32"/>
          <w:highlight w:val="none"/>
        </w:rPr>
        <w:t>3、您对</w:t>
      </w:r>
      <w:r>
        <w:rPr>
          <w:rFonts w:hint="eastAsia" w:hAnsi="仿宋" w:cs="仿宋"/>
          <w:sz w:val="32"/>
          <w:szCs w:val="32"/>
          <w:highlight w:val="none"/>
          <w:lang w:val="en-US" w:eastAsia="zh-CN"/>
        </w:rPr>
        <w:t>枣庄英才计划</w:t>
      </w:r>
      <w:r>
        <w:rPr>
          <w:rFonts w:hint="eastAsia" w:ascii="仿宋_GB2312" w:hAnsi="仿宋" w:eastAsia="仿宋_GB2312" w:cs="仿宋"/>
          <w:sz w:val="32"/>
          <w:szCs w:val="32"/>
          <w:highlight w:val="none"/>
        </w:rPr>
        <w:t>的审</w:t>
      </w:r>
      <w:r>
        <w:rPr>
          <w:rFonts w:hint="eastAsia" w:hAnsi="仿宋" w:cs="仿宋"/>
          <w:sz w:val="32"/>
          <w:szCs w:val="32"/>
          <w:highlight w:val="none"/>
          <w:lang w:val="en-US" w:eastAsia="zh-CN"/>
        </w:rPr>
        <w:t>定</w:t>
      </w:r>
      <w:r>
        <w:rPr>
          <w:rFonts w:hint="eastAsia" w:ascii="仿宋_GB2312" w:hAnsi="仿宋" w:eastAsia="仿宋_GB2312" w:cs="仿宋"/>
          <w:sz w:val="32"/>
          <w:szCs w:val="32"/>
          <w:highlight w:val="none"/>
        </w:rPr>
        <w:t>结果满意吗？</w:t>
      </w:r>
      <w:bookmarkEnd w:id="520"/>
      <w:bookmarkEnd w:id="521"/>
      <w:bookmarkEnd w:id="522"/>
      <w:bookmarkEnd w:id="523"/>
    </w:p>
    <w:p>
      <w:pPr>
        <w:widowControl/>
        <w:spacing w:after="0" w:line="600" w:lineRule="exact"/>
        <w:ind w:firstLine="200" w:firstLineChars="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A 满意 B</w:t>
      </w:r>
      <w:r>
        <w:rPr>
          <w:rFonts w:hint="eastAsia" w:hAnsi="仿宋" w:cs="仿宋"/>
          <w:sz w:val="32"/>
          <w:szCs w:val="32"/>
          <w:highlight w:val="none"/>
          <w:lang w:val="en-US" w:eastAsia="zh-CN"/>
        </w:rPr>
        <w:t>比较满意C</w:t>
      </w:r>
      <w:r>
        <w:rPr>
          <w:rFonts w:hint="eastAsia" w:ascii="仿宋_GB2312" w:hAnsi="仿宋" w:eastAsia="仿宋_GB2312" w:cs="仿宋"/>
          <w:sz w:val="32"/>
          <w:szCs w:val="32"/>
          <w:highlight w:val="none"/>
        </w:rPr>
        <w:t xml:space="preserve">一般 </w:t>
      </w:r>
      <w:r>
        <w:rPr>
          <w:rFonts w:hint="eastAsia" w:hAnsi="仿宋" w:cs="仿宋"/>
          <w:sz w:val="32"/>
          <w:szCs w:val="32"/>
          <w:highlight w:val="none"/>
          <w:lang w:val="en-US" w:eastAsia="zh-CN"/>
        </w:rPr>
        <w:t>D</w:t>
      </w:r>
      <w:r>
        <w:rPr>
          <w:rFonts w:hint="eastAsia" w:ascii="仿宋_GB2312" w:hAnsi="仿宋" w:eastAsia="仿宋_GB2312" w:cs="仿宋"/>
          <w:sz w:val="32"/>
          <w:szCs w:val="32"/>
          <w:highlight w:val="none"/>
        </w:rPr>
        <w:t>不满意</w:t>
      </w:r>
    </w:p>
    <w:p>
      <w:pPr>
        <w:widowControl/>
        <w:spacing w:after="0" w:line="600" w:lineRule="exact"/>
        <w:ind w:firstLine="200" w:firstLineChars="0"/>
        <w:jc w:val="both"/>
        <w:outlineLvl w:val="1"/>
        <w:rPr>
          <w:rFonts w:ascii="仿宋_GB2312" w:hAnsi="仿宋" w:eastAsia="仿宋_GB2312" w:cs="仿宋"/>
          <w:sz w:val="32"/>
          <w:szCs w:val="32"/>
          <w:highlight w:val="none"/>
        </w:rPr>
      </w:pPr>
      <w:bookmarkStart w:id="524" w:name="_Toc17756"/>
      <w:bookmarkStart w:id="525" w:name="_Toc5799"/>
      <w:bookmarkStart w:id="526" w:name="_Toc30766"/>
      <w:bookmarkStart w:id="527" w:name="_Toc29184"/>
      <w:r>
        <w:rPr>
          <w:rFonts w:hint="eastAsia" w:ascii="仿宋_GB2312" w:hAnsi="仿宋" w:eastAsia="仿宋_GB2312" w:cs="仿宋"/>
          <w:sz w:val="32"/>
          <w:szCs w:val="32"/>
          <w:highlight w:val="none"/>
        </w:rPr>
        <w:t>4、您对</w:t>
      </w:r>
      <w:r>
        <w:rPr>
          <w:rFonts w:hint="eastAsia" w:hAnsi="仿宋" w:cs="仿宋"/>
          <w:sz w:val="32"/>
          <w:szCs w:val="32"/>
          <w:highlight w:val="none"/>
          <w:lang w:val="en-US" w:eastAsia="zh-CN"/>
        </w:rPr>
        <w:t>枣庄英才计划</w:t>
      </w:r>
      <w:r>
        <w:rPr>
          <w:rFonts w:hint="eastAsia" w:ascii="仿宋_GB2312" w:hAnsi="仿宋" w:eastAsia="仿宋_GB2312" w:cs="仿宋"/>
          <w:sz w:val="32"/>
          <w:szCs w:val="32"/>
          <w:highlight w:val="none"/>
        </w:rPr>
        <w:t>的流程满意吗？</w:t>
      </w:r>
      <w:bookmarkEnd w:id="524"/>
      <w:bookmarkEnd w:id="525"/>
      <w:bookmarkEnd w:id="526"/>
      <w:bookmarkEnd w:id="527"/>
    </w:p>
    <w:p>
      <w:pPr>
        <w:widowControl/>
        <w:spacing w:after="0" w:line="600" w:lineRule="exact"/>
        <w:ind w:firstLine="200" w:firstLineChars="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A 满意 B</w:t>
      </w:r>
      <w:r>
        <w:rPr>
          <w:rFonts w:hint="eastAsia" w:hAnsi="仿宋" w:cs="仿宋"/>
          <w:sz w:val="32"/>
          <w:szCs w:val="32"/>
          <w:highlight w:val="none"/>
          <w:lang w:val="en-US" w:eastAsia="zh-CN"/>
        </w:rPr>
        <w:t>比较满意C</w:t>
      </w:r>
      <w:r>
        <w:rPr>
          <w:rFonts w:hint="eastAsia" w:ascii="仿宋_GB2312" w:hAnsi="仿宋" w:eastAsia="仿宋_GB2312" w:cs="仿宋"/>
          <w:sz w:val="32"/>
          <w:szCs w:val="32"/>
          <w:highlight w:val="none"/>
        </w:rPr>
        <w:t xml:space="preserve">一般 </w:t>
      </w:r>
      <w:r>
        <w:rPr>
          <w:rFonts w:hint="eastAsia" w:hAnsi="仿宋" w:cs="仿宋"/>
          <w:sz w:val="32"/>
          <w:szCs w:val="32"/>
          <w:highlight w:val="none"/>
          <w:lang w:val="en-US" w:eastAsia="zh-CN"/>
        </w:rPr>
        <w:t>D</w:t>
      </w:r>
      <w:r>
        <w:rPr>
          <w:rFonts w:hint="eastAsia" w:ascii="仿宋_GB2312" w:hAnsi="仿宋" w:eastAsia="仿宋_GB2312" w:cs="仿宋"/>
          <w:sz w:val="32"/>
          <w:szCs w:val="32"/>
          <w:highlight w:val="none"/>
        </w:rPr>
        <w:t>不满意</w:t>
      </w:r>
    </w:p>
    <w:p>
      <w:pPr>
        <w:widowControl/>
        <w:spacing w:after="0" w:line="600" w:lineRule="exact"/>
        <w:ind w:firstLine="200" w:firstLineChars="0"/>
        <w:jc w:val="both"/>
        <w:outlineLvl w:val="1"/>
        <w:rPr>
          <w:rFonts w:ascii="仿宋_GB2312" w:hAnsi="仿宋" w:eastAsia="仿宋_GB2312" w:cs="仿宋"/>
          <w:sz w:val="32"/>
          <w:szCs w:val="32"/>
          <w:highlight w:val="none"/>
        </w:rPr>
      </w:pPr>
      <w:bookmarkStart w:id="528" w:name="_Toc16833"/>
      <w:bookmarkStart w:id="529" w:name="_Toc21016"/>
      <w:bookmarkStart w:id="530" w:name="_Toc28364"/>
      <w:bookmarkStart w:id="531" w:name="_Toc6417"/>
      <w:r>
        <w:rPr>
          <w:rFonts w:hint="eastAsia" w:ascii="仿宋_GB2312" w:hAnsi="仿宋" w:eastAsia="仿宋_GB2312" w:cs="仿宋"/>
          <w:sz w:val="32"/>
          <w:szCs w:val="32"/>
          <w:highlight w:val="none"/>
        </w:rPr>
        <w:t>5、您对</w:t>
      </w:r>
      <w:r>
        <w:rPr>
          <w:rFonts w:hint="eastAsia" w:hAnsi="仿宋" w:cs="仿宋"/>
          <w:sz w:val="32"/>
          <w:szCs w:val="32"/>
          <w:highlight w:val="none"/>
          <w:lang w:val="en-US" w:eastAsia="zh-CN"/>
        </w:rPr>
        <w:t>枣庄英才计划</w:t>
      </w:r>
      <w:r>
        <w:rPr>
          <w:rFonts w:hint="eastAsia" w:ascii="仿宋_GB2312" w:hAnsi="仿宋" w:eastAsia="仿宋_GB2312" w:cs="仿宋"/>
          <w:sz w:val="32"/>
          <w:szCs w:val="32"/>
          <w:highlight w:val="none"/>
        </w:rPr>
        <w:t>的</w:t>
      </w:r>
      <w:r>
        <w:rPr>
          <w:rFonts w:hint="eastAsia" w:hAnsi="仿宋" w:cs="仿宋"/>
          <w:sz w:val="32"/>
          <w:szCs w:val="32"/>
          <w:highlight w:val="none"/>
          <w:lang w:val="en-US" w:eastAsia="zh-CN"/>
        </w:rPr>
        <w:t>奖补</w:t>
      </w:r>
      <w:r>
        <w:rPr>
          <w:rFonts w:hint="eastAsia" w:ascii="仿宋_GB2312" w:hAnsi="仿宋" w:eastAsia="仿宋_GB2312" w:cs="仿宋"/>
          <w:sz w:val="32"/>
          <w:szCs w:val="32"/>
          <w:highlight w:val="none"/>
        </w:rPr>
        <w:t>标准满意吗？</w:t>
      </w:r>
      <w:bookmarkEnd w:id="528"/>
      <w:bookmarkEnd w:id="529"/>
      <w:bookmarkEnd w:id="530"/>
      <w:bookmarkEnd w:id="531"/>
    </w:p>
    <w:p>
      <w:pPr>
        <w:widowControl/>
        <w:spacing w:after="0" w:line="600" w:lineRule="exact"/>
        <w:ind w:firstLine="200" w:firstLineChars="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A 满意 B</w:t>
      </w:r>
      <w:r>
        <w:rPr>
          <w:rFonts w:hint="eastAsia" w:hAnsi="仿宋" w:cs="仿宋"/>
          <w:sz w:val="32"/>
          <w:szCs w:val="32"/>
          <w:highlight w:val="none"/>
          <w:lang w:val="en-US" w:eastAsia="zh-CN"/>
        </w:rPr>
        <w:t>比较满意C</w:t>
      </w:r>
      <w:r>
        <w:rPr>
          <w:rFonts w:hint="eastAsia" w:ascii="仿宋_GB2312" w:hAnsi="仿宋" w:eastAsia="仿宋_GB2312" w:cs="仿宋"/>
          <w:sz w:val="32"/>
          <w:szCs w:val="32"/>
          <w:highlight w:val="none"/>
        </w:rPr>
        <w:t xml:space="preserve">一般 </w:t>
      </w:r>
      <w:r>
        <w:rPr>
          <w:rFonts w:hint="eastAsia" w:hAnsi="仿宋" w:cs="仿宋"/>
          <w:sz w:val="32"/>
          <w:szCs w:val="32"/>
          <w:highlight w:val="none"/>
          <w:lang w:val="en-US" w:eastAsia="zh-CN"/>
        </w:rPr>
        <w:t>D</w:t>
      </w:r>
      <w:r>
        <w:rPr>
          <w:rFonts w:hint="eastAsia" w:ascii="仿宋_GB2312" w:hAnsi="仿宋" w:eastAsia="仿宋_GB2312" w:cs="仿宋"/>
          <w:sz w:val="32"/>
          <w:szCs w:val="32"/>
          <w:highlight w:val="none"/>
        </w:rPr>
        <w:t>不满意</w:t>
      </w:r>
    </w:p>
    <w:p>
      <w:pPr>
        <w:pStyle w:val="7"/>
        <w:ind w:firstLine="0" w:firstLineChars="0"/>
        <w:outlineLvl w:val="9"/>
        <w:rPr>
          <w:highlight w:val="none"/>
        </w:rPr>
      </w:pPr>
    </w:p>
    <w:sectPr>
      <w:footerReference r:id="rId18" w:type="default"/>
      <w:pgSz w:w="11906" w:h="16838"/>
      <w:pgMar w:top="2098" w:right="1474" w:bottom="1984" w:left="1587" w:header="851" w:footer="1474" w:gutter="0"/>
      <w:pgNumType w:fmt="decimal"/>
      <w:cols w:space="0" w:num="1"/>
      <w:titlePg/>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RGPCGC+FangSong_GB2312">
    <w:altName w:val="Segoe Print"/>
    <w:panose1 w:val="00000000000000000000"/>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Wp7QcbAgAAVAQAAA4A&#10;AAAAAAAAAQAgAAAAHwEAAGRycy9lMm9Eb2MueG1sUEsFBgAAAAAGAAYAWQEAAKwFAAAAAA==&#10;">
              <v:fill on="f" focussize="0,0"/>
              <v:stroke on="f" weight="0.5pt"/>
              <v:imagedata o:title=""/>
              <o:lock v:ext="edit" aspectratio="f"/>
              <v:textbox inset="0mm,0mm,0mm,0mm" style="mso-fit-shape-to-text:t;">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v:textbox>
            </v:shape>
          </w:pict>
        </mc:Fallback>
      </mc:AlternateContent>
    </w:r>
  </w:p>
  <w:p>
    <w:pPr>
      <w:pStyle w:val="2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hVixcRoCAABUBAAADgAA&#10;AAAAAAABACAAAAAfAQAAZHJzL2Uyb0RvYy54bWxQSwUGAAAAAAYABgBZAQAAqwUAAAAA&#10;">
              <v:fill on="f" focussize="0,0"/>
              <v:stroke on="f" weight="0.5pt"/>
              <v:imagedata o:title=""/>
              <o:lock v:ext="edit" aspectratio="f"/>
              <v:textbox inset="0mm,0mm,0mm,0mm" style="mso-fit-shape-to-text:t;">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t xml:space="preserve"> —</w:t>
                    </w:r>
                  </w:p>
                </w:txbxContent>
              </v:textbox>
            </v:shape>
          </w:pict>
        </mc:Fallback>
      </mc:AlternateContent>
    </w: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p>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oZn/xHAIAAFUEAAAO&#10;AAAAAAAAAAEAIAAAAB8BAABkcnMvZTJvRG9jLnhtbFBLBQYAAAAABgAGAFkBAACtBQAAAAA=&#10;">
              <v:fill on="f" focussize="0,0"/>
              <v:stroke on="f" weight="0.5pt"/>
              <v:imagedata o:title=""/>
              <o:lock v:ext="edit" aspectratio="f"/>
              <v:textbox inset="0mm,0mm,0mm,0mm" style="mso-fit-shape-to-text:t;">
                <w:txbxContent>
                  <w:p>
                    <w:pPr>
                      <w:pStyle w:val="20"/>
                      <w:ind w:firstLine="36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v:textbox>
            </v:shape>
          </w:pict>
        </mc:Fallback>
      </mc:AlternateContent>
    </w:r>
  </w:p>
  <w:p>
    <w:pPr>
      <w:pStyle w:val="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Vs9aHAIAAFQEAAAO&#10;AAAAAAAAAAEAIAAAAB8BAABkcnMvZTJvRG9jLnhtbFBLBQYAAAAABgAGAFkBAACtBQAAAAA=&#10;">
              <v:fill on="f" focussize="0,0"/>
              <v:stroke on="f" weight="0.5pt"/>
              <v:imagedata o:title=""/>
              <o:lock v:ext="edit" aspectratio="f"/>
              <v:textbox inset="0mm,0mm,0mm,0mm" style="mso-fit-shape-to-text:t;">
                <w:txbxContent>
                  <w:p>
                    <w:pPr>
                      <w:pStyle w:val="20"/>
                      <w:ind w:firstLine="36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t xml:space="preserve"> —</w:t>
                    </w:r>
                  </w:p>
                </w:txbxContent>
              </v:textbox>
            </v:shape>
          </w:pict>
        </mc:Fallback>
      </mc:AlternateContent>
    </w:r>
  </w:p>
  <w:p>
    <w:pPr>
      <w:pStyle w:val="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wordWrap w:val="0"/>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768"/>
    <w:multiLevelType w:val="singleLevel"/>
    <w:tmpl w:val="86BC8768"/>
    <w:lvl w:ilvl="0" w:tentative="0">
      <w:start w:val="1"/>
      <w:numFmt w:val="decimal"/>
      <w:suff w:val="nothing"/>
      <w:lvlText w:val="（%1）"/>
      <w:lvlJc w:val="left"/>
    </w:lvl>
  </w:abstractNum>
  <w:abstractNum w:abstractNumId="1">
    <w:nsid w:val="0F1D90DC"/>
    <w:multiLevelType w:val="singleLevel"/>
    <w:tmpl w:val="0F1D90DC"/>
    <w:lvl w:ilvl="0" w:tentative="0">
      <w:start w:val="5"/>
      <w:numFmt w:val="chineseCounting"/>
      <w:suff w:val="nothing"/>
      <w:lvlText w:val="%1、"/>
      <w:lvlJc w:val="left"/>
      <w:rPr>
        <w:rFonts w:hint="eastAsia"/>
      </w:rPr>
    </w:lvl>
  </w:abstractNum>
  <w:abstractNum w:abstractNumId="2">
    <w:nsid w:val="1F8CD3BD"/>
    <w:multiLevelType w:val="singleLevel"/>
    <w:tmpl w:val="1F8CD3BD"/>
    <w:lvl w:ilvl="0" w:tentative="0">
      <w:start w:val="1"/>
      <w:numFmt w:val="decimal"/>
      <w:suff w:val="nothing"/>
      <w:lvlText w:val="（%1）"/>
      <w:lvlJc w:val="left"/>
    </w:lvl>
  </w:abstractNum>
  <w:abstractNum w:abstractNumId="3">
    <w:nsid w:val="4ACB8CDB"/>
    <w:multiLevelType w:val="singleLevel"/>
    <w:tmpl w:val="4ACB8CDB"/>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TgzZmNmNTljZjQ4OTc0YzA1OGI1NmY0MDQ1ZmUifQ=="/>
  </w:docVars>
  <w:rsids>
    <w:rsidRoot w:val="006E4E02"/>
    <w:rsid w:val="00004474"/>
    <w:rsid w:val="000152D9"/>
    <w:rsid w:val="000171CA"/>
    <w:rsid w:val="00031323"/>
    <w:rsid w:val="00035253"/>
    <w:rsid w:val="00066582"/>
    <w:rsid w:val="000701F0"/>
    <w:rsid w:val="000731D9"/>
    <w:rsid w:val="000733C2"/>
    <w:rsid w:val="00083AB7"/>
    <w:rsid w:val="00085A83"/>
    <w:rsid w:val="000914FF"/>
    <w:rsid w:val="00095890"/>
    <w:rsid w:val="000C36F2"/>
    <w:rsid w:val="000D24A6"/>
    <w:rsid w:val="000D5F6D"/>
    <w:rsid w:val="000E199E"/>
    <w:rsid w:val="000E20FB"/>
    <w:rsid w:val="00100861"/>
    <w:rsid w:val="0010254F"/>
    <w:rsid w:val="0011673F"/>
    <w:rsid w:val="00117C7B"/>
    <w:rsid w:val="001218B7"/>
    <w:rsid w:val="00124028"/>
    <w:rsid w:val="0014136D"/>
    <w:rsid w:val="00142FAB"/>
    <w:rsid w:val="00147A0B"/>
    <w:rsid w:val="0016025C"/>
    <w:rsid w:val="00162E5A"/>
    <w:rsid w:val="00165DC2"/>
    <w:rsid w:val="0017669E"/>
    <w:rsid w:val="00176B65"/>
    <w:rsid w:val="001846E7"/>
    <w:rsid w:val="00186D53"/>
    <w:rsid w:val="001934DB"/>
    <w:rsid w:val="001A15C9"/>
    <w:rsid w:val="001A2845"/>
    <w:rsid w:val="001A2A53"/>
    <w:rsid w:val="001B035F"/>
    <w:rsid w:val="001D2F09"/>
    <w:rsid w:val="001D4A3B"/>
    <w:rsid w:val="001D6BC2"/>
    <w:rsid w:val="001E4045"/>
    <w:rsid w:val="001F6BC5"/>
    <w:rsid w:val="001F720D"/>
    <w:rsid w:val="002218AD"/>
    <w:rsid w:val="002246B2"/>
    <w:rsid w:val="002252D7"/>
    <w:rsid w:val="0023174B"/>
    <w:rsid w:val="00232BAF"/>
    <w:rsid w:val="00244E02"/>
    <w:rsid w:val="00252CDC"/>
    <w:rsid w:val="0026645A"/>
    <w:rsid w:val="00276AE9"/>
    <w:rsid w:val="0029546C"/>
    <w:rsid w:val="00297309"/>
    <w:rsid w:val="002A1FE8"/>
    <w:rsid w:val="002A5FAA"/>
    <w:rsid w:val="002E00D4"/>
    <w:rsid w:val="002E0F44"/>
    <w:rsid w:val="002E2CAA"/>
    <w:rsid w:val="002F5461"/>
    <w:rsid w:val="002F74CF"/>
    <w:rsid w:val="00316396"/>
    <w:rsid w:val="003238CF"/>
    <w:rsid w:val="00332259"/>
    <w:rsid w:val="003347C8"/>
    <w:rsid w:val="00350332"/>
    <w:rsid w:val="00354B2E"/>
    <w:rsid w:val="003622C2"/>
    <w:rsid w:val="003869AD"/>
    <w:rsid w:val="00392EEF"/>
    <w:rsid w:val="003940C6"/>
    <w:rsid w:val="003973F4"/>
    <w:rsid w:val="003B01DB"/>
    <w:rsid w:val="003B06D9"/>
    <w:rsid w:val="003B0EE3"/>
    <w:rsid w:val="003B43A3"/>
    <w:rsid w:val="003D64B5"/>
    <w:rsid w:val="003E0460"/>
    <w:rsid w:val="003E5BA0"/>
    <w:rsid w:val="003F1F7A"/>
    <w:rsid w:val="00405074"/>
    <w:rsid w:val="00411385"/>
    <w:rsid w:val="00411DE1"/>
    <w:rsid w:val="00411F74"/>
    <w:rsid w:val="00415C3E"/>
    <w:rsid w:val="00442047"/>
    <w:rsid w:val="00443875"/>
    <w:rsid w:val="0044662A"/>
    <w:rsid w:val="00453B6B"/>
    <w:rsid w:val="00454FAE"/>
    <w:rsid w:val="00465DE3"/>
    <w:rsid w:val="0048516B"/>
    <w:rsid w:val="004865CA"/>
    <w:rsid w:val="00491850"/>
    <w:rsid w:val="00493876"/>
    <w:rsid w:val="004A0BF8"/>
    <w:rsid w:val="004A0FF9"/>
    <w:rsid w:val="004A18BD"/>
    <w:rsid w:val="004A302C"/>
    <w:rsid w:val="004A5418"/>
    <w:rsid w:val="004A6664"/>
    <w:rsid w:val="004B22AA"/>
    <w:rsid w:val="004B7647"/>
    <w:rsid w:val="004C183E"/>
    <w:rsid w:val="004C3A6C"/>
    <w:rsid w:val="004C4D48"/>
    <w:rsid w:val="004C588D"/>
    <w:rsid w:val="004D2EB3"/>
    <w:rsid w:val="004D7228"/>
    <w:rsid w:val="004E0D26"/>
    <w:rsid w:val="005066FE"/>
    <w:rsid w:val="00510544"/>
    <w:rsid w:val="005146DB"/>
    <w:rsid w:val="00526407"/>
    <w:rsid w:val="00532E17"/>
    <w:rsid w:val="005412BC"/>
    <w:rsid w:val="00572AE7"/>
    <w:rsid w:val="00573F98"/>
    <w:rsid w:val="0058633E"/>
    <w:rsid w:val="00587AD6"/>
    <w:rsid w:val="00587BC2"/>
    <w:rsid w:val="00590A61"/>
    <w:rsid w:val="0059114C"/>
    <w:rsid w:val="0059285C"/>
    <w:rsid w:val="0059416F"/>
    <w:rsid w:val="005B0C45"/>
    <w:rsid w:val="005B3C38"/>
    <w:rsid w:val="005C56A2"/>
    <w:rsid w:val="005D3319"/>
    <w:rsid w:val="005E317E"/>
    <w:rsid w:val="005E5166"/>
    <w:rsid w:val="005F50F9"/>
    <w:rsid w:val="00602062"/>
    <w:rsid w:val="00607621"/>
    <w:rsid w:val="00627E2E"/>
    <w:rsid w:val="006325B7"/>
    <w:rsid w:val="006467BD"/>
    <w:rsid w:val="00650F9B"/>
    <w:rsid w:val="00653485"/>
    <w:rsid w:val="00661D30"/>
    <w:rsid w:val="00664BC1"/>
    <w:rsid w:val="00673310"/>
    <w:rsid w:val="00674E1D"/>
    <w:rsid w:val="006834AF"/>
    <w:rsid w:val="006933E0"/>
    <w:rsid w:val="00693460"/>
    <w:rsid w:val="00693673"/>
    <w:rsid w:val="00695286"/>
    <w:rsid w:val="0069704F"/>
    <w:rsid w:val="0069775C"/>
    <w:rsid w:val="006A3E7F"/>
    <w:rsid w:val="006B6C34"/>
    <w:rsid w:val="006C3D9A"/>
    <w:rsid w:val="006D45CE"/>
    <w:rsid w:val="006E4E02"/>
    <w:rsid w:val="006E5D00"/>
    <w:rsid w:val="006F03D9"/>
    <w:rsid w:val="006F4960"/>
    <w:rsid w:val="007022E2"/>
    <w:rsid w:val="00702487"/>
    <w:rsid w:val="00713E32"/>
    <w:rsid w:val="00717B37"/>
    <w:rsid w:val="00717EF8"/>
    <w:rsid w:val="00724F36"/>
    <w:rsid w:val="00726624"/>
    <w:rsid w:val="007267F6"/>
    <w:rsid w:val="00733BE5"/>
    <w:rsid w:val="00742B04"/>
    <w:rsid w:val="0074483E"/>
    <w:rsid w:val="00746632"/>
    <w:rsid w:val="00746A33"/>
    <w:rsid w:val="0075214F"/>
    <w:rsid w:val="00754BDA"/>
    <w:rsid w:val="00765885"/>
    <w:rsid w:val="00765976"/>
    <w:rsid w:val="00767389"/>
    <w:rsid w:val="007760F5"/>
    <w:rsid w:val="00781581"/>
    <w:rsid w:val="0078224C"/>
    <w:rsid w:val="00786665"/>
    <w:rsid w:val="007871A2"/>
    <w:rsid w:val="00790FF9"/>
    <w:rsid w:val="00796370"/>
    <w:rsid w:val="007A7697"/>
    <w:rsid w:val="007B0602"/>
    <w:rsid w:val="007C621C"/>
    <w:rsid w:val="007E0443"/>
    <w:rsid w:val="007E4C9A"/>
    <w:rsid w:val="007E5680"/>
    <w:rsid w:val="00802A50"/>
    <w:rsid w:val="008114E8"/>
    <w:rsid w:val="00820DCA"/>
    <w:rsid w:val="00830B82"/>
    <w:rsid w:val="008331AB"/>
    <w:rsid w:val="00841B25"/>
    <w:rsid w:val="00844C4E"/>
    <w:rsid w:val="008502BB"/>
    <w:rsid w:val="008513DA"/>
    <w:rsid w:val="00866C29"/>
    <w:rsid w:val="0087189F"/>
    <w:rsid w:val="00874BF2"/>
    <w:rsid w:val="00884B9C"/>
    <w:rsid w:val="00886FBB"/>
    <w:rsid w:val="00891565"/>
    <w:rsid w:val="0089335C"/>
    <w:rsid w:val="008B054F"/>
    <w:rsid w:val="008C0C23"/>
    <w:rsid w:val="008C1794"/>
    <w:rsid w:val="008C4E34"/>
    <w:rsid w:val="008D68EE"/>
    <w:rsid w:val="008D715E"/>
    <w:rsid w:val="008E2059"/>
    <w:rsid w:val="008E7FED"/>
    <w:rsid w:val="008F12C2"/>
    <w:rsid w:val="008F718F"/>
    <w:rsid w:val="008F726F"/>
    <w:rsid w:val="009029A6"/>
    <w:rsid w:val="009038A1"/>
    <w:rsid w:val="00911EF5"/>
    <w:rsid w:val="009140E2"/>
    <w:rsid w:val="009142D2"/>
    <w:rsid w:val="00935F3B"/>
    <w:rsid w:val="00943F7B"/>
    <w:rsid w:val="00953E2F"/>
    <w:rsid w:val="00955F04"/>
    <w:rsid w:val="00967D1B"/>
    <w:rsid w:val="00984734"/>
    <w:rsid w:val="00985B4C"/>
    <w:rsid w:val="009A49F4"/>
    <w:rsid w:val="009A7CF9"/>
    <w:rsid w:val="009B5A03"/>
    <w:rsid w:val="009B7C5B"/>
    <w:rsid w:val="009D0579"/>
    <w:rsid w:val="009D11C7"/>
    <w:rsid w:val="009D16FA"/>
    <w:rsid w:val="009D662E"/>
    <w:rsid w:val="009E033A"/>
    <w:rsid w:val="009E3ECD"/>
    <w:rsid w:val="009F158C"/>
    <w:rsid w:val="009F5DE0"/>
    <w:rsid w:val="00A15AA6"/>
    <w:rsid w:val="00A1769B"/>
    <w:rsid w:val="00A21784"/>
    <w:rsid w:val="00A23471"/>
    <w:rsid w:val="00A24EE9"/>
    <w:rsid w:val="00A305E0"/>
    <w:rsid w:val="00A5269E"/>
    <w:rsid w:val="00A545FA"/>
    <w:rsid w:val="00A6498F"/>
    <w:rsid w:val="00A649E5"/>
    <w:rsid w:val="00A802D2"/>
    <w:rsid w:val="00A847D4"/>
    <w:rsid w:val="00A927D5"/>
    <w:rsid w:val="00A9521D"/>
    <w:rsid w:val="00A97CAB"/>
    <w:rsid w:val="00AA7D24"/>
    <w:rsid w:val="00AB3A37"/>
    <w:rsid w:val="00AC6FE5"/>
    <w:rsid w:val="00AD26DD"/>
    <w:rsid w:val="00AD7C5A"/>
    <w:rsid w:val="00AF39BB"/>
    <w:rsid w:val="00AF416C"/>
    <w:rsid w:val="00AF6295"/>
    <w:rsid w:val="00AF77CF"/>
    <w:rsid w:val="00B23F66"/>
    <w:rsid w:val="00B247AB"/>
    <w:rsid w:val="00B31A5E"/>
    <w:rsid w:val="00B40BAF"/>
    <w:rsid w:val="00B4262F"/>
    <w:rsid w:val="00B5418D"/>
    <w:rsid w:val="00B55422"/>
    <w:rsid w:val="00B64DF0"/>
    <w:rsid w:val="00B7060E"/>
    <w:rsid w:val="00BA3BC3"/>
    <w:rsid w:val="00BA6AB2"/>
    <w:rsid w:val="00BB0498"/>
    <w:rsid w:val="00BC0F1A"/>
    <w:rsid w:val="00BC427D"/>
    <w:rsid w:val="00BE19AD"/>
    <w:rsid w:val="00BE1B44"/>
    <w:rsid w:val="00BE6D54"/>
    <w:rsid w:val="00C044AC"/>
    <w:rsid w:val="00C1492D"/>
    <w:rsid w:val="00C22EEB"/>
    <w:rsid w:val="00C2300C"/>
    <w:rsid w:val="00C256F3"/>
    <w:rsid w:val="00C269DF"/>
    <w:rsid w:val="00C358E0"/>
    <w:rsid w:val="00C43D1B"/>
    <w:rsid w:val="00C45D16"/>
    <w:rsid w:val="00C5114F"/>
    <w:rsid w:val="00C517F1"/>
    <w:rsid w:val="00C547B6"/>
    <w:rsid w:val="00C56557"/>
    <w:rsid w:val="00C64EDB"/>
    <w:rsid w:val="00C7032B"/>
    <w:rsid w:val="00C84A53"/>
    <w:rsid w:val="00C9163D"/>
    <w:rsid w:val="00CA10D8"/>
    <w:rsid w:val="00CA2CB6"/>
    <w:rsid w:val="00CA4134"/>
    <w:rsid w:val="00CD3F55"/>
    <w:rsid w:val="00CD6BE0"/>
    <w:rsid w:val="00CE0DDD"/>
    <w:rsid w:val="00CE1210"/>
    <w:rsid w:val="00D034A1"/>
    <w:rsid w:val="00D06465"/>
    <w:rsid w:val="00D12BA4"/>
    <w:rsid w:val="00D132D3"/>
    <w:rsid w:val="00D20ECC"/>
    <w:rsid w:val="00D245E9"/>
    <w:rsid w:val="00D25835"/>
    <w:rsid w:val="00D32DBF"/>
    <w:rsid w:val="00D33322"/>
    <w:rsid w:val="00D34D3E"/>
    <w:rsid w:val="00D35EA4"/>
    <w:rsid w:val="00D43590"/>
    <w:rsid w:val="00D45D64"/>
    <w:rsid w:val="00D71465"/>
    <w:rsid w:val="00D82B0F"/>
    <w:rsid w:val="00D84E2F"/>
    <w:rsid w:val="00D852BC"/>
    <w:rsid w:val="00D96B38"/>
    <w:rsid w:val="00DA4D4B"/>
    <w:rsid w:val="00DA5C4A"/>
    <w:rsid w:val="00DA6014"/>
    <w:rsid w:val="00DB1E79"/>
    <w:rsid w:val="00DC29B1"/>
    <w:rsid w:val="00DC5ED0"/>
    <w:rsid w:val="00DC6C09"/>
    <w:rsid w:val="00DC7F52"/>
    <w:rsid w:val="00DD2642"/>
    <w:rsid w:val="00DD7557"/>
    <w:rsid w:val="00DE048F"/>
    <w:rsid w:val="00DF4876"/>
    <w:rsid w:val="00DF61DD"/>
    <w:rsid w:val="00DF6DED"/>
    <w:rsid w:val="00E1032C"/>
    <w:rsid w:val="00E118D0"/>
    <w:rsid w:val="00E15701"/>
    <w:rsid w:val="00E16E70"/>
    <w:rsid w:val="00E24357"/>
    <w:rsid w:val="00E320C1"/>
    <w:rsid w:val="00E36413"/>
    <w:rsid w:val="00E42658"/>
    <w:rsid w:val="00E56C13"/>
    <w:rsid w:val="00E65ECB"/>
    <w:rsid w:val="00E7201C"/>
    <w:rsid w:val="00E729A4"/>
    <w:rsid w:val="00E73824"/>
    <w:rsid w:val="00E77AFF"/>
    <w:rsid w:val="00E85378"/>
    <w:rsid w:val="00E95E63"/>
    <w:rsid w:val="00EA5829"/>
    <w:rsid w:val="00EA58B5"/>
    <w:rsid w:val="00EB5D23"/>
    <w:rsid w:val="00EB73CB"/>
    <w:rsid w:val="00ED145A"/>
    <w:rsid w:val="00EF0FE3"/>
    <w:rsid w:val="00EF5B6D"/>
    <w:rsid w:val="00EF641B"/>
    <w:rsid w:val="00F12460"/>
    <w:rsid w:val="00F22C65"/>
    <w:rsid w:val="00F23BEC"/>
    <w:rsid w:val="00F258C0"/>
    <w:rsid w:val="00F260EE"/>
    <w:rsid w:val="00F32195"/>
    <w:rsid w:val="00F3622B"/>
    <w:rsid w:val="00F4137D"/>
    <w:rsid w:val="00F4364B"/>
    <w:rsid w:val="00F723A8"/>
    <w:rsid w:val="00F734AF"/>
    <w:rsid w:val="00F850F1"/>
    <w:rsid w:val="00F85B4A"/>
    <w:rsid w:val="00F86611"/>
    <w:rsid w:val="00F93CB0"/>
    <w:rsid w:val="00FA568E"/>
    <w:rsid w:val="00FB013E"/>
    <w:rsid w:val="00FB1CCA"/>
    <w:rsid w:val="00FB23AE"/>
    <w:rsid w:val="00FB3368"/>
    <w:rsid w:val="00FB4354"/>
    <w:rsid w:val="00FC2BCF"/>
    <w:rsid w:val="00FC2DCF"/>
    <w:rsid w:val="00FD49F4"/>
    <w:rsid w:val="00FE55C2"/>
    <w:rsid w:val="04D07A99"/>
    <w:rsid w:val="04E35A1E"/>
    <w:rsid w:val="05760640"/>
    <w:rsid w:val="068E28D5"/>
    <w:rsid w:val="07594182"/>
    <w:rsid w:val="07AD01D7"/>
    <w:rsid w:val="09E63B17"/>
    <w:rsid w:val="0B692AE2"/>
    <w:rsid w:val="0CC93617"/>
    <w:rsid w:val="0CF369C2"/>
    <w:rsid w:val="0D062C2B"/>
    <w:rsid w:val="0D7A60CE"/>
    <w:rsid w:val="0E11678D"/>
    <w:rsid w:val="0ED810AB"/>
    <w:rsid w:val="0EF6719D"/>
    <w:rsid w:val="0F320A6A"/>
    <w:rsid w:val="0F76307C"/>
    <w:rsid w:val="11EE3022"/>
    <w:rsid w:val="126647CE"/>
    <w:rsid w:val="12B02CB8"/>
    <w:rsid w:val="12CA541C"/>
    <w:rsid w:val="13A16155"/>
    <w:rsid w:val="13C614E8"/>
    <w:rsid w:val="15197975"/>
    <w:rsid w:val="15EB593E"/>
    <w:rsid w:val="167C598C"/>
    <w:rsid w:val="176C0C93"/>
    <w:rsid w:val="18707171"/>
    <w:rsid w:val="199545C4"/>
    <w:rsid w:val="199669A7"/>
    <w:rsid w:val="1A352420"/>
    <w:rsid w:val="1A9D7FEB"/>
    <w:rsid w:val="1A9E50E9"/>
    <w:rsid w:val="1BA23AE5"/>
    <w:rsid w:val="1BE3370C"/>
    <w:rsid w:val="1D3423BA"/>
    <w:rsid w:val="1D644A45"/>
    <w:rsid w:val="1EA13B52"/>
    <w:rsid w:val="1F567973"/>
    <w:rsid w:val="1F943D91"/>
    <w:rsid w:val="20A81C6B"/>
    <w:rsid w:val="211D59BC"/>
    <w:rsid w:val="217148F2"/>
    <w:rsid w:val="21FE1425"/>
    <w:rsid w:val="22292C51"/>
    <w:rsid w:val="24702380"/>
    <w:rsid w:val="25284E09"/>
    <w:rsid w:val="25EA0C04"/>
    <w:rsid w:val="265555C1"/>
    <w:rsid w:val="266F2681"/>
    <w:rsid w:val="267B55A6"/>
    <w:rsid w:val="26B9346E"/>
    <w:rsid w:val="271B13EB"/>
    <w:rsid w:val="272555CB"/>
    <w:rsid w:val="2A312ADD"/>
    <w:rsid w:val="2C151A12"/>
    <w:rsid w:val="2D502FDE"/>
    <w:rsid w:val="2DC17891"/>
    <w:rsid w:val="2E092A5A"/>
    <w:rsid w:val="2E932CFE"/>
    <w:rsid w:val="2F433749"/>
    <w:rsid w:val="30420F9B"/>
    <w:rsid w:val="30550CCF"/>
    <w:rsid w:val="30CD5F4B"/>
    <w:rsid w:val="30E96379"/>
    <w:rsid w:val="318D1FC2"/>
    <w:rsid w:val="31A55A66"/>
    <w:rsid w:val="329D39EB"/>
    <w:rsid w:val="32A60FCA"/>
    <w:rsid w:val="34B87114"/>
    <w:rsid w:val="37D83F93"/>
    <w:rsid w:val="382947EF"/>
    <w:rsid w:val="39B32BB9"/>
    <w:rsid w:val="39BD78E5"/>
    <w:rsid w:val="3AD50B57"/>
    <w:rsid w:val="3ADE5D64"/>
    <w:rsid w:val="3ADF7DFC"/>
    <w:rsid w:val="3DFD3821"/>
    <w:rsid w:val="3E1039CB"/>
    <w:rsid w:val="3F883AE3"/>
    <w:rsid w:val="40364AE1"/>
    <w:rsid w:val="403B5D7F"/>
    <w:rsid w:val="40BB7697"/>
    <w:rsid w:val="41586871"/>
    <w:rsid w:val="4162149D"/>
    <w:rsid w:val="4183216D"/>
    <w:rsid w:val="42085F59"/>
    <w:rsid w:val="42440BA3"/>
    <w:rsid w:val="42481BD8"/>
    <w:rsid w:val="42D97475"/>
    <w:rsid w:val="4550240D"/>
    <w:rsid w:val="49491E0F"/>
    <w:rsid w:val="49FA5CC2"/>
    <w:rsid w:val="4AA46683"/>
    <w:rsid w:val="4B1A071B"/>
    <w:rsid w:val="4C43218C"/>
    <w:rsid w:val="4D6E4D26"/>
    <w:rsid w:val="4F3D2C02"/>
    <w:rsid w:val="4F425A3D"/>
    <w:rsid w:val="50C21A5A"/>
    <w:rsid w:val="513F583B"/>
    <w:rsid w:val="51D73A1F"/>
    <w:rsid w:val="51E631F1"/>
    <w:rsid w:val="53342223"/>
    <w:rsid w:val="53DA7A10"/>
    <w:rsid w:val="54260108"/>
    <w:rsid w:val="54930F92"/>
    <w:rsid w:val="55F60ABE"/>
    <w:rsid w:val="57157B8C"/>
    <w:rsid w:val="57ED3BCF"/>
    <w:rsid w:val="59235BAF"/>
    <w:rsid w:val="59550510"/>
    <w:rsid w:val="59945C59"/>
    <w:rsid w:val="599C2CBF"/>
    <w:rsid w:val="5ABE5A12"/>
    <w:rsid w:val="5C0F00D3"/>
    <w:rsid w:val="5C142F3C"/>
    <w:rsid w:val="5C551CAC"/>
    <w:rsid w:val="5CAE501B"/>
    <w:rsid w:val="5D7D7FA3"/>
    <w:rsid w:val="5DE12C9D"/>
    <w:rsid w:val="5E976F64"/>
    <w:rsid w:val="5EA06D09"/>
    <w:rsid w:val="601D2D07"/>
    <w:rsid w:val="60EC3C5B"/>
    <w:rsid w:val="61A82AA5"/>
    <w:rsid w:val="61C84FDB"/>
    <w:rsid w:val="61EB71C4"/>
    <w:rsid w:val="623C4FEE"/>
    <w:rsid w:val="636844C1"/>
    <w:rsid w:val="63766104"/>
    <w:rsid w:val="6397609B"/>
    <w:rsid w:val="64087887"/>
    <w:rsid w:val="66BB5CD2"/>
    <w:rsid w:val="673A2256"/>
    <w:rsid w:val="681116DE"/>
    <w:rsid w:val="6B2B0F30"/>
    <w:rsid w:val="6B5D237B"/>
    <w:rsid w:val="6CA65E33"/>
    <w:rsid w:val="6D2F5E28"/>
    <w:rsid w:val="6E3631E6"/>
    <w:rsid w:val="6E8D72AA"/>
    <w:rsid w:val="6EE862ED"/>
    <w:rsid w:val="6F133155"/>
    <w:rsid w:val="6F64734B"/>
    <w:rsid w:val="71894256"/>
    <w:rsid w:val="71B4121A"/>
    <w:rsid w:val="71C81819"/>
    <w:rsid w:val="72FA5B70"/>
    <w:rsid w:val="74666A1E"/>
    <w:rsid w:val="7602724A"/>
    <w:rsid w:val="762C7952"/>
    <w:rsid w:val="7770171B"/>
    <w:rsid w:val="7B1B2618"/>
    <w:rsid w:val="7B486C63"/>
    <w:rsid w:val="7BA82D08"/>
    <w:rsid w:val="7C2769BD"/>
    <w:rsid w:val="7C785BF4"/>
    <w:rsid w:val="7D7635FF"/>
    <w:rsid w:val="7DD65E4C"/>
    <w:rsid w:val="7EB57A7D"/>
    <w:rsid w:val="7FA7476D"/>
    <w:rsid w:val="7FE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qFormat="1"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qFormat="1" w:unhideWhenUsed="0" w:uiPriority="0"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仿宋_GB2312" w:eastAsia="仿宋_GB2312" w:cs="仿宋_GB2312"/>
      <w:color w:val="000000" w:themeColor="text1"/>
      <w:sz w:val="32"/>
      <w:szCs w:val="32"/>
      <w:lang w:val="en-US" w:eastAsia="zh-CN" w:bidi="ar-SA"/>
      <w14:textFill>
        <w14:solidFill>
          <w14:schemeClr w14:val="tx1"/>
        </w14:solidFill>
      </w14:textFill>
    </w:rPr>
  </w:style>
  <w:style w:type="paragraph" w:styleId="7">
    <w:name w:val="heading 1"/>
    <w:basedOn w:val="1"/>
    <w:next w:val="1"/>
    <w:link w:val="40"/>
    <w:qFormat/>
    <w:uiPriority w:val="0"/>
    <w:pPr>
      <w:keepNext/>
      <w:keepLines/>
      <w:spacing w:line="700" w:lineRule="exact"/>
      <w:outlineLvl w:val="0"/>
    </w:pPr>
    <w:rPr>
      <w:rFonts w:eastAsia="黑体"/>
      <w:bCs/>
      <w:w w:val="95"/>
      <w:kern w:val="44"/>
      <w:szCs w:val="44"/>
    </w:rPr>
  </w:style>
  <w:style w:type="paragraph" w:styleId="8">
    <w:name w:val="heading 2"/>
    <w:basedOn w:val="1"/>
    <w:next w:val="1"/>
    <w:link w:val="41"/>
    <w:qFormat/>
    <w:uiPriority w:val="1"/>
    <w:pPr>
      <w:keepNext/>
      <w:keepLines/>
      <w:spacing w:line="600" w:lineRule="atLeast"/>
      <w:outlineLvl w:val="1"/>
    </w:pPr>
    <w:rPr>
      <w:rFonts w:eastAsia="楷体_GB2312" w:asciiTheme="majorHAnsi" w:hAnsiTheme="majorHAnsi" w:cstheme="majorBidi"/>
      <w:bCs/>
      <w:w w:val="95"/>
    </w:rPr>
  </w:style>
  <w:style w:type="paragraph" w:styleId="9">
    <w:name w:val="heading 3"/>
    <w:basedOn w:val="1"/>
    <w:next w:val="1"/>
    <w:link w:val="39"/>
    <w:unhideWhenUsed/>
    <w:qFormat/>
    <w:uiPriority w:val="99"/>
    <w:pPr>
      <w:keepNext/>
      <w:keepLines/>
      <w:spacing w:line="600" w:lineRule="exact"/>
      <w:jc w:val="left"/>
      <w:outlineLvl w:val="2"/>
    </w:pPr>
  </w:style>
  <w:style w:type="paragraph" w:styleId="10">
    <w:name w:val="heading 4"/>
    <w:basedOn w:val="1"/>
    <w:next w:val="1"/>
    <w:link w:val="42"/>
    <w:unhideWhenUsed/>
    <w:qFormat/>
    <w:uiPriority w:val="9"/>
    <w:pPr>
      <w:keepNext/>
      <w:keepLines/>
      <w:spacing w:before="280" w:after="290" w:line="376" w:lineRule="auto"/>
      <w:ind w:firstLine="883"/>
      <w:outlineLvl w:val="3"/>
    </w:pPr>
    <w:rPr>
      <w:rFonts w:asciiTheme="majorHAnsi" w:hAnsiTheme="majorHAnsi" w:eastAsiaTheme="majorEastAsia" w:cstheme="majorBidi"/>
      <w:b/>
      <w:bCs/>
      <w:sz w:val="21"/>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73"/>
    <w:qFormat/>
    <w:uiPriority w:val="0"/>
    <w:pPr>
      <w:ind w:firstLine="420" w:firstLineChars="100"/>
    </w:pPr>
    <w:rPr>
      <w:sz w:val="24"/>
      <w:szCs w:val="24"/>
    </w:rPr>
  </w:style>
  <w:style w:type="paragraph" w:styleId="3">
    <w:name w:val="Body Text"/>
    <w:basedOn w:val="1"/>
    <w:next w:val="4"/>
    <w:link w:val="64"/>
    <w:qFormat/>
    <w:uiPriority w:val="1"/>
  </w:style>
  <w:style w:type="paragraph" w:styleId="4">
    <w:name w:val="Normal Indent"/>
    <w:basedOn w:val="1"/>
    <w:qFormat/>
    <w:uiPriority w:val="0"/>
    <w:pPr>
      <w:ind w:firstLine="420"/>
    </w:pPr>
    <w:rPr>
      <w:sz w:val="14"/>
    </w:rPr>
  </w:style>
  <w:style w:type="paragraph" w:styleId="5">
    <w:name w:val="Body Text First Indent 2"/>
    <w:basedOn w:val="6"/>
    <w:next w:val="2"/>
    <w:link w:val="72"/>
    <w:qFormat/>
    <w:uiPriority w:val="0"/>
    <w:pPr>
      <w:ind w:firstLine="420"/>
    </w:pPr>
    <w:rPr>
      <w:szCs w:val="24"/>
      <w:lang w:eastAsia="en-US" w:bidi="en-US"/>
    </w:rPr>
  </w:style>
  <w:style w:type="paragraph" w:styleId="6">
    <w:name w:val="Body Text Indent"/>
    <w:basedOn w:val="1"/>
    <w:next w:val="1"/>
    <w:link w:val="66"/>
    <w:unhideWhenUsed/>
    <w:qFormat/>
    <w:uiPriority w:val="99"/>
    <w:pPr>
      <w:spacing w:after="120"/>
      <w:ind w:left="420" w:leftChars="200"/>
    </w:pPr>
  </w:style>
  <w:style w:type="paragraph" w:styleId="11">
    <w:name w:val="toc 7"/>
    <w:basedOn w:val="1"/>
    <w:next w:val="1"/>
    <w:qFormat/>
    <w:uiPriority w:val="39"/>
    <w:pPr>
      <w:ind w:left="1260"/>
      <w:jc w:val="left"/>
    </w:pPr>
    <w:rPr>
      <w:sz w:val="18"/>
      <w:szCs w:val="18"/>
    </w:rPr>
  </w:style>
  <w:style w:type="paragraph" w:styleId="12">
    <w:name w:val="Document Map"/>
    <w:basedOn w:val="1"/>
    <w:link w:val="68"/>
    <w:unhideWhenUsed/>
    <w:qFormat/>
    <w:uiPriority w:val="99"/>
    <w:pPr>
      <w:shd w:val="clear" w:color="auto" w:fill="000080"/>
    </w:pPr>
    <w:rPr>
      <w:rFonts w:hint="eastAsia"/>
    </w:rPr>
  </w:style>
  <w:style w:type="paragraph" w:styleId="13">
    <w:name w:val="List 2"/>
    <w:basedOn w:val="1"/>
    <w:qFormat/>
    <w:uiPriority w:val="0"/>
    <w:pPr>
      <w:ind w:left="100" w:leftChars="200" w:hanging="200" w:hangingChars="200"/>
    </w:pPr>
    <w:rPr>
      <w:rFonts w:cs="Times New Roman"/>
      <w:szCs w:val="24"/>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ind w:left="420"/>
      <w:jc w:val="left"/>
    </w:pPr>
    <w:rPr>
      <w:i/>
      <w:iCs/>
      <w:sz w:val="20"/>
    </w:rPr>
  </w:style>
  <w:style w:type="paragraph" w:styleId="16">
    <w:name w:val="Plain Text"/>
    <w:basedOn w:val="1"/>
    <w:link w:val="46"/>
    <w:unhideWhenUsed/>
    <w:qFormat/>
    <w:uiPriority w:val="0"/>
    <w:rPr>
      <w:rFonts w:ascii="宋体" w:hAnsi="Courier New"/>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7"/>
    <w:unhideWhenUsed/>
    <w:qFormat/>
    <w:uiPriority w:val="99"/>
    <w:pPr>
      <w:ind w:left="100" w:leftChars="2500"/>
    </w:pPr>
    <w:rPr>
      <w:rFonts w:hint="eastAsia"/>
    </w:rPr>
  </w:style>
  <w:style w:type="paragraph" w:styleId="19">
    <w:name w:val="Balloon Text"/>
    <w:basedOn w:val="1"/>
    <w:link w:val="69"/>
    <w:semiHidden/>
    <w:qFormat/>
    <w:uiPriority w:val="0"/>
    <w:rPr>
      <w:sz w:val="18"/>
      <w:szCs w:val="18"/>
    </w:rPr>
  </w:style>
  <w:style w:type="paragraph" w:styleId="20">
    <w:name w:val="footer"/>
    <w:basedOn w:val="1"/>
    <w:link w:val="63"/>
    <w:unhideWhenUsed/>
    <w:qFormat/>
    <w:uiPriority w:val="99"/>
    <w:pPr>
      <w:tabs>
        <w:tab w:val="center" w:pos="4153"/>
        <w:tab w:val="right" w:pos="8306"/>
      </w:tabs>
      <w:jc w:val="left"/>
    </w:pPr>
    <w:rPr>
      <w:sz w:val="18"/>
    </w:rPr>
  </w:style>
  <w:style w:type="paragraph" w:styleId="21">
    <w:name w:val="header"/>
    <w:basedOn w:val="1"/>
    <w:link w:val="62"/>
    <w:unhideWhenUsed/>
    <w:qFormat/>
    <w:uiPriority w:val="99"/>
    <w:pPr>
      <w:pBdr>
        <w:bottom w:val="single" w:color="auto" w:sz="6" w:space="1"/>
      </w:pBdr>
      <w:tabs>
        <w:tab w:val="center" w:pos="4153"/>
        <w:tab w:val="right" w:pos="8306"/>
      </w:tabs>
      <w:jc w:val="center"/>
    </w:pPr>
    <w:rPr>
      <w:sz w:val="18"/>
    </w:rPr>
  </w:style>
  <w:style w:type="paragraph" w:styleId="22">
    <w:name w:val="toc 1"/>
    <w:basedOn w:val="1"/>
    <w:next w:val="1"/>
    <w:unhideWhenUsed/>
    <w:qFormat/>
    <w:uiPriority w:val="39"/>
    <w:pPr>
      <w:spacing w:line="400" w:lineRule="exact"/>
      <w:jc w:val="left"/>
    </w:pPr>
    <w:rPr>
      <w:rFonts w:eastAsia="黑体"/>
      <w:bCs/>
      <w:caps/>
    </w:rPr>
  </w:style>
  <w:style w:type="paragraph" w:styleId="23">
    <w:name w:val="toc 4"/>
    <w:basedOn w:val="1"/>
    <w:next w:val="1"/>
    <w:qFormat/>
    <w:uiPriority w:val="39"/>
    <w:pPr>
      <w:ind w:left="630"/>
      <w:jc w:val="left"/>
    </w:pPr>
    <w:rPr>
      <w:sz w:val="18"/>
      <w:szCs w:val="18"/>
    </w:rPr>
  </w:style>
  <w:style w:type="paragraph" w:styleId="24">
    <w:name w:val="Subtitle"/>
    <w:basedOn w:val="7"/>
    <w:next w:val="1"/>
    <w:link w:val="75"/>
    <w:qFormat/>
    <w:uiPriority w:val="11"/>
    <w:pPr>
      <w:keepNext w:val="0"/>
      <w:keepLines w:val="0"/>
      <w:outlineLvl w:val="2"/>
    </w:pPr>
    <w:rPr>
      <w:b/>
      <w:bCs w:val="0"/>
      <w:kern w:val="2"/>
      <w:szCs w:val="21"/>
    </w:rPr>
  </w:style>
  <w:style w:type="paragraph" w:styleId="25">
    <w:name w:val="toc 6"/>
    <w:basedOn w:val="1"/>
    <w:next w:val="1"/>
    <w:qFormat/>
    <w:uiPriority w:val="39"/>
    <w:pPr>
      <w:ind w:left="1050"/>
      <w:jc w:val="left"/>
    </w:pPr>
    <w:rPr>
      <w:sz w:val="18"/>
      <w:szCs w:val="18"/>
    </w:rPr>
  </w:style>
  <w:style w:type="paragraph" w:styleId="26">
    <w:name w:val="toc 2"/>
    <w:basedOn w:val="1"/>
    <w:next w:val="1"/>
    <w:unhideWhenUsed/>
    <w:qFormat/>
    <w:uiPriority w:val="39"/>
    <w:pPr>
      <w:spacing w:line="400" w:lineRule="exact"/>
      <w:ind w:left="200" w:leftChars="200"/>
      <w:jc w:val="left"/>
    </w:pPr>
    <w:rPr>
      <w:smallCaps/>
    </w:rPr>
  </w:style>
  <w:style w:type="paragraph" w:styleId="27">
    <w:name w:val="toc 9"/>
    <w:basedOn w:val="1"/>
    <w:next w:val="1"/>
    <w:qFormat/>
    <w:uiPriority w:val="39"/>
    <w:pPr>
      <w:ind w:left="1680"/>
      <w:jc w:val="left"/>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hint="eastAsia" w:ascii="宋体" w:hAnsi="宋体"/>
    </w:rPr>
  </w:style>
  <w:style w:type="paragraph" w:styleId="29">
    <w:name w:val="index 2"/>
    <w:basedOn w:val="1"/>
    <w:next w:val="1"/>
    <w:unhideWhenUsed/>
    <w:qFormat/>
    <w:uiPriority w:val="99"/>
    <w:pPr>
      <w:ind w:left="200" w:leftChars="200"/>
    </w:pPr>
    <w:rPr>
      <w:rFonts w:hint="eastAsia"/>
    </w:rPr>
  </w:style>
  <w:style w:type="paragraph" w:styleId="30">
    <w:name w:val="Title"/>
    <w:basedOn w:val="1"/>
    <w:next w:val="1"/>
    <w:link w:val="76"/>
    <w:qFormat/>
    <w:uiPriority w:val="10"/>
    <w:pPr>
      <w:outlineLvl w:val="2"/>
    </w:pPr>
  </w:style>
  <w:style w:type="table" w:styleId="32">
    <w:name w:val="Table Grid"/>
    <w:basedOn w:val="3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b/>
      <w:bCs/>
    </w:rPr>
  </w:style>
  <w:style w:type="character" w:styleId="35">
    <w:name w:val="page number"/>
    <w:unhideWhenUsed/>
    <w:qFormat/>
    <w:uiPriority w:val="99"/>
    <w:rPr>
      <w:rFonts w:hint="default"/>
    </w:rPr>
  </w:style>
  <w:style w:type="character" w:styleId="36">
    <w:name w:val="FollowedHyperlink"/>
    <w:qFormat/>
    <w:uiPriority w:val="99"/>
    <w:rPr>
      <w:rFonts w:hint="default"/>
      <w:color w:val="333333"/>
      <w:u w:val="none"/>
    </w:rPr>
  </w:style>
  <w:style w:type="character" w:styleId="37">
    <w:name w:val="Emphasis"/>
    <w:qFormat/>
    <w:uiPriority w:val="20"/>
    <w:rPr>
      <w:i/>
      <w:iCs/>
    </w:rPr>
  </w:style>
  <w:style w:type="character" w:styleId="38">
    <w:name w:val="Hyperlink"/>
    <w:unhideWhenUsed/>
    <w:qFormat/>
    <w:uiPriority w:val="99"/>
    <w:rPr>
      <w:rFonts w:hint="default"/>
      <w:color w:val="333333"/>
      <w:u w:val="none"/>
    </w:rPr>
  </w:style>
  <w:style w:type="character" w:customStyle="1" w:styleId="39">
    <w:name w:val="标题 3 Char"/>
    <w:link w:val="9"/>
    <w:semiHidden/>
    <w:qFormat/>
    <w:uiPriority w:val="99"/>
    <w:rPr>
      <w:rFonts w:ascii="仿宋_GB2312" w:hAnsi="仿宋_GB2312" w:eastAsia="仿宋_GB2312"/>
      <w:sz w:val="32"/>
      <w:szCs w:val="32"/>
    </w:rPr>
  </w:style>
  <w:style w:type="character" w:customStyle="1" w:styleId="40">
    <w:name w:val="标题 1 Char"/>
    <w:link w:val="7"/>
    <w:qFormat/>
    <w:uiPriority w:val="0"/>
    <w:rPr>
      <w:rFonts w:eastAsia="黑体" w:cs="宋体"/>
      <w:bCs/>
      <w:color w:val="333333"/>
      <w:w w:val="95"/>
      <w:kern w:val="44"/>
      <w:sz w:val="32"/>
      <w:szCs w:val="44"/>
    </w:rPr>
  </w:style>
  <w:style w:type="character" w:customStyle="1" w:styleId="41">
    <w:name w:val="标题 2 Char"/>
    <w:basedOn w:val="33"/>
    <w:link w:val="8"/>
    <w:qFormat/>
    <w:uiPriority w:val="1"/>
    <w:rPr>
      <w:rFonts w:eastAsia="楷体_GB2312" w:asciiTheme="majorHAnsi" w:hAnsiTheme="majorHAnsi" w:cstheme="majorBidi"/>
      <w:bCs/>
      <w:color w:val="333333"/>
      <w:w w:val="95"/>
      <w:kern w:val="0"/>
      <w:sz w:val="32"/>
      <w:szCs w:val="32"/>
    </w:rPr>
  </w:style>
  <w:style w:type="character" w:customStyle="1" w:styleId="42">
    <w:name w:val="标题 4 Char"/>
    <w:basedOn w:val="33"/>
    <w:link w:val="10"/>
    <w:qFormat/>
    <w:uiPriority w:val="9"/>
    <w:rPr>
      <w:rFonts w:asciiTheme="majorHAnsi" w:hAnsiTheme="majorHAnsi" w:eastAsiaTheme="majorEastAsia" w:cstheme="majorBidi"/>
      <w:b/>
      <w:bCs/>
      <w:szCs w:val="28"/>
    </w:rPr>
  </w:style>
  <w:style w:type="character" w:customStyle="1" w:styleId="43">
    <w:name w:val="三级目录"/>
    <w:qFormat/>
    <w:uiPriority w:val="0"/>
    <w:rPr>
      <w:rFonts w:hint="default" w:ascii="宋体" w:hAnsi="宋体"/>
      <w:b/>
      <w:bCs/>
      <w:sz w:val="23"/>
    </w:rPr>
  </w:style>
  <w:style w:type="paragraph" w:customStyle="1" w:styleId="44">
    <w:name w:val="Default"/>
    <w:unhideWhenUsed/>
    <w:qFormat/>
    <w:uiPriority w:val="0"/>
    <w:pPr>
      <w:widowControl w:val="0"/>
      <w:autoSpaceDE w:val="0"/>
      <w:autoSpaceDN w:val="0"/>
    </w:pPr>
    <w:rPr>
      <w:rFonts w:hint="eastAsia" w:asciiTheme="minorHAnsi" w:hAnsiTheme="minorHAnsi" w:eastAsiaTheme="minorEastAsia" w:cstheme="minorBidi"/>
      <w:color w:val="000000"/>
      <w:kern w:val="2"/>
      <w:sz w:val="24"/>
      <w:szCs w:val="21"/>
      <w:lang w:val="en-US" w:eastAsia="zh-CN" w:bidi="ar-SA"/>
    </w:rPr>
  </w:style>
  <w:style w:type="paragraph" w:customStyle="1" w:styleId="45">
    <w:name w:val="_Style 49"/>
    <w:basedOn w:val="1"/>
    <w:next w:val="16"/>
    <w:unhideWhenUsed/>
    <w:qFormat/>
    <w:uiPriority w:val="99"/>
    <w:rPr>
      <w:rFonts w:hint="eastAsia" w:ascii="宋体" w:hAnsi="Courier New"/>
    </w:rPr>
  </w:style>
  <w:style w:type="character" w:customStyle="1" w:styleId="46">
    <w:name w:val="纯文本 Char"/>
    <w:link w:val="16"/>
    <w:qFormat/>
    <w:uiPriority w:val="0"/>
    <w:rPr>
      <w:rFonts w:ascii="宋体" w:hAnsi="Courier New"/>
      <w:szCs w:val="21"/>
    </w:rPr>
  </w:style>
  <w:style w:type="paragraph" w:customStyle="1" w:styleId="47">
    <w:name w:val="4小节标题"/>
    <w:basedOn w:val="1"/>
    <w:qFormat/>
    <w:uiPriority w:val="0"/>
    <w:pPr>
      <w:spacing w:beforeLines="100" w:afterLines="100"/>
      <w:jc w:val="center"/>
      <w:outlineLvl w:val="3"/>
    </w:pPr>
    <w:rPr>
      <w:rFonts w:eastAsia="黑体"/>
      <w:szCs w:val="24"/>
    </w:rPr>
  </w:style>
  <w:style w:type="paragraph" w:customStyle="1" w:styleId="48">
    <w:name w:val="Char Char Char1 Char4"/>
    <w:basedOn w:val="1"/>
    <w:unhideWhenUsed/>
    <w:qFormat/>
    <w:uiPriority w:val="99"/>
    <w:rPr>
      <w:rFonts w:hint="eastAsia" w:ascii="宋体" w:hAnsi="宋体"/>
    </w:rPr>
  </w:style>
  <w:style w:type="paragraph" w:customStyle="1" w:styleId="49">
    <w:name w:val="p0"/>
    <w:basedOn w:val="1"/>
    <w:qFormat/>
    <w:uiPriority w:val="0"/>
    <w:pPr>
      <w:widowControl/>
      <w:spacing w:before="100" w:beforeAutospacing="1" w:after="100" w:afterAutospacing="1"/>
      <w:jc w:val="left"/>
    </w:pPr>
    <w:rPr>
      <w:rFonts w:ascii="宋体" w:hAnsi="宋体"/>
      <w:szCs w:val="24"/>
    </w:rPr>
  </w:style>
  <w:style w:type="paragraph" w:customStyle="1" w:styleId="50">
    <w:name w:val="Char Char Char Char"/>
    <w:basedOn w:val="1"/>
    <w:unhideWhenUsed/>
    <w:qFormat/>
    <w:uiPriority w:val="99"/>
    <w:rPr>
      <w:rFonts w:hint="eastAsia"/>
    </w:rPr>
  </w:style>
  <w:style w:type="paragraph" w:customStyle="1" w:styleId="51">
    <w:name w:val="Char Char Char1 Char7"/>
    <w:basedOn w:val="1"/>
    <w:unhideWhenUsed/>
    <w:qFormat/>
    <w:uiPriority w:val="99"/>
    <w:rPr>
      <w:rFonts w:hint="eastAsia" w:ascii="宋体" w:hAnsi="宋体"/>
    </w:rPr>
  </w:style>
  <w:style w:type="paragraph" w:customStyle="1" w:styleId="52">
    <w:name w:val="Char Char Char1 Char"/>
    <w:basedOn w:val="1"/>
    <w:unhideWhenUsed/>
    <w:qFormat/>
    <w:uiPriority w:val="99"/>
    <w:rPr>
      <w:rFonts w:hint="eastAsia" w:ascii="宋体" w:hAnsi="宋体"/>
    </w:rPr>
  </w:style>
  <w:style w:type="paragraph" w:customStyle="1" w:styleId="53">
    <w:name w:val="Char Char Char1 Char3"/>
    <w:basedOn w:val="1"/>
    <w:unhideWhenUsed/>
    <w:qFormat/>
    <w:uiPriority w:val="99"/>
    <w:rPr>
      <w:rFonts w:hint="eastAsia" w:ascii="宋体" w:hAnsi="宋体"/>
    </w:rPr>
  </w:style>
  <w:style w:type="paragraph" w:customStyle="1" w:styleId="54">
    <w:name w:val="Char Char Char1 Char2"/>
    <w:basedOn w:val="1"/>
    <w:unhideWhenUsed/>
    <w:qFormat/>
    <w:uiPriority w:val="99"/>
    <w:rPr>
      <w:rFonts w:hint="eastAsia" w:ascii="宋体" w:hAnsi="宋体"/>
    </w:rPr>
  </w:style>
  <w:style w:type="paragraph" w:customStyle="1" w:styleId="55">
    <w:name w:val="Char Char1"/>
    <w:basedOn w:val="1"/>
    <w:unhideWhenUsed/>
    <w:qFormat/>
    <w:uiPriority w:val="99"/>
    <w:rPr>
      <w:rFonts w:hint="eastAsia" w:ascii="宋体" w:hAnsi="宋体"/>
    </w:rPr>
  </w:style>
  <w:style w:type="paragraph" w:customStyle="1" w:styleId="56">
    <w:name w:val="Char"/>
    <w:basedOn w:val="1"/>
    <w:next w:val="1"/>
    <w:qFormat/>
    <w:uiPriority w:val="0"/>
    <w:pPr>
      <w:widowControl/>
      <w:jc w:val="left"/>
    </w:pPr>
  </w:style>
  <w:style w:type="paragraph" w:customStyle="1" w:styleId="57">
    <w:name w:val="Default Paragraph Char Char Char Char"/>
    <w:basedOn w:val="1"/>
    <w:next w:val="1"/>
    <w:qFormat/>
    <w:uiPriority w:val="0"/>
    <w:pPr>
      <w:widowControl/>
      <w:jc w:val="left"/>
    </w:pPr>
    <w:rPr>
      <w:lang w:eastAsia="en-US"/>
    </w:rPr>
  </w:style>
  <w:style w:type="paragraph" w:customStyle="1" w:styleId="58">
    <w:name w:val="Char Char Char1 Char6"/>
    <w:basedOn w:val="1"/>
    <w:unhideWhenUsed/>
    <w:qFormat/>
    <w:uiPriority w:val="99"/>
    <w:rPr>
      <w:rFonts w:hint="eastAsia" w:ascii="宋体" w:hAnsi="宋体"/>
    </w:rPr>
  </w:style>
  <w:style w:type="paragraph" w:customStyle="1" w:styleId="59">
    <w:name w:val="Char Char Char1 Char5"/>
    <w:basedOn w:val="1"/>
    <w:unhideWhenUsed/>
    <w:qFormat/>
    <w:uiPriority w:val="99"/>
    <w:rPr>
      <w:rFonts w:hint="eastAsia" w:ascii="宋体" w:hAnsi="宋体"/>
    </w:rPr>
  </w:style>
  <w:style w:type="paragraph" w:customStyle="1" w:styleId="60">
    <w:name w:val="Char Char Char1 Char8"/>
    <w:basedOn w:val="1"/>
    <w:unhideWhenUsed/>
    <w:qFormat/>
    <w:uiPriority w:val="99"/>
    <w:rPr>
      <w:rFonts w:ascii="宋体" w:hAnsi="宋体"/>
    </w:rPr>
  </w:style>
  <w:style w:type="paragraph" w:customStyle="1" w:styleId="61">
    <w:name w:val="Char Char Char1 Char1"/>
    <w:basedOn w:val="1"/>
    <w:unhideWhenUsed/>
    <w:qFormat/>
    <w:uiPriority w:val="99"/>
    <w:rPr>
      <w:rFonts w:hint="eastAsia" w:ascii="宋体" w:hAnsi="宋体"/>
    </w:rPr>
  </w:style>
  <w:style w:type="character" w:customStyle="1" w:styleId="62">
    <w:name w:val="页眉 Char"/>
    <w:link w:val="21"/>
    <w:qFormat/>
    <w:uiPriority w:val="99"/>
    <w:rPr>
      <w:sz w:val="18"/>
      <w:szCs w:val="21"/>
    </w:rPr>
  </w:style>
  <w:style w:type="character" w:customStyle="1" w:styleId="63">
    <w:name w:val="页脚 Char"/>
    <w:link w:val="20"/>
    <w:qFormat/>
    <w:uiPriority w:val="99"/>
    <w:rPr>
      <w:sz w:val="18"/>
      <w:szCs w:val="21"/>
    </w:rPr>
  </w:style>
  <w:style w:type="character" w:customStyle="1" w:styleId="64">
    <w:name w:val="正文文本 Char1"/>
    <w:link w:val="3"/>
    <w:qFormat/>
    <w:uiPriority w:val="1"/>
    <w:rPr>
      <w:rFonts w:cs="宋体"/>
      <w:color w:val="333333"/>
      <w:kern w:val="0"/>
      <w:sz w:val="32"/>
    </w:rPr>
  </w:style>
  <w:style w:type="character" w:customStyle="1" w:styleId="65">
    <w:name w:val="正文文本 Char"/>
    <w:basedOn w:val="33"/>
    <w:qFormat/>
    <w:uiPriority w:val="0"/>
    <w:rPr>
      <w:rFonts w:hint="default"/>
      <w:szCs w:val="21"/>
    </w:rPr>
  </w:style>
  <w:style w:type="character" w:customStyle="1" w:styleId="66">
    <w:name w:val="正文文本缩进 Char"/>
    <w:link w:val="6"/>
    <w:unhideWhenUsed/>
    <w:qFormat/>
    <w:uiPriority w:val="99"/>
    <w:rPr>
      <w:szCs w:val="21"/>
    </w:rPr>
  </w:style>
  <w:style w:type="character" w:customStyle="1" w:styleId="67">
    <w:name w:val="日期 Char"/>
    <w:basedOn w:val="33"/>
    <w:link w:val="18"/>
    <w:qFormat/>
    <w:uiPriority w:val="99"/>
    <w:rPr>
      <w:rFonts w:hint="default"/>
      <w:szCs w:val="21"/>
    </w:rPr>
  </w:style>
  <w:style w:type="character" w:customStyle="1" w:styleId="68">
    <w:name w:val="文档结构图 Char"/>
    <w:basedOn w:val="33"/>
    <w:link w:val="12"/>
    <w:qFormat/>
    <w:uiPriority w:val="99"/>
    <w:rPr>
      <w:rFonts w:hint="default"/>
      <w:szCs w:val="21"/>
      <w:shd w:val="clear" w:color="auto" w:fill="000080"/>
    </w:rPr>
  </w:style>
  <w:style w:type="character" w:customStyle="1" w:styleId="69">
    <w:name w:val="批注框文本 Char"/>
    <w:basedOn w:val="33"/>
    <w:link w:val="19"/>
    <w:semiHidden/>
    <w:qFormat/>
    <w:uiPriority w:val="0"/>
    <w:rPr>
      <w:rFonts w:hint="default"/>
      <w:sz w:val="18"/>
      <w:szCs w:val="18"/>
    </w:rPr>
  </w:style>
  <w:style w:type="paragraph" w:styleId="70">
    <w:name w:val="No Spacing"/>
    <w:link w:val="71"/>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71">
    <w:name w:val="无间隔 Char"/>
    <w:link w:val="70"/>
    <w:qFormat/>
    <w:uiPriority w:val="1"/>
  </w:style>
  <w:style w:type="character" w:customStyle="1" w:styleId="72">
    <w:name w:val="正文首行缩进 2 Char"/>
    <w:basedOn w:val="66"/>
    <w:link w:val="5"/>
    <w:qFormat/>
    <w:uiPriority w:val="0"/>
    <w:rPr>
      <w:sz w:val="24"/>
      <w:szCs w:val="24"/>
      <w:lang w:eastAsia="en-US" w:bidi="en-US"/>
    </w:rPr>
  </w:style>
  <w:style w:type="character" w:customStyle="1" w:styleId="73">
    <w:name w:val="正文首行缩进 Char"/>
    <w:basedOn w:val="64"/>
    <w:link w:val="2"/>
    <w:qFormat/>
    <w:uiPriority w:val="0"/>
    <w:rPr>
      <w:rFonts w:cs="宋体"/>
      <w:color w:val="333333"/>
      <w:kern w:val="0"/>
      <w:sz w:val="24"/>
      <w:szCs w:val="24"/>
    </w:rPr>
  </w:style>
  <w:style w:type="paragraph" w:styleId="74">
    <w:name w:val="List Paragraph"/>
    <w:basedOn w:val="1"/>
    <w:qFormat/>
    <w:uiPriority w:val="34"/>
    <w:pPr>
      <w:widowControl/>
      <w:ind w:firstLine="420"/>
      <w:jc w:val="left"/>
    </w:pPr>
    <w:rPr>
      <w:rFonts w:ascii="宋体" w:hAnsi="宋体" w:eastAsia="宋体"/>
      <w:sz w:val="28"/>
      <w:szCs w:val="22"/>
      <w:lang w:eastAsia="en-US"/>
    </w:rPr>
  </w:style>
  <w:style w:type="character" w:customStyle="1" w:styleId="75">
    <w:name w:val="副标题 Char"/>
    <w:basedOn w:val="33"/>
    <w:link w:val="24"/>
    <w:qFormat/>
    <w:uiPriority w:val="11"/>
    <w:rPr>
      <w:rFonts w:eastAsia="黑体"/>
      <w:sz w:val="32"/>
    </w:rPr>
  </w:style>
  <w:style w:type="character" w:customStyle="1" w:styleId="76">
    <w:name w:val="标题 Char"/>
    <w:basedOn w:val="33"/>
    <w:link w:val="30"/>
    <w:qFormat/>
    <w:uiPriority w:val="10"/>
    <w:rPr>
      <w:rFonts w:eastAsia="仿宋_GB2312" w:asciiTheme="majorHAnsi" w:hAnsiTheme="majorHAnsi" w:cstheme="majorBidi"/>
      <w:bCs/>
      <w:color w:val="333333"/>
      <w:w w:val="95"/>
      <w:kern w:val="0"/>
      <w:sz w:val="32"/>
      <w:szCs w:val="32"/>
    </w:rPr>
  </w:style>
  <w:style w:type="paragraph" w:customStyle="1" w:styleId="77">
    <w:name w:val="TOC 标题1"/>
    <w:basedOn w:val="7"/>
    <w:next w:val="1"/>
    <w:unhideWhenUsed/>
    <w:qFormat/>
    <w:uiPriority w:val="39"/>
    <w:pPr>
      <w:widowControl/>
      <w:adjustRightInd/>
      <w:snapToGrid/>
      <w:spacing w:before="480" w:line="276" w:lineRule="auto"/>
      <w:ind w:firstLine="0" w:firstLineChars="0"/>
      <w:jc w:val="left"/>
      <w:outlineLvl w:val="9"/>
    </w:pPr>
    <w:rPr>
      <w:rFonts w:asciiTheme="majorHAnsi" w:hAnsiTheme="majorHAnsi" w:cstheme="majorBidi"/>
      <w:color w:val="376092" w:themeColor="accent1" w:themeShade="BF"/>
      <w:kern w:val="0"/>
      <w:sz w:val="28"/>
      <w:szCs w:val="28"/>
    </w:rPr>
  </w:style>
  <w:style w:type="paragraph" w:customStyle="1" w:styleId="78">
    <w:name w:val="Table Paragraph"/>
    <w:basedOn w:val="1"/>
    <w:qFormat/>
    <w:uiPriority w:val="1"/>
    <w:pPr>
      <w:adjustRightInd/>
      <w:snapToGrid/>
      <w:spacing w:line="240" w:lineRule="auto"/>
      <w:ind w:firstLine="0" w:firstLineChars="0"/>
    </w:pPr>
    <w:rPr>
      <w:rFonts w:ascii="宋体" w:hAnsi="宋体" w:eastAsia="宋体"/>
      <w:color w:val="auto"/>
      <w:kern w:val="2"/>
      <w:sz w:val="21"/>
      <w:szCs w:val="24"/>
      <w:lang w:val="zh-CN" w:bidi="zh-CN"/>
    </w:rPr>
  </w:style>
  <w:style w:type="character" w:customStyle="1" w:styleId="79">
    <w:name w:val="font01"/>
    <w:basedOn w:val="33"/>
    <w:qFormat/>
    <w:uiPriority w:val="0"/>
    <w:rPr>
      <w:rFonts w:ascii="仿宋_GB2312" w:eastAsia="仿宋_GB2312" w:cs="仿宋_GB2312"/>
      <w:color w:val="000000"/>
      <w:sz w:val="24"/>
      <w:szCs w:val="24"/>
      <w:u w:val="none"/>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封面完成时间"/>
    <w:basedOn w:val="83"/>
    <w:qFormat/>
    <w:uiPriority w:val="0"/>
    <w:pPr>
      <w:ind w:left="0" w:leftChars="0"/>
      <w:jc w:val="center"/>
    </w:pPr>
    <w:rPr>
      <w:b/>
    </w:rPr>
  </w:style>
  <w:style w:type="paragraph" w:customStyle="1" w:styleId="83">
    <w:name w:val="封面项目信息"/>
    <w:basedOn w:val="1"/>
    <w:next w:val="82"/>
    <w:qFormat/>
    <w:uiPriority w:val="0"/>
    <w:pPr>
      <w:spacing w:before="120"/>
      <w:ind w:left="800" w:leftChars="800"/>
      <w:jc w:val="left"/>
    </w:pPr>
    <w:rPr>
      <w:rFonts w:eastAsia="黑体"/>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wODgwODQ1NzQ5IiwKCSJHcm91cElkIiA6ICIzOTAwMjg5MDciLAoJIkltYWdlIiA6ICJpVkJPUncwS0dnb0FBQUFOU1VoRVVnQUFBdXdBQUFFRENBWUFBQUJ1MmxFMkFBQUFDWEJJV1hNQUFBc1RBQUFMRXdFQW1wd1lBQUFnQUVsRVFWUjRuT3pkZDNnVTFkY0g4Ty9PN2lhYjNuc2dJUUVTUWs5RW1oUkJOS0UzYVlMQUQxQlFRSm9pVFVCQm1raVJBTkloRkFFRkJBUVVCQlFGTlMrOUpVQkNTU2U5N0NiWmR0OC94cDNzWkRjVkJTVG44enp6UEpuWjJkMWgyYnR6NXM2OTV3Q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DBD0C-F278-4CD0-A07B-940065F30C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26321</Words>
  <Characters>27607</Characters>
  <Lines>165</Lines>
  <Paragraphs>46</Paragraphs>
  <TotalTime>3</TotalTime>
  <ScaleCrop>false</ScaleCrop>
  <LinksUpToDate>false</LinksUpToDate>
  <CharactersWithSpaces>27792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2022-11-14T03:12:00Z</dcterms:created>
  <dc:creator>Administrator</dc:creator>
  <cp:lastModifiedBy>桃之夭夭</cp:lastModifiedBy>
  <cp:lastPrinted>2020-10-16T01:20:00Z</cp:lastPrinted>
  <dcterms:modified xsi:type="dcterms:W3CDTF">2023-06-21T07:42:09Z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4236176777FE4F8F8F0281F0F6FB92EA_13</vt:lpwstr>
  </property>
</Properties>
</file>