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9F" w:rsidRDefault="002849CA">
      <w:pPr>
        <w:pStyle w:val="2"/>
        <w:widowControl/>
        <w:shd w:val="clear" w:color="auto" w:fill="FFFFFF"/>
        <w:spacing w:beforeAutospacing="0" w:afterAutospacing="0" w:line="675" w:lineRule="atLeast"/>
        <w:jc w:val="center"/>
        <w:rPr>
          <w:rFonts w:ascii="微软雅黑" w:eastAsia="微软雅黑" w:hAnsi="微软雅黑" w:cs="微软雅黑" w:hint="default"/>
          <w:color w:val="333333"/>
        </w:rPr>
      </w:pPr>
      <w:r>
        <w:rPr>
          <w:rFonts w:ascii="微软雅黑" w:eastAsia="微软雅黑" w:hAnsi="微软雅黑" w:cs="微软雅黑"/>
          <w:color w:val="333333"/>
          <w:shd w:val="clear" w:color="auto" w:fill="FFFFFF"/>
        </w:rPr>
        <w:t>关于部分成品油消费税政策执行口径的公告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财政部</w:t>
      </w: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税务总局公告</w:t>
      </w: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2023</w:t>
      </w: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年第</w:t>
      </w: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11</w:t>
      </w:r>
      <w:r>
        <w:rPr>
          <w:rFonts w:ascii="宋体" w:eastAsia="宋体" w:hAnsi="宋体" w:cs="宋体" w:hint="eastAsia"/>
          <w:b/>
          <w:bCs/>
          <w:color w:val="333333"/>
          <w:shd w:val="clear" w:color="auto" w:fill="FFFFFF"/>
        </w:rPr>
        <w:t>号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　为促进成品</w:t>
      </w:r>
      <w:proofErr w:type="gramStart"/>
      <w:r>
        <w:rPr>
          <w:rFonts w:ascii="宋体" w:eastAsia="宋体" w:hAnsi="宋体" w:cs="宋体" w:hint="eastAsia"/>
          <w:color w:val="333333"/>
          <w:shd w:val="clear" w:color="auto" w:fill="FFFFFF"/>
        </w:rPr>
        <w:t>油行业</w:t>
      </w:r>
      <w:proofErr w:type="gramEnd"/>
      <w:r>
        <w:rPr>
          <w:rFonts w:ascii="宋体" w:eastAsia="宋体" w:hAnsi="宋体" w:cs="宋体" w:hint="eastAsia"/>
          <w:color w:val="333333"/>
          <w:shd w:val="clear" w:color="auto" w:fill="FFFFFF"/>
        </w:rPr>
        <w:t>规范健康发展，根据《财政部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国家税务总局关于提高成品油消费税税率的通知》（财税〔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2008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〕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167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号），现将符合《成品油消费税征收范围注释》规定的部分成品油消费税政策执行口径公告如下：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　一、对烷基化油（异辛烷）按照汽油征收消费税。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　二、对石油醚、粗白油、轻质白油、部分工业白油（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号、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号、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号、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号、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号、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32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号、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46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号）按照溶剂油征收消费税。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　三、对混合芳烃、重芳烃、混合碳八、稳定轻烃、轻油、轻质煤焦油按照石脑油征收消费税。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　四、对航天煤油参照航空煤油暂缓征收消费税。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　　五、本公告自发布之日起执行。本公告所列油品，在公告发布前已经发生的事项，不再进行税收调整。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财政部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税务总局</w:t>
      </w:r>
    </w:p>
    <w:p w:rsidR="0016319F" w:rsidRDefault="002849CA">
      <w:pPr>
        <w:pStyle w:val="a3"/>
        <w:widowControl/>
        <w:spacing w:beforeAutospacing="0" w:after="210" w:afterAutospacing="0" w:line="27" w:lineRule="atLeast"/>
        <w:jc w:val="righ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2023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30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日</w:t>
      </w:r>
    </w:p>
    <w:p w:rsidR="0016319F" w:rsidRDefault="0016319F">
      <w:bookmarkStart w:id="0" w:name="_GoBack"/>
      <w:bookmarkEnd w:id="0"/>
    </w:p>
    <w:sectPr w:rsidR="00163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VlOTI2YmMyZjNkZWZmYjA3OGQxYzJiOTgyOGYxYTgifQ=="/>
  </w:docVars>
  <w:rsids>
    <w:rsidRoot w:val="0016319F"/>
    <w:rsid w:val="0016319F"/>
    <w:rsid w:val="002849CA"/>
    <w:rsid w:val="4AE1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70EA2B-A481-41A8-84B6-8CBFA47E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2023-09-27T02:43:00Z</dcterms:created>
  <dcterms:modified xsi:type="dcterms:W3CDTF">2023-10-11T09:07:00Z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1B8CFE3A9E7D46359F6A152F24231758_12</vt:lpwstr>
  </property>
</Properties>
</file>