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bCs/>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rPr>
          <w:rFonts w:ascii="Times New Roman" w:hAnsi="Times New Roman" w:eastAsia="文星简黑体"/>
          <w:sz w:val="32"/>
          <w:szCs w:val="32"/>
        </w:rPr>
      </w:pPr>
    </w:p>
    <w:p>
      <w:pPr>
        <w:spacing w:line="360" w:lineRule="auto"/>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2021年度枣庄高新区残疾人康复专项</w:t>
      </w:r>
    </w:p>
    <w:p>
      <w:pPr>
        <w:spacing w:line="360" w:lineRule="auto"/>
        <w:jc w:val="center"/>
        <w:rPr>
          <w:rFonts w:hint="eastAsia" w:ascii="Times New Roman" w:hAnsi="Times New Roman" w:eastAsia="方正小标宋简体"/>
          <w:sz w:val="44"/>
          <w:szCs w:val="44"/>
        </w:rPr>
      </w:pPr>
      <w:r>
        <w:rPr>
          <w:rFonts w:hint="eastAsia" w:ascii="Times New Roman" w:hAnsi="Times New Roman" w:eastAsia="方正小标宋简体"/>
          <w:sz w:val="44"/>
          <w:szCs w:val="44"/>
        </w:rPr>
        <w:t>经费项目绩效评价报告</w:t>
      </w:r>
    </w:p>
    <w:p>
      <w:pPr>
        <w:spacing w:line="560" w:lineRule="exact"/>
        <w:jc w:val="right"/>
        <w:rPr>
          <w:rFonts w:ascii="Times New Roman" w:hAnsi="Times New Roman" w:eastAsia="方正小标宋简体"/>
          <w:sz w:val="32"/>
          <w:szCs w:val="32"/>
        </w:rPr>
      </w:pPr>
    </w:p>
    <w:p>
      <w:pPr>
        <w:spacing w:line="560" w:lineRule="exact"/>
        <w:jc w:val="right"/>
        <w:rPr>
          <w:rFonts w:ascii="Times New Roman" w:hAnsi="Times New Roman" w:eastAsia="文星简黑体"/>
          <w:sz w:val="32"/>
          <w:szCs w:val="32"/>
        </w:rPr>
      </w:pPr>
    </w:p>
    <w:p>
      <w:pPr>
        <w:widowControl/>
        <w:overflowPunct w:val="0"/>
        <w:autoSpaceDE w:val="0"/>
        <w:autoSpaceDN w:val="0"/>
        <w:adjustRightInd w:val="0"/>
        <w:snapToGrid w:val="0"/>
        <w:spacing w:line="580" w:lineRule="exact"/>
        <w:ind w:left="640" w:hanging="640" w:hangingChars="200"/>
        <w:jc w:val="center"/>
        <w:textAlignment w:val="baseline"/>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line="560" w:lineRule="exact"/>
        <w:jc w:val="center"/>
        <w:rPr>
          <w:rFonts w:ascii="Times New Roman" w:hAnsi="Times New Roman" w:eastAsia="文星简黑体"/>
          <w:sz w:val="32"/>
          <w:szCs w:val="32"/>
        </w:rPr>
      </w:pPr>
    </w:p>
    <w:p>
      <w:pPr>
        <w:spacing w:before="120" w:after="120" w:line="360" w:lineRule="auto"/>
        <w:ind w:firstLine="1280" w:firstLineChars="400"/>
        <w:rPr>
          <w:rFonts w:ascii="Times New Roman" w:hAnsi="Times New Roman" w:eastAsia="文星简黑体"/>
          <w:sz w:val="32"/>
          <w:szCs w:val="32"/>
        </w:rPr>
      </w:pPr>
      <w:r>
        <w:rPr>
          <w:rFonts w:hint="eastAsia" w:ascii="Times New Roman" w:hAnsi="Times New Roman" w:eastAsia="文星简黑体"/>
          <w:sz w:val="32"/>
          <w:szCs w:val="32"/>
        </w:rPr>
        <w:t xml:space="preserve">委托单位：枣庄高新区财政金融局 </w:t>
      </w:r>
    </w:p>
    <w:p>
      <w:pPr>
        <w:spacing w:before="120" w:after="120" w:line="360" w:lineRule="auto"/>
        <w:ind w:firstLine="1280" w:firstLineChars="400"/>
        <w:rPr>
          <w:rFonts w:ascii="Times New Roman" w:hAnsi="Times New Roman" w:eastAsia="文星简黑体"/>
          <w:sz w:val="32"/>
          <w:szCs w:val="32"/>
        </w:rPr>
      </w:pPr>
      <w:r>
        <w:rPr>
          <w:rFonts w:hint="eastAsia" w:ascii="Times New Roman" w:hAnsi="Times New Roman" w:eastAsia="文星简黑体"/>
          <w:sz w:val="32"/>
          <w:szCs w:val="32"/>
        </w:rPr>
        <w:t>项目单位：枣庄高新区社会事务综合服务中心</w:t>
      </w:r>
    </w:p>
    <w:p>
      <w:pPr>
        <w:spacing w:before="120" w:after="120" w:line="360" w:lineRule="auto"/>
        <w:ind w:firstLine="1280" w:firstLineChars="400"/>
        <w:rPr>
          <w:rFonts w:ascii="Times New Roman" w:hAnsi="Times New Roman" w:eastAsia="黑体"/>
          <w:sz w:val="32"/>
          <w:szCs w:val="32"/>
        </w:rPr>
      </w:pPr>
      <w:r>
        <w:rPr>
          <w:rFonts w:hint="eastAsia" w:ascii="Times New Roman" w:hAnsi="Times New Roman" w:eastAsia="文星简黑体"/>
          <w:sz w:val="32"/>
          <w:szCs w:val="32"/>
        </w:rPr>
        <w:t>评价机构：北京华盛中天咨询有限责任公司</w:t>
      </w:r>
    </w:p>
    <w:p>
      <w:pPr>
        <w:spacing w:before="120" w:after="120" w:line="560" w:lineRule="exact"/>
        <w:rPr>
          <w:rFonts w:ascii="Times New Roman" w:hAnsi="Times New Roman" w:eastAsia="文星简黑体"/>
          <w:sz w:val="32"/>
          <w:szCs w:val="32"/>
        </w:rPr>
      </w:pPr>
    </w:p>
    <w:p>
      <w:pPr>
        <w:spacing w:before="120" w:after="120" w:line="360" w:lineRule="auto"/>
        <w:jc w:val="center"/>
        <w:rPr>
          <w:rFonts w:ascii="Times New Roman" w:hAnsi="Times New Roman" w:eastAsia="文星简黑体"/>
          <w:bCs/>
          <w:sz w:val="32"/>
          <w:szCs w:val="32"/>
        </w:rPr>
        <w:sectPr>
          <w:footerReference r:id="rId3" w:type="default"/>
          <w:pgSz w:w="11906" w:h="16838"/>
          <w:pgMar w:top="1701" w:right="1588" w:bottom="1701" w:left="1588" w:header="851" w:footer="992" w:gutter="0"/>
          <w:pgNumType w:fmt="numberInDash"/>
          <w:cols w:space="425" w:num="1"/>
          <w:docGrid w:linePitch="312" w:charSpace="0"/>
        </w:sectPr>
      </w:pPr>
      <w:r>
        <w:rPr>
          <w:rFonts w:hint="eastAsia" w:ascii="Times New Roman" w:hAnsi="Times New Roman" w:eastAsia="文星简黑体"/>
          <w:bCs/>
          <w:sz w:val="32"/>
          <w:szCs w:val="32"/>
        </w:rPr>
        <w:t>2022年</w:t>
      </w:r>
      <w:r>
        <w:rPr>
          <w:rFonts w:hint="eastAsia" w:ascii="Times New Roman" w:hAnsi="Times New Roman" w:eastAsia="文星简黑体"/>
          <w:bCs/>
          <w:sz w:val="32"/>
          <w:szCs w:val="32"/>
          <w:lang w:val="en-US" w:eastAsia="zh-CN"/>
        </w:rPr>
        <w:t>7</w:t>
      </w:r>
      <w:r>
        <w:rPr>
          <w:rFonts w:hint="eastAsia" w:ascii="Times New Roman" w:hAnsi="Times New Roman" w:eastAsia="文星简黑体"/>
          <w:bCs/>
          <w:sz w:val="32"/>
          <w:szCs w:val="32"/>
        </w:rPr>
        <w:t>月</w:t>
      </w:r>
    </w:p>
    <w:p>
      <w:pPr>
        <w:spacing w:line="560" w:lineRule="exact"/>
        <w:jc w:val="center"/>
        <w:rPr>
          <w:rFonts w:ascii="Times New Roman" w:hAnsi="Times New Roman" w:eastAsia="方正小标宋简体"/>
          <w:b/>
          <w:bCs/>
          <w:sz w:val="36"/>
          <w:szCs w:val="36"/>
        </w:rPr>
      </w:pPr>
      <w:r>
        <w:rPr>
          <w:rFonts w:ascii="Times New Roman" w:hAnsi="Times New Roman" w:eastAsia="方正小标宋简体"/>
          <w:b/>
          <w:bCs/>
          <w:sz w:val="36"/>
          <w:szCs w:val="36"/>
        </w:rPr>
        <w:t>目  录</w:t>
      </w:r>
    </w:p>
    <w:p>
      <w:pPr>
        <w:spacing w:line="560" w:lineRule="exact"/>
        <w:jc w:val="center"/>
        <w:rPr>
          <w:rFonts w:ascii="Times New Roman" w:hAnsi="Times New Roman" w:eastAsia="方正小标宋简体"/>
          <w:sz w:val="32"/>
          <w:szCs w:val="32"/>
        </w:rPr>
      </w:pPr>
    </w:p>
    <w:p>
      <w:pPr>
        <w:pStyle w:val="28"/>
        <w:tabs>
          <w:tab w:val="right" w:leader="dot" w:pos="8730"/>
        </w:tabs>
        <w:spacing w:line="560" w:lineRule="exact"/>
        <w:rPr>
          <w:rFonts w:hint="eastAsia" w:ascii="黑体" w:hAnsi="黑体" w:eastAsia="黑体" w:cs="黑体"/>
          <w:b w:val="0"/>
          <w:sz w:val="28"/>
          <w:szCs w:val="28"/>
        </w:rPr>
      </w:pPr>
      <w:r>
        <w:rPr>
          <w:rFonts w:ascii="Times New Roman" w:hAnsi="Times New Roman" w:eastAsia="楷体_GB2312"/>
          <w:b w:val="0"/>
          <w:bCs w:val="0"/>
          <w:caps w:val="0"/>
          <w:sz w:val="28"/>
          <w:szCs w:val="28"/>
        </w:rPr>
        <w:fldChar w:fldCharType="begin"/>
      </w:r>
      <w:r>
        <w:rPr>
          <w:rFonts w:ascii="Times New Roman" w:hAnsi="Times New Roman" w:eastAsia="楷体_GB2312"/>
          <w:b w:val="0"/>
          <w:bCs w:val="0"/>
          <w:caps w:val="0"/>
          <w:sz w:val="28"/>
          <w:szCs w:val="28"/>
        </w:rPr>
        <w:instrText xml:space="preserve"> TOC \o "1-3" \u </w:instrText>
      </w:r>
      <w:r>
        <w:rPr>
          <w:rFonts w:ascii="Times New Roman" w:hAnsi="Times New Roman" w:eastAsia="楷体_GB2312"/>
          <w:b w:val="0"/>
          <w:bCs w:val="0"/>
          <w:caps w:val="0"/>
          <w:sz w:val="28"/>
          <w:szCs w:val="28"/>
        </w:rPr>
        <w:fldChar w:fldCharType="separate"/>
      </w:r>
      <w:r>
        <w:rPr>
          <w:rFonts w:hint="eastAsia" w:ascii="黑体" w:hAnsi="黑体" w:eastAsia="黑体" w:cs="黑体"/>
          <w:b w:val="0"/>
          <w:bCs/>
          <w:kern w:val="44"/>
          <w:sz w:val="28"/>
          <w:szCs w:val="28"/>
        </w:rPr>
        <w:t>摘  要</w:t>
      </w:r>
      <w:r>
        <w:rPr>
          <w:rFonts w:hint="eastAsia" w:ascii="黑体" w:hAnsi="黑体" w:eastAsia="黑体" w:cs="黑体"/>
          <w:b w:val="0"/>
          <w:sz w:val="28"/>
          <w:szCs w:val="28"/>
        </w:rPr>
        <w:tab/>
      </w:r>
      <w:r>
        <w:rPr>
          <w:rFonts w:hint="eastAsia" w:ascii="黑体" w:hAnsi="黑体" w:eastAsia="黑体" w:cs="黑体"/>
          <w:b w:val="0"/>
          <w:sz w:val="28"/>
          <w:szCs w:val="28"/>
        </w:rPr>
        <w:fldChar w:fldCharType="begin"/>
      </w:r>
      <w:r>
        <w:rPr>
          <w:rFonts w:hint="eastAsia" w:ascii="黑体" w:hAnsi="黑体" w:eastAsia="黑体" w:cs="黑体"/>
          <w:b w:val="0"/>
          <w:sz w:val="28"/>
          <w:szCs w:val="28"/>
        </w:rPr>
        <w:instrText xml:space="preserve"> PAGEREF _Toc6775 \h </w:instrText>
      </w:r>
      <w:r>
        <w:rPr>
          <w:rFonts w:hint="eastAsia" w:ascii="黑体" w:hAnsi="黑体" w:eastAsia="黑体" w:cs="黑体"/>
          <w:b w:val="0"/>
          <w:sz w:val="28"/>
          <w:szCs w:val="28"/>
        </w:rPr>
        <w:fldChar w:fldCharType="separate"/>
      </w:r>
      <w:r>
        <w:rPr>
          <w:rFonts w:hint="eastAsia" w:ascii="黑体" w:hAnsi="黑体" w:eastAsia="黑体" w:cs="黑体"/>
          <w:b w:val="0"/>
          <w:sz w:val="28"/>
          <w:szCs w:val="28"/>
        </w:rPr>
        <w:t>I</w:t>
      </w:r>
      <w:r>
        <w:rPr>
          <w:rFonts w:hint="eastAsia" w:ascii="黑体" w:hAnsi="黑体" w:eastAsia="黑体" w:cs="黑体"/>
          <w:b w:val="0"/>
          <w:sz w:val="28"/>
          <w:szCs w:val="28"/>
        </w:rPr>
        <w:fldChar w:fldCharType="end"/>
      </w:r>
    </w:p>
    <w:p>
      <w:pPr>
        <w:pStyle w:val="28"/>
        <w:tabs>
          <w:tab w:val="right" w:leader="dot" w:pos="8730"/>
        </w:tabs>
        <w:spacing w:line="560" w:lineRule="exact"/>
        <w:rPr>
          <w:rFonts w:hint="eastAsia" w:ascii="黑体" w:hAnsi="黑体" w:eastAsia="黑体" w:cs="黑体"/>
          <w:b w:val="0"/>
          <w:sz w:val="28"/>
          <w:szCs w:val="28"/>
        </w:rPr>
      </w:pPr>
      <w:r>
        <w:rPr>
          <w:rFonts w:hint="eastAsia" w:ascii="黑体" w:hAnsi="黑体" w:eastAsia="黑体" w:cs="黑体"/>
          <w:b w:val="0"/>
          <w:sz w:val="28"/>
          <w:szCs w:val="28"/>
        </w:rPr>
        <w:t>正文部分</w:t>
      </w:r>
      <w:r>
        <w:rPr>
          <w:rFonts w:hint="eastAsia" w:ascii="黑体" w:hAnsi="黑体" w:eastAsia="黑体" w:cs="黑体"/>
          <w:b w:val="0"/>
          <w:sz w:val="28"/>
          <w:szCs w:val="28"/>
        </w:rPr>
        <w:tab/>
      </w:r>
      <w:r>
        <w:rPr>
          <w:rFonts w:hint="eastAsia" w:ascii="黑体" w:hAnsi="黑体" w:eastAsia="黑体" w:cs="黑体"/>
          <w:b w:val="0"/>
          <w:sz w:val="28"/>
          <w:szCs w:val="28"/>
        </w:rPr>
        <w:fldChar w:fldCharType="begin"/>
      </w:r>
      <w:r>
        <w:rPr>
          <w:rFonts w:hint="eastAsia" w:ascii="黑体" w:hAnsi="黑体" w:eastAsia="黑体" w:cs="黑体"/>
          <w:b w:val="0"/>
          <w:sz w:val="28"/>
          <w:szCs w:val="28"/>
        </w:rPr>
        <w:instrText xml:space="preserve"> PAGEREF _Toc4479 \h </w:instrText>
      </w:r>
      <w:r>
        <w:rPr>
          <w:rFonts w:hint="eastAsia" w:ascii="黑体" w:hAnsi="黑体" w:eastAsia="黑体" w:cs="黑体"/>
          <w:b w:val="0"/>
          <w:sz w:val="28"/>
          <w:szCs w:val="28"/>
        </w:rPr>
        <w:fldChar w:fldCharType="separate"/>
      </w:r>
      <w:r>
        <w:rPr>
          <w:rFonts w:hint="eastAsia" w:ascii="黑体" w:hAnsi="黑体" w:eastAsia="黑体" w:cs="黑体"/>
          <w:b w:val="0"/>
          <w:sz w:val="28"/>
          <w:szCs w:val="28"/>
        </w:rPr>
        <w:t>1</w:t>
      </w:r>
      <w:r>
        <w:rPr>
          <w:rFonts w:hint="eastAsia" w:ascii="黑体" w:hAnsi="黑体" w:eastAsia="黑体" w:cs="黑体"/>
          <w:b w:val="0"/>
          <w:sz w:val="28"/>
          <w:szCs w:val="28"/>
        </w:rPr>
        <w:fldChar w:fldCharType="end"/>
      </w:r>
    </w:p>
    <w:p>
      <w:pPr>
        <w:pStyle w:val="28"/>
        <w:tabs>
          <w:tab w:val="right" w:leader="dot" w:pos="8730"/>
        </w:tabs>
        <w:spacing w:line="560" w:lineRule="exact"/>
        <w:rPr>
          <w:rFonts w:hint="eastAsia" w:ascii="黑体" w:hAnsi="黑体" w:eastAsia="黑体" w:cs="黑体"/>
          <w:b w:val="0"/>
          <w:sz w:val="28"/>
          <w:szCs w:val="28"/>
        </w:rPr>
      </w:pPr>
      <w:r>
        <w:rPr>
          <w:rFonts w:hint="eastAsia" w:ascii="黑体" w:hAnsi="黑体" w:eastAsia="黑体" w:cs="黑体"/>
          <w:b w:val="0"/>
          <w:sz w:val="28"/>
          <w:szCs w:val="28"/>
        </w:rPr>
        <w:t>一、</w:t>
      </w:r>
      <w:r>
        <w:rPr>
          <w:rFonts w:hint="eastAsia" w:ascii="黑体" w:hAnsi="黑体" w:eastAsia="黑体" w:cs="黑体"/>
          <w:b w:val="0"/>
          <w:sz w:val="28"/>
          <w:szCs w:val="28"/>
          <w:lang w:val="en-US" w:eastAsia="zh-CN"/>
        </w:rPr>
        <w:t>项目</w:t>
      </w:r>
      <w:r>
        <w:rPr>
          <w:rFonts w:hint="eastAsia" w:ascii="黑体" w:hAnsi="黑体" w:eastAsia="黑体" w:cs="黑体"/>
          <w:b w:val="0"/>
          <w:sz w:val="28"/>
          <w:szCs w:val="28"/>
        </w:rPr>
        <w:t>基本情况</w:t>
      </w:r>
      <w:r>
        <w:rPr>
          <w:rFonts w:hint="eastAsia" w:ascii="黑体" w:hAnsi="黑体" w:eastAsia="黑体" w:cs="黑体"/>
          <w:b w:val="0"/>
          <w:sz w:val="28"/>
          <w:szCs w:val="28"/>
        </w:rPr>
        <w:tab/>
      </w:r>
      <w:r>
        <w:rPr>
          <w:rFonts w:hint="eastAsia" w:ascii="黑体" w:hAnsi="黑体" w:eastAsia="黑体" w:cs="黑体"/>
          <w:b w:val="0"/>
          <w:sz w:val="28"/>
          <w:szCs w:val="28"/>
        </w:rPr>
        <w:fldChar w:fldCharType="begin"/>
      </w:r>
      <w:r>
        <w:rPr>
          <w:rFonts w:hint="eastAsia" w:ascii="黑体" w:hAnsi="黑体" w:eastAsia="黑体" w:cs="黑体"/>
          <w:b w:val="0"/>
          <w:sz w:val="28"/>
          <w:szCs w:val="28"/>
        </w:rPr>
        <w:instrText xml:space="preserve"> PAGEREF _Toc30792 \h </w:instrText>
      </w:r>
      <w:r>
        <w:rPr>
          <w:rFonts w:hint="eastAsia" w:ascii="黑体" w:hAnsi="黑体" w:eastAsia="黑体" w:cs="黑体"/>
          <w:b w:val="0"/>
          <w:sz w:val="28"/>
          <w:szCs w:val="28"/>
        </w:rPr>
        <w:fldChar w:fldCharType="separate"/>
      </w:r>
      <w:r>
        <w:rPr>
          <w:rFonts w:hint="eastAsia" w:ascii="黑体" w:hAnsi="黑体" w:eastAsia="黑体" w:cs="黑体"/>
          <w:b w:val="0"/>
          <w:sz w:val="28"/>
          <w:szCs w:val="28"/>
        </w:rPr>
        <w:t>1</w:t>
      </w:r>
      <w:r>
        <w:rPr>
          <w:rFonts w:hint="eastAsia" w:ascii="黑体" w:hAnsi="黑体" w:eastAsia="黑体" w:cs="黑体"/>
          <w:b w:val="0"/>
          <w:sz w:val="28"/>
          <w:szCs w:val="28"/>
        </w:rPr>
        <w:fldChar w:fldCharType="end"/>
      </w:r>
    </w:p>
    <w:p>
      <w:pPr>
        <w:pStyle w:val="28"/>
        <w:tabs>
          <w:tab w:val="right" w:leader="dot" w:pos="8730"/>
        </w:tabs>
        <w:spacing w:line="560" w:lineRule="exact"/>
        <w:rPr>
          <w:rFonts w:hint="eastAsia" w:ascii="黑体" w:hAnsi="黑体" w:eastAsia="黑体" w:cs="黑体"/>
          <w:b w:val="0"/>
          <w:sz w:val="28"/>
          <w:szCs w:val="28"/>
        </w:rPr>
      </w:pPr>
      <w:r>
        <w:rPr>
          <w:rFonts w:hint="eastAsia" w:ascii="黑体" w:hAnsi="黑体" w:eastAsia="黑体" w:cs="黑体"/>
          <w:b w:val="0"/>
          <w:sz w:val="28"/>
          <w:szCs w:val="28"/>
        </w:rPr>
        <w:t>二、评价基本情况</w:t>
      </w:r>
      <w:r>
        <w:rPr>
          <w:rFonts w:hint="eastAsia" w:ascii="黑体" w:hAnsi="黑体" w:eastAsia="黑体" w:cs="黑体"/>
          <w:b w:val="0"/>
          <w:sz w:val="28"/>
          <w:szCs w:val="28"/>
        </w:rPr>
        <w:tab/>
      </w:r>
      <w:r>
        <w:rPr>
          <w:rFonts w:hint="eastAsia" w:ascii="黑体" w:hAnsi="黑体" w:eastAsia="黑体" w:cs="黑体"/>
          <w:b w:val="0"/>
          <w:sz w:val="28"/>
          <w:szCs w:val="28"/>
        </w:rPr>
        <w:fldChar w:fldCharType="begin"/>
      </w:r>
      <w:r>
        <w:rPr>
          <w:rFonts w:hint="eastAsia" w:ascii="黑体" w:hAnsi="黑体" w:eastAsia="黑体" w:cs="黑体"/>
          <w:b w:val="0"/>
          <w:sz w:val="28"/>
          <w:szCs w:val="28"/>
        </w:rPr>
        <w:instrText xml:space="preserve"> PAGEREF _Toc1355 \h </w:instrText>
      </w:r>
      <w:r>
        <w:rPr>
          <w:rFonts w:hint="eastAsia" w:ascii="黑体" w:hAnsi="黑体" w:eastAsia="黑体" w:cs="黑体"/>
          <w:b w:val="0"/>
          <w:sz w:val="28"/>
          <w:szCs w:val="28"/>
        </w:rPr>
        <w:fldChar w:fldCharType="separate"/>
      </w:r>
      <w:r>
        <w:rPr>
          <w:rFonts w:hint="eastAsia" w:ascii="黑体" w:hAnsi="黑体" w:eastAsia="黑体" w:cs="黑体"/>
          <w:b w:val="0"/>
          <w:sz w:val="28"/>
          <w:szCs w:val="28"/>
        </w:rPr>
        <w:t>4</w:t>
      </w:r>
      <w:r>
        <w:rPr>
          <w:rFonts w:hint="eastAsia" w:ascii="黑体" w:hAnsi="黑体" w:eastAsia="黑体" w:cs="黑体"/>
          <w:b w:val="0"/>
          <w:sz w:val="28"/>
          <w:szCs w:val="28"/>
        </w:rPr>
        <w:fldChar w:fldCharType="end"/>
      </w:r>
    </w:p>
    <w:p>
      <w:pPr>
        <w:pStyle w:val="28"/>
        <w:tabs>
          <w:tab w:val="right" w:leader="dot" w:pos="8730"/>
        </w:tabs>
        <w:spacing w:line="560" w:lineRule="exact"/>
        <w:rPr>
          <w:rFonts w:hint="eastAsia" w:ascii="黑体" w:hAnsi="黑体" w:eastAsia="黑体" w:cs="黑体"/>
          <w:b w:val="0"/>
          <w:sz w:val="28"/>
          <w:szCs w:val="28"/>
        </w:rPr>
      </w:pPr>
      <w:r>
        <w:rPr>
          <w:rFonts w:hint="eastAsia" w:ascii="黑体" w:hAnsi="黑体" w:eastAsia="黑体" w:cs="黑体"/>
          <w:b w:val="0"/>
          <w:sz w:val="28"/>
          <w:szCs w:val="28"/>
        </w:rPr>
        <w:t>三、评价结论和绩效分析</w:t>
      </w:r>
      <w:r>
        <w:rPr>
          <w:rFonts w:hint="eastAsia" w:ascii="黑体" w:hAnsi="黑体" w:eastAsia="黑体" w:cs="黑体"/>
          <w:b w:val="0"/>
          <w:sz w:val="28"/>
          <w:szCs w:val="28"/>
        </w:rPr>
        <w:tab/>
      </w:r>
      <w:r>
        <w:rPr>
          <w:rFonts w:hint="eastAsia" w:ascii="黑体" w:hAnsi="黑体" w:eastAsia="黑体" w:cs="黑体"/>
          <w:b w:val="0"/>
          <w:sz w:val="28"/>
          <w:szCs w:val="28"/>
        </w:rPr>
        <w:fldChar w:fldCharType="begin"/>
      </w:r>
      <w:r>
        <w:rPr>
          <w:rFonts w:hint="eastAsia" w:ascii="黑体" w:hAnsi="黑体" w:eastAsia="黑体" w:cs="黑体"/>
          <w:b w:val="0"/>
          <w:sz w:val="28"/>
          <w:szCs w:val="28"/>
        </w:rPr>
        <w:instrText xml:space="preserve"> PAGEREF _Toc21612 \h </w:instrText>
      </w:r>
      <w:r>
        <w:rPr>
          <w:rFonts w:hint="eastAsia" w:ascii="黑体" w:hAnsi="黑体" w:eastAsia="黑体" w:cs="黑体"/>
          <w:b w:val="0"/>
          <w:sz w:val="28"/>
          <w:szCs w:val="28"/>
        </w:rPr>
        <w:fldChar w:fldCharType="separate"/>
      </w:r>
      <w:r>
        <w:rPr>
          <w:rFonts w:hint="eastAsia" w:ascii="黑体" w:hAnsi="黑体" w:eastAsia="黑体" w:cs="黑体"/>
          <w:b w:val="0"/>
          <w:sz w:val="28"/>
          <w:szCs w:val="28"/>
        </w:rPr>
        <w:t>10</w:t>
      </w:r>
      <w:r>
        <w:rPr>
          <w:rFonts w:hint="eastAsia" w:ascii="黑体" w:hAnsi="黑体" w:eastAsia="黑体" w:cs="黑体"/>
          <w:b w:val="0"/>
          <w:sz w:val="28"/>
          <w:szCs w:val="28"/>
        </w:rPr>
        <w:fldChar w:fldCharType="end"/>
      </w:r>
    </w:p>
    <w:p>
      <w:pPr>
        <w:pStyle w:val="28"/>
        <w:tabs>
          <w:tab w:val="right" w:leader="dot" w:pos="8730"/>
        </w:tabs>
        <w:spacing w:line="560" w:lineRule="exact"/>
        <w:rPr>
          <w:rFonts w:hint="eastAsia" w:ascii="黑体" w:hAnsi="黑体" w:eastAsia="黑体" w:cs="黑体"/>
          <w:b w:val="0"/>
          <w:sz w:val="28"/>
          <w:szCs w:val="28"/>
        </w:rPr>
      </w:pPr>
      <w:r>
        <w:rPr>
          <w:rFonts w:hint="eastAsia" w:ascii="黑体" w:hAnsi="黑体" w:eastAsia="黑体" w:cs="黑体"/>
          <w:b w:val="0"/>
          <w:sz w:val="28"/>
          <w:szCs w:val="28"/>
        </w:rPr>
        <w:t>四、绩效评价指标分析</w:t>
      </w:r>
      <w:r>
        <w:rPr>
          <w:rFonts w:hint="eastAsia" w:ascii="黑体" w:hAnsi="黑体" w:eastAsia="黑体" w:cs="黑体"/>
          <w:b w:val="0"/>
          <w:sz w:val="28"/>
          <w:szCs w:val="28"/>
        </w:rPr>
        <w:tab/>
      </w:r>
      <w:r>
        <w:rPr>
          <w:rFonts w:hint="eastAsia" w:ascii="黑体" w:hAnsi="黑体" w:eastAsia="黑体" w:cs="黑体"/>
          <w:b w:val="0"/>
          <w:sz w:val="28"/>
          <w:szCs w:val="28"/>
        </w:rPr>
        <w:fldChar w:fldCharType="begin"/>
      </w:r>
      <w:r>
        <w:rPr>
          <w:rFonts w:hint="eastAsia" w:ascii="黑体" w:hAnsi="黑体" w:eastAsia="黑体" w:cs="黑体"/>
          <w:b w:val="0"/>
          <w:sz w:val="28"/>
          <w:szCs w:val="28"/>
        </w:rPr>
        <w:instrText xml:space="preserve"> PAGEREF _Toc30023 \h </w:instrText>
      </w:r>
      <w:r>
        <w:rPr>
          <w:rFonts w:hint="eastAsia" w:ascii="黑体" w:hAnsi="黑体" w:eastAsia="黑体" w:cs="黑体"/>
          <w:b w:val="0"/>
          <w:sz w:val="28"/>
          <w:szCs w:val="28"/>
        </w:rPr>
        <w:fldChar w:fldCharType="separate"/>
      </w:r>
      <w:r>
        <w:rPr>
          <w:rFonts w:hint="eastAsia" w:ascii="黑体" w:hAnsi="黑体" w:eastAsia="黑体" w:cs="黑体"/>
          <w:b w:val="0"/>
          <w:sz w:val="28"/>
          <w:szCs w:val="28"/>
        </w:rPr>
        <w:t>10</w:t>
      </w:r>
      <w:r>
        <w:rPr>
          <w:rFonts w:hint="eastAsia" w:ascii="黑体" w:hAnsi="黑体" w:eastAsia="黑体" w:cs="黑体"/>
          <w:b w:val="0"/>
          <w:sz w:val="28"/>
          <w:szCs w:val="28"/>
        </w:rPr>
        <w:fldChar w:fldCharType="end"/>
      </w:r>
    </w:p>
    <w:p>
      <w:pPr>
        <w:pStyle w:val="34"/>
        <w:tabs>
          <w:tab w:val="right" w:leader="dot" w:pos="8730"/>
        </w:tabs>
        <w:spacing w:line="560" w:lineRule="exact"/>
        <w:rPr>
          <w:rFonts w:hint="eastAsia" w:ascii="楷体" w:hAnsi="楷体" w:eastAsia="楷体" w:cs="楷体"/>
          <w:sz w:val="28"/>
          <w:szCs w:val="28"/>
        </w:rPr>
      </w:pPr>
      <w:r>
        <w:rPr>
          <w:rFonts w:hint="eastAsia" w:ascii="楷体" w:hAnsi="楷体" w:eastAsia="楷体" w:cs="楷体"/>
          <w:sz w:val="28"/>
          <w:szCs w:val="28"/>
        </w:rPr>
        <w:t>（一）项目决策情况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_Toc15952 \h </w:instrText>
      </w:r>
      <w:r>
        <w:rPr>
          <w:rFonts w:hint="eastAsia" w:ascii="楷体" w:hAnsi="楷体" w:eastAsia="楷体" w:cs="楷体"/>
          <w:sz w:val="28"/>
          <w:szCs w:val="28"/>
        </w:rPr>
        <w:fldChar w:fldCharType="separate"/>
      </w:r>
      <w:r>
        <w:rPr>
          <w:rFonts w:hint="eastAsia" w:ascii="楷体" w:hAnsi="楷体" w:eastAsia="楷体" w:cs="楷体"/>
          <w:sz w:val="28"/>
          <w:szCs w:val="28"/>
        </w:rPr>
        <w:t>10</w:t>
      </w:r>
      <w:r>
        <w:rPr>
          <w:rFonts w:hint="eastAsia" w:ascii="楷体" w:hAnsi="楷体" w:eastAsia="楷体" w:cs="楷体"/>
          <w:sz w:val="28"/>
          <w:szCs w:val="28"/>
        </w:rPr>
        <w:fldChar w:fldCharType="end"/>
      </w:r>
    </w:p>
    <w:p>
      <w:pPr>
        <w:pStyle w:val="34"/>
        <w:tabs>
          <w:tab w:val="right" w:leader="dot" w:pos="8730"/>
        </w:tabs>
        <w:spacing w:line="560" w:lineRule="exact"/>
        <w:rPr>
          <w:rFonts w:hint="eastAsia" w:ascii="楷体" w:hAnsi="楷体" w:eastAsia="楷体" w:cs="楷体"/>
          <w:sz w:val="28"/>
          <w:szCs w:val="28"/>
        </w:rPr>
      </w:pPr>
      <w:r>
        <w:rPr>
          <w:rFonts w:hint="eastAsia" w:ascii="楷体" w:hAnsi="楷体" w:eastAsia="楷体" w:cs="楷体"/>
          <w:sz w:val="28"/>
          <w:szCs w:val="28"/>
        </w:rPr>
        <w:t>（二）项目过程情况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_Toc17299 \h </w:instrText>
      </w:r>
      <w:r>
        <w:rPr>
          <w:rFonts w:hint="eastAsia" w:ascii="楷体" w:hAnsi="楷体" w:eastAsia="楷体" w:cs="楷体"/>
          <w:sz w:val="28"/>
          <w:szCs w:val="28"/>
        </w:rPr>
        <w:fldChar w:fldCharType="separate"/>
      </w:r>
      <w:r>
        <w:rPr>
          <w:rFonts w:hint="eastAsia" w:ascii="楷体" w:hAnsi="楷体" w:eastAsia="楷体" w:cs="楷体"/>
          <w:sz w:val="28"/>
          <w:szCs w:val="28"/>
        </w:rPr>
        <w:t>13</w:t>
      </w:r>
      <w:r>
        <w:rPr>
          <w:rFonts w:hint="eastAsia" w:ascii="楷体" w:hAnsi="楷体" w:eastAsia="楷体" w:cs="楷体"/>
          <w:sz w:val="28"/>
          <w:szCs w:val="28"/>
        </w:rPr>
        <w:fldChar w:fldCharType="end"/>
      </w:r>
    </w:p>
    <w:p>
      <w:pPr>
        <w:pStyle w:val="34"/>
        <w:tabs>
          <w:tab w:val="right" w:leader="dot" w:pos="8730"/>
        </w:tabs>
        <w:spacing w:line="560" w:lineRule="exact"/>
        <w:ind w:left="0" w:firstLine="280" w:firstLineChars="100"/>
        <w:rPr>
          <w:rFonts w:hint="eastAsia" w:ascii="楷体" w:hAnsi="楷体" w:eastAsia="楷体" w:cs="楷体"/>
          <w:sz w:val="28"/>
          <w:szCs w:val="28"/>
        </w:rPr>
      </w:pPr>
      <w:r>
        <w:rPr>
          <w:rFonts w:hint="eastAsia" w:ascii="楷体" w:hAnsi="楷体" w:eastAsia="楷体" w:cs="楷体"/>
          <w:sz w:val="28"/>
          <w:szCs w:val="28"/>
        </w:rPr>
        <w:t>（三）项目产出情况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_Toc18904 \h </w:instrText>
      </w:r>
      <w:r>
        <w:rPr>
          <w:rFonts w:hint="eastAsia" w:ascii="楷体" w:hAnsi="楷体" w:eastAsia="楷体" w:cs="楷体"/>
          <w:sz w:val="28"/>
          <w:szCs w:val="28"/>
        </w:rPr>
        <w:fldChar w:fldCharType="separate"/>
      </w:r>
      <w:r>
        <w:rPr>
          <w:rFonts w:hint="eastAsia" w:ascii="楷体" w:hAnsi="楷体" w:eastAsia="楷体" w:cs="楷体"/>
          <w:sz w:val="28"/>
          <w:szCs w:val="28"/>
        </w:rPr>
        <w:t>16</w:t>
      </w:r>
      <w:r>
        <w:rPr>
          <w:rFonts w:hint="eastAsia" w:ascii="楷体" w:hAnsi="楷体" w:eastAsia="楷体" w:cs="楷体"/>
          <w:sz w:val="28"/>
          <w:szCs w:val="28"/>
        </w:rPr>
        <w:fldChar w:fldCharType="end"/>
      </w:r>
    </w:p>
    <w:p>
      <w:pPr>
        <w:pStyle w:val="34"/>
        <w:tabs>
          <w:tab w:val="right" w:leader="dot" w:pos="8730"/>
        </w:tabs>
        <w:spacing w:line="560" w:lineRule="exact"/>
        <w:rPr>
          <w:sz w:val="28"/>
          <w:szCs w:val="28"/>
        </w:rPr>
      </w:pPr>
      <w:r>
        <w:rPr>
          <w:rFonts w:hint="eastAsia" w:ascii="楷体" w:hAnsi="楷体" w:eastAsia="楷体" w:cs="楷体"/>
          <w:sz w:val="28"/>
          <w:szCs w:val="28"/>
        </w:rPr>
        <w:t>（四）项目效益情况</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_Toc28604 \h </w:instrText>
      </w:r>
      <w:r>
        <w:rPr>
          <w:rFonts w:hint="eastAsia" w:ascii="楷体" w:hAnsi="楷体" w:eastAsia="楷体" w:cs="楷体"/>
          <w:sz w:val="28"/>
          <w:szCs w:val="28"/>
        </w:rPr>
        <w:fldChar w:fldCharType="separate"/>
      </w:r>
      <w:r>
        <w:rPr>
          <w:rFonts w:hint="eastAsia" w:ascii="楷体" w:hAnsi="楷体" w:eastAsia="楷体" w:cs="楷体"/>
          <w:sz w:val="28"/>
          <w:szCs w:val="28"/>
        </w:rPr>
        <w:t>20</w:t>
      </w:r>
      <w:r>
        <w:rPr>
          <w:rFonts w:hint="eastAsia" w:ascii="楷体" w:hAnsi="楷体" w:eastAsia="楷体" w:cs="楷体"/>
          <w:sz w:val="28"/>
          <w:szCs w:val="28"/>
        </w:rPr>
        <w:fldChar w:fldCharType="end"/>
      </w:r>
    </w:p>
    <w:p>
      <w:pPr>
        <w:pStyle w:val="28"/>
        <w:tabs>
          <w:tab w:val="right" w:leader="dot" w:pos="8730"/>
        </w:tabs>
        <w:spacing w:line="56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五、存在问题及原因分析</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_Toc21065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22</w:t>
      </w:r>
      <w:r>
        <w:rPr>
          <w:rFonts w:hint="eastAsia" w:ascii="黑体" w:hAnsi="黑体" w:eastAsia="黑体" w:cs="黑体"/>
          <w:b w:val="0"/>
          <w:bCs w:val="0"/>
          <w:sz w:val="28"/>
          <w:szCs w:val="28"/>
        </w:rPr>
        <w:fldChar w:fldCharType="end"/>
      </w:r>
    </w:p>
    <w:p>
      <w:pPr>
        <w:pStyle w:val="34"/>
        <w:tabs>
          <w:tab w:val="right" w:leader="dot" w:pos="8730"/>
        </w:tabs>
        <w:spacing w:line="560" w:lineRule="exact"/>
        <w:rPr>
          <w:rFonts w:hint="eastAsia" w:ascii="楷体" w:hAnsi="楷体" w:eastAsia="楷体" w:cs="楷体"/>
          <w:sz w:val="28"/>
          <w:szCs w:val="28"/>
        </w:rPr>
      </w:pPr>
      <w:r>
        <w:rPr>
          <w:rFonts w:hint="eastAsia" w:ascii="楷体" w:hAnsi="楷体" w:eastAsia="楷体" w:cs="楷体"/>
          <w:bCs/>
          <w:sz w:val="28"/>
          <w:szCs w:val="28"/>
        </w:rPr>
        <w:t>（一）预算编制、绩效目标及绩效指标设置有待进一步完善</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_Toc29466 \h </w:instrText>
      </w:r>
      <w:r>
        <w:rPr>
          <w:rFonts w:hint="eastAsia" w:ascii="楷体" w:hAnsi="楷体" w:eastAsia="楷体" w:cs="楷体"/>
          <w:sz w:val="28"/>
          <w:szCs w:val="28"/>
        </w:rPr>
        <w:fldChar w:fldCharType="separate"/>
      </w:r>
      <w:r>
        <w:rPr>
          <w:rFonts w:hint="eastAsia" w:ascii="楷体" w:hAnsi="楷体" w:eastAsia="楷体" w:cs="楷体"/>
          <w:sz w:val="28"/>
          <w:szCs w:val="28"/>
        </w:rPr>
        <w:t>22</w:t>
      </w:r>
      <w:r>
        <w:rPr>
          <w:rFonts w:hint="eastAsia" w:ascii="楷体" w:hAnsi="楷体" w:eastAsia="楷体" w:cs="楷体"/>
          <w:sz w:val="28"/>
          <w:szCs w:val="28"/>
        </w:rPr>
        <w:fldChar w:fldCharType="end"/>
      </w:r>
    </w:p>
    <w:p>
      <w:pPr>
        <w:pStyle w:val="34"/>
        <w:tabs>
          <w:tab w:val="right" w:leader="dot" w:pos="8730"/>
        </w:tabs>
        <w:spacing w:line="560" w:lineRule="exact"/>
        <w:rPr>
          <w:rFonts w:hint="eastAsia" w:ascii="楷体" w:hAnsi="楷体" w:eastAsia="楷体" w:cs="楷体"/>
          <w:sz w:val="28"/>
          <w:szCs w:val="28"/>
        </w:rPr>
      </w:pPr>
      <w:r>
        <w:rPr>
          <w:rFonts w:hint="eastAsia" w:ascii="楷体" w:hAnsi="楷体" w:eastAsia="楷体" w:cs="楷体"/>
          <w:bCs/>
          <w:sz w:val="28"/>
          <w:szCs w:val="28"/>
        </w:rPr>
        <w:t>（二）如康家园宣传机制、后期管理制度不够健全</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_Toc25098 \h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p>
    <w:p>
      <w:pPr>
        <w:pStyle w:val="28"/>
        <w:tabs>
          <w:tab w:val="right" w:leader="dot" w:pos="8730"/>
        </w:tabs>
        <w:spacing w:line="560" w:lineRule="exact"/>
        <w:rPr>
          <w:sz w:val="28"/>
          <w:szCs w:val="28"/>
        </w:rPr>
      </w:pPr>
      <w:r>
        <w:rPr>
          <w:rFonts w:hint="eastAsia" w:ascii="黑体" w:hAnsi="黑体" w:eastAsia="黑体" w:cs="黑体"/>
          <w:b w:val="0"/>
          <w:bCs w:val="0"/>
          <w:sz w:val="28"/>
          <w:szCs w:val="28"/>
        </w:rPr>
        <w:t>六、意见建议</w:t>
      </w:r>
      <w:r>
        <w:rPr>
          <w:rFonts w:hint="eastAsia" w:ascii="黑体" w:hAnsi="黑体" w:eastAsia="黑体" w:cs="黑体"/>
          <w:b w:val="0"/>
          <w:bCs w:val="0"/>
          <w:sz w:val="28"/>
          <w:szCs w:val="28"/>
        </w:rPr>
        <w:tab/>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PAGEREF _Toc25220 \h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23</w:t>
      </w:r>
      <w:r>
        <w:rPr>
          <w:rFonts w:hint="eastAsia" w:ascii="黑体" w:hAnsi="黑体" w:eastAsia="黑体" w:cs="黑体"/>
          <w:b w:val="0"/>
          <w:bCs w:val="0"/>
          <w:sz w:val="28"/>
          <w:szCs w:val="28"/>
        </w:rPr>
        <w:fldChar w:fldCharType="end"/>
      </w:r>
    </w:p>
    <w:p>
      <w:pPr>
        <w:pStyle w:val="34"/>
        <w:tabs>
          <w:tab w:val="right" w:leader="dot" w:pos="8730"/>
        </w:tabs>
        <w:spacing w:line="560" w:lineRule="exact"/>
        <w:rPr>
          <w:rFonts w:hint="eastAsia" w:ascii="楷体" w:hAnsi="楷体" w:eastAsia="楷体" w:cs="楷体"/>
          <w:sz w:val="28"/>
          <w:szCs w:val="28"/>
        </w:rPr>
      </w:pPr>
      <w:r>
        <w:rPr>
          <w:rFonts w:hint="eastAsia" w:ascii="楷体" w:hAnsi="楷体" w:eastAsia="楷体" w:cs="楷体"/>
          <w:bCs/>
          <w:sz w:val="28"/>
          <w:szCs w:val="28"/>
        </w:rPr>
        <w:t>（一）夯实财政收支预算编制基础，完善项目</w:t>
      </w:r>
      <w:r>
        <w:rPr>
          <w:rFonts w:hint="eastAsia" w:ascii="楷体" w:hAnsi="楷体" w:eastAsia="楷体" w:cs="楷体"/>
          <w:bCs/>
          <w:sz w:val="28"/>
          <w:szCs w:val="28"/>
          <w:lang w:val="en-US" w:eastAsia="zh-CN"/>
        </w:rPr>
        <w:t>总体</w:t>
      </w:r>
      <w:r>
        <w:rPr>
          <w:rFonts w:hint="eastAsia" w:ascii="楷体" w:hAnsi="楷体" w:eastAsia="楷体" w:cs="楷体"/>
          <w:bCs/>
          <w:sz w:val="28"/>
          <w:szCs w:val="28"/>
        </w:rPr>
        <w:t>绩效目标，明确项目绩效指标</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_Toc29926 \h </w:instrText>
      </w:r>
      <w:r>
        <w:rPr>
          <w:rFonts w:hint="eastAsia" w:ascii="楷体" w:hAnsi="楷体" w:eastAsia="楷体" w:cs="楷体"/>
          <w:sz w:val="28"/>
          <w:szCs w:val="28"/>
        </w:rPr>
        <w:fldChar w:fldCharType="separate"/>
      </w:r>
      <w:r>
        <w:rPr>
          <w:rFonts w:hint="eastAsia" w:ascii="楷体" w:hAnsi="楷体" w:eastAsia="楷体" w:cs="楷体"/>
          <w:sz w:val="28"/>
          <w:szCs w:val="28"/>
        </w:rPr>
        <w:t>23</w:t>
      </w:r>
      <w:r>
        <w:rPr>
          <w:rFonts w:hint="eastAsia" w:ascii="楷体" w:hAnsi="楷体" w:eastAsia="楷体" w:cs="楷体"/>
          <w:sz w:val="28"/>
          <w:szCs w:val="28"/>
        </w:rPr>
        <w:fldChar w:fldCharType="end"/>
      </w:r>
    </w:p>
    <w:p>
      <w:pPr>
        <w:pStyle w:val="34"/>
        <w:tabs>
          <w:tab w:val="right" w:leader="dot" w:pos="8730"/>
        </w:tabs>
        <w:spacing w:line="560" w:lineRule="exact"/>
      </w:pPr>
      <w:r>
        <w:rPr>
          <w:rFonts w:hint="eastAsia" w:ascii="楷体" w:hAnsi="楷体" w:eastAsia="楷体" w:cs="楷体"/>
          <w:bCs/>
          <w:sz w:val="28"/>
          <w:szCs w:val="28"/>
        </w:rPr>
        <w:t>（二）加强项目宣传力度，构建长效管理机制</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_Toc20291 \h </w:instrText>
      </w:r>
      <w:r>
        <w:rPr>
          <w:rFonts w:hint="eastAsia" w:ascii="楷体" w:hAnsi="楷体" w:eastAsia="楷体" w:cs="楷体"/>
          <w:sz w:val="28"/>
          <w:szCs w:val="28"/>
        </w:rPr>
        <w:fldChar w:fldCharType="separate"/>
      </w:r>
      <w:r>
        <w:rPr>
          <w:rFonts w:hint="eastAsia" w:ascii="楷体" w:hAnsi="楷体" w:eastAsia="楷体" w:cs="楷体"/>
          <w:sz w:val="28"/>
          <w:szCs w:val="28"/>
        </w:rPr>
        <w:t>24</w:t>
      </w:r>
      <w:r>
        <w:rPr>
          <w:rFonts w:hint="eastAsia" w:ascii="楷体" w:hAnsi="楷体" w:eastAsia="楷体" w:cs="楷体"/>
          <w:sz w:val="28"/>
          <w:szCs w:val="28"/>
        </w:rPr>
        <w:fldChar w:fldCharType="end"/>
      </w:r>
    </w:p>
    <w:p>
      <w:pPr>
        <w:spacing w:before="240" w:beforeLines="100" w:after="240" w:afterLines="100" w:line="560" w:lineRule="exact"/>
        <w:jc w:val="center"/>
        <w:rPr>
          <w:rFonts w:ascii="Times New Roman" w:hAnsi="Times New Roman" w:eastAsia="楷体_GB2312"/>
          <w:sz w:val="28"/>
          <w:szCs w:val="28"/>
        </w:rPr>
        <w:sectPr>
          <w:footerReference r:id="rId4" w:type="default"/>
          <w:pgSz w:w="11906" w:h="16838"/>
          <w:pgMar w:top="1701" w:right="1588" w:bottom="1701" w:left="1588" w:header="851" w:footer="992" w:gutter="0"/>
          <w:pgNumType w:fmt="upperRoman" w:start="1"/>
          <w:cols w:space="425" w:num="1"/>
          <w:docGrid w:linePitch="312" w:charSpace="0"/>
        </w:sectPr>
      </w:pPr>
      <w:r>
        <w:rPr>
          <w:rFonts w:ascii="Times New Roman" w:hAnsi="Times New Roman" w:eastAsia="楷体_GB2312"/>
          <w:bCs/>
          <w:caps/>
          <w:sz w:val="28"/>
          <w:szCs w:val="28"/>
        </w:rPr>
        <w:fldChar w:fldCharType="end"/>
      </w:r>
    </w:p>
    <w:p>
      <w:pPr>
        <w:spacing w:line="560" w:lineRule="exact"/>
        <w:jc w:val="center"/>
        <w:outlineLvl w:val="0"/>
        <w:rPr>
          <w:rFonts w:ascii="Times New Roman" w:hAnsi="Times New Roman" w:eastAsia="方正小标宋简体"/>
          <w:b w:val="0"/>
          <w:bCs w:val="0"/>
          <w:kern w:val="44"/>
          <w:sz w:val="36"/>
          <w:szCs w:val="36"/>
        </w:rPr>
      </w:pPr>
      <w:bookmarkStart w:id="0" w:name="_Toc23463"/>
      <w:bookmarkStart w:id="1" w:name="_Toc8577"/>
      <w:bookmarkStart w:id="2" w:name="_Toc25900"/>
      <w:bookmarkStart w:id="3" w:name="_Toc23492"/>
      <w:bookmarkStart w:id="4" w:name="_Toc6775"/>
      <w:bookmarkStart w:id="5" w:name="_Toc203"/>
      <w:bookmarkStart w:id="6" w:name="_Toc828"/>
      <w:bookmarkStart w:id="7" w:name="_Toc27229"/>
      <w:bookmarkStart w:id="8" w:name="_Toc71574201"/>
      <w:r>
        <w:rPr>
          <w:rFonts w:hint="eastAsia" w:ascii="Times New Roman" w:hAnsi="Times New Roman" w:eastAsia="方正小标宋简体"/>
          <w:b w:val="0"/>
          <w:bCs w:val="0"/>
          <w:kern w:val="44"/>
          <w:sz w:val="36"/>
          <w:szCs w:val="36"/>
        </w:rPr>
        <w:t>摘  要</w:t>
      </w:r>
      <w:bookmarkEnd w:id="0"/>
      <w:bookmarkEnd w:id="1"/>
      <w:bookmarkEnd w:id="2"/>
      <w:bookmarkEnd w:id="3"/>
      <w:bookmarkEnd w:id="4"/>
      <w:bookmarkEnd w:id="5"/>
      <w:bookmarkEnd w:id="6"/>
      <w:bookmarkEnd w:id="7"/>
      <w:bookmarkStart w:id="9" w:name="_Toc13926"/>
      <w:bookmarkEnd w:id="9"/>
      <w:bookmarkStart w:id="10" w:name="_Toc397505036"/>
      <w:bookmarkEnd w:id="10"/>
    </w:p>
    <w:p>
      <w:pPr>
        <w:spacing w:line="560" w:lineRule="exact"/>
        <w:jc w:val="center"/>
        <w:rPr>
          <w:rFonts w:ascii="Times New Roman" w:hAnsi="Times New Roman" w:eastAsia="方正小标宋简体"/>
          <w:kern w:val="44"/>
          <w:sz w:val="32"/>
          <w:szCs w:val="32"/>
        </w:rPr>
      </w:pPr>
    </w:p>
    <w:p>
      <w:pPr>
        <w:pStyle w:val="59"/>
        <w:numPr>
          <w:ilvl w:val="255"/>
          <w:numId w:val="0"/>
        </w:numPr>
        <w:spacing w:line="560" w:lineRule="exact"/>
        <w:ind w:firstLine="640" w:firstLineChars="200"/>
        <w:outlineLvl w:val="0"/>
        <w:rPr>
          <w:rFonts w:ascii="Times New Roman" w:hAnsi="Times New Roman" w:eastAsia="黑体"/>
          <w:sz w:val="32"/>
          <w:szCs w:val="32"/>
        </w:rPr>
      </w:pPr>
      <w:bookmarkStart w:id="11" w:name="_Toc12827"/>
      <w:bookmarkStart w:id="12" w:name="_Toc23868"/>
      <w:bookmarkStart w:id="13" w:name="_Toc11969"/>
      <w:bookmarkStart w:id="14" w:name="_Toc23612"/>
      <w:bookmarkStart w:id="15" w:name="_Toc29698"/>
      <w:bookmarkStart w:id="16" w:name="_Toc20350"/>
      <w:bookmarkStart w:id="17" w:name="_Toc9297"/>
      <w:bookmarkStart w:id="18" w:name="_Toc3425"/>
      <w:bookmarkStart w:id="19" w:name="_Toc6976"/>
      <w:bookmarkStart w:id="20" w:name="_Toc23933"/>
      <w:bookmarkStart w:id="21" w:name="_Toc11474"/>
      <w:r>
        <w:rPr>
          <w:rFonts w:hint="eastAsia" w:ascii="Times New Roman" w:hAnsi="Times New Roman" w:eastAsia="黑体"/>
          <w:sz w:val="32"/>
          <w:szCs w:val="32"/>
        </w:rPr>
        <w:t>一、</w:t>
      </w:r>
      <w:r>
        <w:rPr>
          <w:rFonts w:ascii="Times New Roman" w:hAnsi="Times New Roman" w:eastAsia="黑体"/>
          <w:sz w:val="32"/>
          <w:szCs w:val="32"/>
        </w:rPr>
        <w:t>项目基本情况</w:t>
      </w:r>
      <w:bookmarkEnd w:id="11"/>
      <w:bookmarkEnd w:id="12"/>
      <w:bookmarkEnd w:id="13"/>
      <w:bookmarkEnd w:id="14"/>
      <w:bookmarkEnd w:id="15"/>
      <w:bookmarkEnd w:id="16"/>
      <w:bookmarkEnd w:id="17"/>
      <w:bookmarkEnd w:id="18"/>
      <w:bookmarkEnd w:id="19"/>
      <w:bookmarkEnd w:id="20"/>
      <w:bookmarkEnd w:id="21"/>
    </w:p>
    <w:p>
      <w:pPr>
        <w:pStyle w:val="59"/>
        <w:spacing w:line="560" w:lineRule="exact"/>
        <w:ind w:firstLine="640" w:firstLineChars="200"/>
        <w:outlineLvl w:val="0"/>
        <w:rPr>
          <w:rFonts w:ascii="Times New Roman" w:hAnsi="Times New Roman" w:eastAsia="仿宋"/>
          <w:sz w:val="32"/>
          <w:szCs w:val="32"/>
        </w:rPr>
      </w:pPr>
      <w:bookmarkStart w:id="22" w:name="_Toc9432"/>
      <w:bookmarkStart w:id="23" w:name="_Toc11569"/>
      <w:bookmarkStart w:id="24" w:name="_Toc26638"/>
      <w:bookmarkStart w:id="25" w:name="_Toc2699"/>
      <w:bookmarkStart w:id="26" w:name="_Toc30854"/>
      <w:bookmarkStart w:id="27" w:name="_Toc15853"/>
      <w:bookmarkStart w:id="28" w:name="_Toc32202"/>
      <w:bookmarkStart w:id="29" w:name="_Toc4935"/>
      <w:bookmarkStart w:id="30" w:name="_Toc29895"/>
      <w:bookmarkStart w:id="31" w:name="_Toc16055"/>
      <w:bookmarkStart w:id="32" w:name="_Toc5784"/>
      <w:bookmarkStart w:id="33" w:name="_Toc4325"/>
      <w:r>
        <w:rPr>
          <w:rFonts w:ascii="Times New Roman" w:hAnsi="Times New Roman" w:eastAsia="楷体"/>
          <w:sz w:val="32"/>
          <w:szCs w:val="32"/>
        </w:rPr>
        <w:t>（一）立项背景及实施目的</w:t>
      </w:r>
      <w:bookmarkEnd w:id="22"/>
      <w:bookmarkEnd w:id="23"/>
      <w:bookmarkEnd w:id="24"/>
      <w:bookmarkEnd w:id="25"/>
      <w:bookmarkEnd w:id="26"/>
      <w:bookmarkEnd w:id="27"/>
      <w:bookmarkEnd w:id="28"/>
      <w:bookmarkEnd w:id="29"/>
      <w:bookmarkEnd w:id="30"/>
      <w:bookmarkEnd w:id="31"/>
      <w:bookmarkEnd w:id="32"/>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为学习贯彻习近平新时代中国特色社会主义思想，党中央、国务院关于社会事务工作的方针政策和决策部署，落实省委、省政府、市委、市政府工作要求，负责贯彻社会救助政策、标准，统筹社会救助体系建设、负责城乡居民最低生活保障、特困人员救助供养、临时救助、生活无着落流浪乞讨人员救助及农村留守儿童、留守老人的关爱工作，根据《枣庄市人民政府关于印发</w:t>
      </w:r>
      <w:r>
        <w:rPr>
          <w:rFonts w:hint="eastAsia" w:ascii="Times New Roman" w:hAnsi="Times New Roman" w:eastAsia="仿宋"/>
          <w:sz w:val="32"/>
          <w:szCs w:val="32"/>
          <w:lang w:val="en-US" w:eastAsia="zh-CN"/>
        </w:rPr>
        <w:t>&lt;</w:t>
      </w:r>
      <w:r>
        <w:rPr>
          <w:rFonts w:ascii="Times New Roman" w:hAnsi="Times New Roman" w:eastAsia="仿宋"/>
          <w:sz w:val="32"/>
          <w:szCs w:val="32"/>
        </w:rPr>
        <w:t>枣庄市国民经济和社会发展第十四个五年规划和2035年远景目标纲要</w:t>
      </w:r>
      <w:r>
        <w:rPr>
          <w:rFonts w:hint="eastAsia" w:ascii="Times New Roman" w:hAnsi="Times New Roman" w:eastAsia="仿宋"/>
          <w:sz w:val="32"/>
          <w:szCs w:val="32"/>
          <w:lang w:val="en-US" w:eastAsia="zh-CN"/>
        </w:rPr>
        <w:t>&gt;</w:t>
      </w:r>
      <w:r>
        <w:rPr>
          <w:rFonts w:ascii="Times New Roman" w:hAnsi="Times New Roman" w:eastAsia="仿宋"/>
          <w:sz w:val="32"/>
          <w:szCs w:val="32"/>
        </w:rPr>
        <w:t>的通知》和《山东省民政厅 山东省发展和改革委员会关于印发&lt;山东省民政事业“十四五”发展规划&gt;的通知》《山东省人民政府关于建立残疾儿童康复救助制度的通知》（鲁政发〔2018〕20号）</w:t>
      </w:r>
      <w:r>
        <w:rPr>
          <w:rFonts w:hint="eastAsia" w:ascii="Times New Roman" w:hAnsi="Times New Roman" w:eastAsia="仿宋"/>
          <w:sz w:val="32"/>
          <w:szCs w:val="32"/>
          <w:lang w:eastAsia="zh-CN"/>
        </w:rPr>
        <w:t>、</w:t>
      </w:r>
      <w:r>
        <w:rPr>
          <w:rFonts w:ascii="Times New Roman" w:hAnsi="Times New Roman" w:eastAsia="仿宋"/>
          <w:sz w:val="32"/>
          <w:szCs w:val="32"/>
        </w:rPr>
        <w:t>《枣庄市人民政府办公室关于印发</w:t>
      </w:r>
      <w:r>
        <w:rPr>
          <w:rFonts w:hint="eastAsia" w:ascii="Times New Roman" w:hAnsi="Times New Roman" w:eastAsia="仿宋"/>
          <w:sz w:val="32"/>
          <w:szCs w:val="32"/>
          <w:lang w:val="en-US" w:eastAsia="zh-CN"/>
        </w:rPr>
        <w:t>&lt;</w:t>
      </w:r>
      <w:r>
        <w:rPr>
          <w:rFonts w:ascii="Times New Roman" w:hAnsi="Times New Roman" w:eastAsia="仿宋"/>
          <w:sz w:val="32"/>
          <w:szCs w:val="32"/>
        </w:rPr>
        <w:t>枣庄市创建白内障无障碍市实施方案</w:t>
      </w:r>
      <w:r>
        <w:rPr>
          <w:rFonts w:hint="eastAsia" w:ascii="Times New Roman" w:hAnsi="Times New Roman" w:eastAsia="仿宋"/>
          <w:sz w:val="32"/>
          <w:szCs w:val="32"/>
          <w:lang w:val="en-US" w:eastAsia="zh-CN"/>
        </w:rPr>
        <w:t>&gt;</w:t>
      </w:r>
      <w:r>
        <w:rPr>
          <w:rFonts w:ascii="Times New Roman" w:hAnsi="Times New Roman" w:eastAsia="仿宋"/>
          <w:sz w:val="32"/>
          <w:szCs w:val="32"/>
        </w:rPr>
        <w:t>的通知》（枣政办字〔2007〕21号）等相关文件要求进一步完善和建立枣庄市残疾人康复救助制度，保障残疾人基本康复服务需求。</w:t>
      </w:r>
    </w:p>
    <w:p>
      <w:pPr>
        <w:pStyle w:val="59"/>
        <w:widowControl w:val="0"/>
        <w:spacing w:line="560" w:lineRule="exact"/>
        <w:ind w:firstLine="640" w:firstLineChars="200"/>
        <w:rPr>
          <w:rFonts w:ascii="Times New Roman" w:hAnsi="Times New Roman" w:eastAsia="仿宋"/>
          <w:sz w:val="32"/>
          <w:szCs w:val="32"/>
        </w:rPr>
      </w:pPr>
      <w:bookmarkStart w:id="34" w:name="_Toc31498"/>
      <w:bookmarkStart w:id="35" w:name="_Toc17523"/>
      <w:r>
        <w:rPr>
          <w:rFonts w:ascii="Times New Roman" w:hAnsi="Times New Roman" w:eastAsia="楷体"/>
          <w:sz w:val="32"/>
          <w:szCs w:val="32"/>
        </w:rPr>
        <w:t>（</w:t>
      </w:r>
      <w:r>
        <w:rPr>
          <w:rFonts w:hint="eastAsia" w:ascii="Times New Roman" w:hAnsi="Times New Roman" w:eastAsia="楷体"/>
          <w:sz w:val="32"/>
          <w:szCs w:val="32"/>
        </w:rPr>
        <w:t>二</w:t>
      </w:r>
      <w:r>
        <w:rPr>
          <w:rFonts w:ascii="Times New Roman" w:hAnsi="Times New Roman" w:eastAsia="楷体"/>
          <w:sz w:val="32"/>
          <w:szCs w:val="32"/>
        </w:rPr>
        <w:t>）项目资金投入和使用</w:t>
      </w:r>
      <w:bookmarkEnd w:id="34"/>
      <w:bookmarkEnd w:id="35"/>
    </w:p>
    <w:p>
      <w:pPr>
        <w:pStyle w:val="59"/>
        <w:widowControl w:val="0"/>
        <w:spacing w:line="56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lang w:eastAsia="zh-CN"/>
        </w:rPr>
        <w:t>2021年度枣庄高新区残疾人康复专项经费项目</w:t>
      </w:r>
      <w:r>
        <w:rPr>
          <w:rFonts w:ascii="Times New Roman" w:hAnsi="Times New Roman" w:eastAsia="仿宋"/>
          <w:sz w:val="32"/>
          <w:szCs w:val="32"/>
        </w:rPr>
        <w:t>（以下简称为“项目”）预算资金100.00万元，市级财政共投入资金100.00万元，已全部到账</w:t>
      </w:r>
      <w:r>
        <w:rPr>
          <w:rFonts w:hint="eastAsia" w:ascii="Times New Roman" w:hAnsi="Times New Roman" w:eastAsia="仿宋"/>
          <w:sz w:val="32"/>
          <w:szCs w:val="32"/>
        </w:rPr>
        <w:t>，</w:t>
      </w:r>
      <w:r>
        <w:rPr>
          <w:rFonts w:ascii="Times New Roman" w:hAnsi="Times New Roman" w:eastAsia="仿宋"/>
          <w:sz w:val="32"/>
          <w:szCs w:val="32"/>
        </w:rPr>
        <w:t>用于残疾人康复专项经费，截</w:t>
      </w:r>
      <w:r>
        <w:rPr>
          <w:rFonts w:hint="eastAsia" w:ascii="Times New Roman" w:hAnsi="Times New Roman" w:eastAsia="仿宋"/>
          <w:sz w:val="32"/>
          <w:szCs w:val="32"/>
          <w:lang w:val="en-US" w:eastAsia="zh-CN"/>
        </w:rPr>
        <w:t>至</w:t>
      </w:r>
      <w:r>
        <w:rPr>
          <w:rFonts w:ascii="Times New Roman" w:hAnsi="Times New Roman" w:eastAsia="仿宋"/>
          <w:sz w:val="32"/>
          <w:szCs w:val="32"/>
        </w:rPr>
        <w:t>2021年12月31日项目资金预算执行率为100.00%。</w:t>
      </w:r>
      <w:bookmarkEnd w:id="33"/>
    </w:p>
    <w:p>
      <w:pPr>
        <w:pStyle w:val="59"/>
        <w:spacing w:line="560" w:lineRule="exact"/>
        <w:ind w:firstLine="640" w:firstLineChars="200"/>
        <w:jc w:val="left"/>
        <w:rPr>
          <w:rFonts w:ascii="Times New Roman" w:hAnsi="Times New Roman" w:eastAsia="楷体"/>
          <w:sz w:val="32"/>
          <w:szCs w:val="32"/>
        </w:rPr>
      </w:pPr>
      <w:bookmarkStart w:id="36" w:name="_Toc5557"/>
      <w:bookmarkStart w:id="37" w:name="_Toc10179"/>
      <w:bookmarkStart w:id="38" w:name="_Toc20308"/>
      <w:r>
        <w:rPr>
          <w:rFonts w:ascii="Times New Roman" w:hAnsi="Times New Roman" w:eastAsia="楷体"/>
          <w:sz w:val="32"/>
          <w:szCs w:val="32"/>
        </w:rPr>
        <w:t>（</w:t>
      </w:r>
      <w:r>
        <w:rPr>
          <w:rFonts w:hint="eastAsia" w:ascii="Times New Roman" w:hAnsi="Times New Roman" w:eastAsia="楷体"/>
          <w:sz w:val="32"/>
          <w:szCs w:val="32"/>
        </w:rPr>
        <w:t>三</w:t>
      </w:r>
      <w:r>
        <w:rPr>
          <w:rFonts w:ascii="Times New Roman" w:hAnsi="Times New Roman" w:eastAsia="楷体"/>
          <w:sz w:val="32"/>
          <w:szCs w:val="32"/>
        </w:rPr>
        <w:t>）项目计划实施内容</w:t>
      </w:r>
      <w:bookmarkEnd w:id="36"/>
      <w:bookmarkEnd w:id="37"/>
      <w:bookmarkEnd w:id="38"/>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项目</w:t>
      </w:r>
      <w:r>
        <w:rPr>
          <w:rFonts w:hint="eastAsia" w:ascii="Times New Roman" w:hAnsi="Times New Roman" w:eastAsia="仿宋"/>
          <w:sz w:val="32"/>
          <w:szCs w:val="32"/>
        </w:rPr>
        <w:t>实施</w:t>
      </w:r>
      <w:r>
        <w:rPr>
          <w:rFonts w:ascii="Times New Roman" w:hAnsi="Times New Roman" w:eastAsia="仿宋"/>
          <w:sz w:val="32"/>
          <w:szCs w:val="32"/>
        </w:rPr>
        <w:t>内容分为</w:t>
      </w:r>
      <w:r>
        <w:rPr>
          <w:rFonts w:hint="eastAsia" w:ascii="Times New Roman" w:hAnsi="Times New Roman" w:eastAsia="仿宋"/>
          <w:sz w:val="32"/>
          <w:szCs w:val="32"/>
          <w:lang w:val="en-US" w:eastAsia="zh-CN"/>
        </w:rPr>
        <w:t>九</w:t>
      </w:r>
      <w:r>
        <w:rPr>
          <w:rFonts w:ascii="Times New Roman" w:hAnsi="Times New Roman" w:eastAsia="仿宋"/>
          <w:sz w:val="32"/>
          <w:szCs w:val="32"/>
        </w:rPr>
        <w:t>个部分：一是为残疾儿童提供康复服务；二是为残疾人大学生发放励志奖学金；三是为重症精神病患者减免医疗支援费用；四是采购办理残疾证和鉴定入户费用支出；五是为白内障患者进行免费救助；六是辅助器具配置和无障碍改造；七是专职干事补贴；八是如康家园建设</w:t>
      </w:r>
      <w:r>
        <w:rPr>
          <w:rFonts w:hint="eastAsia" w:ascii="Times New Roman" w:hAnsi="Times New Roman" w:eastAsia="仿宋"/>
          <w:sz w:val="32"/>
          <w:szCs w:val="32"/>
          <w:lang w:eastAsia="zh-CN"/>
        </w:rPr>
        <w:t>；</w:t>
      </w:r>
      <w:r>
        <w:rPr>
          <w:rFonts w:ascii="Times New Roman" w:hAnsi="Times New Roman" w:eastAsia="仿宋"/>
          <w:sz w:val="32"/>
          <w:szCs w:val="32"/>
        </w:rPr>
        <w:t>九是动态更新经费。</w:t>
      </w:r>
    </w:p>
    <w:p>
      <w:pPr>
        <w:pStyle w:val="59"/>
        <w:spacing w:line="560" w:lineRule="exact"/>
        <w:ind w:firstLine="640" w:firstLineChars="200"/>
        <w:jc w:val="left"/>
        <w:outlineLvl w:val="0"/>
        <w:rPr>
          <w:rFonts w:ascii="Times New Roman" w:hAnsi="Times New Roman" w:eastAsia="黑体"/>
          <w:sz w:val="32"/>
          <w:szCs w:val="32"/>
        </w:rPr>
      </w:pPr>
      <w:bookmarkStart w:id="39" w:name="_Toc14801"/>
      <w:bookmarkStart w:id="40" w:name="_Toc6403"/>
      <w:bookmarkStart w:id="41" w:name="_Toc6515"/>
      <w:bookmarkStart w:id="42" w:name="_Toc17039"/>
      <w:bookmarkStart w:id="43" w:name="_Toc842"/>
      <w:bookmarkStart w:id="44" w:name="_Toc3681"/>
      <w:bookmarkStart w:id="45" w:name="_Toc18777"/>
      <w:bookmarkStart w:id="46" w:name="_Toc22386"/>
      <w:bookmarkStart w:id="47" w:name="_Toc27338"/>
      <w:bookmarkStart w:id="48" w:name="_Toc21236"/>
      <w:bookmarkStart w:id="49" w:name="_Toc16194"/>
      <w:r>
        <w:rPr>
          <w:rFonts w:ascii="Times New Roman" w:hAnsi="Times New Roman" w:eastAsia="黑体"/>
          <w:sz w:val="32"/>
          <w:szCs w:val="32"/>
        </w:rPr>
        <w:t>二、项目绩效目标</w:t>
      </w:r>
      <w:bookmarkEnd w:id="39"/>
      <w:bookmarkEnd w:id="40"/>
      <w:bookmarkEnd w:id="41"/>
      <w:bookmarkEnd w:id="42"/>
      <w:bookmarkEnd w:id="43"/>
      <w:bookmarkEnd w:id="44"/>
      <w:bookmarkEnd w:id="45"/>
      <w:bookmarkEnd w:id="46"/>
      <w:bookmarkEnd w:id="47"/>
      <w:bookmarkEnd w:id="48"/>
      <w:bookmarkEnd w:id="49"/>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kern w:val="0"/>
          <w:sz w:val="32"/>
          <w:szCs w:val="32"/>
        </w:rPr>
        <w:t>项目总体绩效目标为：为40名残疾儿童提供康复服务；落实残疾人大学生励志助学政策为23名残疾人大学生发放励志助学金；落实重精患者兜底工作为辖区内523名重精患者减免医疗支援；残疾业务相关支出:采购办理残疾证和鉴定入户；白内障手术工作，为辖区内需求做白内渣手术的患者免费救治，为40名白内障患者实行免费救治；辅助器器具和无障改造，为辖区内需求辅助器具和无障碍改造的持证残疾人提供辅具适配。</w:t>
      </w:r>
    </w:p>
    <w:p>
      <w:pPr>
        <w:pStyle w:val="59"/>
        <w:spacing w:line="560" w:lineRule="exact"/>
        <w:ind w:firstLine="640" w:firstLineChars="200"/>
        <w:outlineLvl w:val="0"/>
        <w:rPr>
          <w:rFonts w:ascii="Times New Roman" w:hAnsi="Times New Roman" w:eastAsia="仿宋_GB2312"/>
          <w:sz w:val="32"/>
          <w:szCs w:val="32"/>
        </w:rPr>
      </w:pPr>
      <w:bookmarkStart w:id="50" w:name="_Toc23867"/>
      <w:bookmarkStart w:id="51" w:name="_Toc29655"/>
      <w:bookmarkStart w:id="52" w:name="_Toc8879"/>
      <w:bookmarkStart w:id="53" w:name="_Toc18182"/>
      <w:bookmarkStart w:id="54" w:name="_Toc29696"/>
      <w:bookmarkStart w:id="55" w:name="_Toc27687"/>
      <w:bookmarkStart w:id="56" w:name="_Toc5695"/>
      <w:bookmarkStart w:id="57" w:name="_Toc3903"/>
      <w:bookmarkStart w:id="58" w:name="_Toc16500"/>
      <w:bookmarkStart w:id="59" w:name="_Toc23157"/>
      <w:bookmarkStart w:id="60" w:name="_Toc5908"/>
      <w:r>
        <w:rPr>
          <w:rFonts w:hint="eastAsia" w:ascii="Times New Roman" w:hAnsi="Times New Roman" w:eastAsia="黑体"/>
          <w:sz w:val="32"/>
          <w:szCs w:val="32"/>
        </w:rPr>
        <w:t>三</w:t>
      </w:r>
      <w:r>
        <w:rPr>
          <w:rFonts w:ascii="Times New Roman" w:hAnsi="Times New Roman" w:eastAsia="黑体"/>
          <w:sz w:val="32"/>
          <w:szCs w:val="32"/>
        </w:rPr>
        <w:t>、绩效评价工作开展情况</w:t>
      </w:r>
      <w:bookmarkEnd w:id="50"/>
      <w:bookmarkEnd w:id="51"/>
      <w:bookmarkEnd w:id="52"/>
      <w:bookmarkEnd w:id="53"/>
      <w:bookmarkEnd w:id="54"/>
      <w:bookmarkEnd w:id="55"/>
      <w:bookmarkEnd w:id="56"/>
      <w:bookmarkEnd w:id="57"/>
      <w:bookmarkEnd w:id="58"/>
      <w:bookmarkEnd w:id="59"/>
      <w:bookmarkEnd w:id="60"/>
    </w:p>
    <w:p>
      <w:pPr>
        <w:tabs>
          <w:tab w:val="left" w:pos="898"/>
        </w:tabs>
        <w:spacing w:line="560" w:lineRule="exact"/>
        <w:ind w:firstLine="640" w:firstLineChars="200"/>
        <w:rPr>
          <w:rFonts w:ascii="Times New Roman" w:hAnsi="Times New Roman" w:eastAsia="仿宋"/>
          <w:kern w:val="0"/>
          <w:sz w:val="32"/>
          <w:szCs w:val="32"/>
        </w:rPr>
      </w:pPr>
      <w:r>
        <w:rPr>
          <w:rFonts w:ascii="Times New Roman" w:hAnsi="Times New Roman" w:eastAsia="仿宋"/>
          <w:kern w:val="0"/>
          <w:sz w:val="32"/>
          <w:szCs w:val="32"/>
        </w:rPr>
        <w:t>按照科学规范、绩效相关、政策相符、依据充分、独立评价等原则，根据中共中央国务院《关于全面实施预算绩效管理的意见》（中发〔2018〕34号）</w:t>
      </w:r>
      <w:r>
        <w:rPr>
          <w:rFonts w:hint="eastAsia" w:ascii="Times New Roman" w:hAnsi="Times New Roman" w:eastAsia="仿宋"/>
          <w:kern w:val="0"/>
          <w:sz w:val="32"/>
          <w:szCs w:val="32"/>
          <w:lang w:eastAsia="zh-CN"/>
        </w:rPr>
        <w:t>、</w:t>
      </w:r>
      <w:r>
        <w:rPr>
          <w:rFonts w:ascii="Times New Roman" w:hAnsi="Times New Roman" w:eastAsia="仿宋"/>
          <w:kern w:val="0"/>
          <w:sz w:val="32"/>
          <w:szCs w:val="32"/>
        </w:rPr>
        <w:t>山东省财政厅《关于印发&lt;山东省省级项目支出绩效单位自评工作规程&gt;和&lt;山东省省级项目支出绩效财政评价和部门评价工作规程&gt;的通知》（鲁财绩〔2020〕4号）等相关文件的规定，根据项目单位提交的材料，评价机构于2022年5月1日至</w:t>
      </w:r>
      <w:r>
        <w:rPr>
          <w:rFonts w:hint="eastAsia" w:ascii="Times New Roman" w:hAnsi="Times New Roman" w:eastAsia="仿宋"/>
          <w:kern w:val="0"/>
          <w:sz w:val="32"/>
          <w:szCs w:val="32"/>
          <w:lang w:val="en-US" w:eastAsia="zh-CN"/>
        </w:rPr>
        <w:t>7</w:t>
      </w:r>
      <w:r>
        <w:rPr>
          <w:rFonts w:ascii="Times New Roman" w:hAnsi="Times New Roman" w:eastAsia="仿宋"/>
          <w:kern w:val="0"/>
          <w:sz w:val="32"/>
          <w:szCs w:val="32"/>
        </w:rPr>
        <w:t>月10日开展了本次评价工作。</w:t>
      </w:r>
    </w:p>
    <w:p>
      <w:pPr>
        <w:spacing w:line="560" w:lineRule="exact"/>
        <w:ind w:firstLine="640" w:firstLineChars="200"/>
        <w:rPr>
          <w:rFonts w:ascii="Times New Roman" w:hAnsi="Times New Roman" w:eastAsia="仿宋"/>
          <w:kern w:val="0"/>
          <w:sz w:val="32"/>
          <w:szCs w:val="32"/>
        </w:rPr>
      </w:pPr>
      <w:bookmarkStart w:id="61" w:name="_Toc29892"/>
      <w:bookmarkStart w:id="62" w:name="_Toc16314"/>
      <w:bookmarkStart w:id="63" w:name="_Toc1650"/>
      <w:bookmarkStart w:id="64" w:name="_Toc27395"/>
      <w:bookmarkStart w:id="65" w:name="_Toc7199"/>
      <w:r>
        <w:rPr>
          <w:rFonts w:ascii="Times New Roman" w:hAnsi="Times New Roman" w:eastAsia="仿宋"/>
          <w:kern w:val="0"/>
          <w:sz w:val="32"/>
          <w:szCs w:val="32"/>
        </w:rPr>
        <w:t>此次绩效评价</w:t>
      </w:r>
      <w:r>
        <w:rPr>
          <w:rFonts w:hint="eastAsia" w:ascii="Times New Roman" w:hAnsi="Times New Roman" w:eastAsia="仿宋"/>
          <w:kern w:val="0"/>
          <w:sz w:val="32"/>
          <w:szCs w:val="32"/>
          <w:lang w:val="en-US" w:eastAsia="zh-CN"/>
        </w:rPr>
        <w:t>对象</w:t>
      </w:r>
      <w:r>
        <w:rPr>
          <w:rFonts w:ascii="Times New Roman" w:hAnsi="Times New Roman" w:eastAsia="仿宋"/>
          <w:kern w:val="0"/>
          <w:sz w:val="32"/>
          <w:szCs w:val="32"/>
        </w:rPr>
        <w:t>为</w:t>
      </w:r>
      <w:r>
        <w:rPr>
          <w:rFonts w:hint="eastAsia" w:ascii="Times New Roman" w:hAnsi="Times New Roman" w:eastAsia="仿宋"/>
          <w:sz w:val="32"/>
          <w:szCs w:val="32"/>
          <w:lang w:eastAsia="zh-CN"/>
        </w:rPr>
        <w:t>2021年度枣庄高新区残疾人康复专项经费项目</w:t>
      </w:r>
      <w:r>
        <w:rPr>
          <w:rFonts w:ascii="Times New Roman" w:hAnsi="Times New Roman" w:eastAsia="仿宋"/>
          <w:kern w:val="0"/>
          <w:sz w:val="32"/>
          <w:szCs w:val="32"/>
        </w:rPr>
        <w:t>，评价金额为100.00万元（全部为区财政拨款）。</w:t>
      </w:r>
      <w:bookmarkEnd w:id="61"/>
      <w:bookmarkEnd w:id="62"/>
      <w:r>
        <w:rPr>
          <w:rFonts w:ascii="Times New Roman" w:hAnsi="Times New Roman" w:eastAsia="仿宋"/>
          <w:kern w:val="0"/>
          <w:sz w:val="32"/>
          <w:szCs w:val="32"/>
        </w:rPr>
        <w:t>通过采取现场评价的方式对该项目的资金管理、项目管理、项目效益等情况进行全面评价，提出改进该项目决策、过程、产出和效益的具体建议，进一步加强项目管理，提高财政资金的使用效益。</w:t>
      </w:r>
      <w:bookmarkEnd w:id="63"/>
      <w:bookmarkEnd w:id="64"/>
      <w:bookmarkEnd w:id="65"/>
    </w:p>
    <w:p>
      <w:pPr>
        <w:pStyle w:val="59"/>
        <w:spacing w:line="560" w:lineRule="exact"/>
        <w:ind w:firstLine="640" w:firstLineChars="200"/>
        <w:rPr>
          <w:rFonts w:ascii="Times New Roman" w:hAnsi="Times New Roman" w:eastAsia="仿宋"/>
          <w:sz w:val="32"/>
          <w:szCs w:val="32"/>
        </w:rPr>
      </w:pPr>
      <w:bookmarkStart w:id="66" w:name="_Toc20198"/>
      <w:bookmarkStart w:id="67" w:name="_Toc28787"/>
      <w:r>
        <w:rPr>
          <w:rFonts w:ascii="Times New Roman" w:hAnsi="Times New Roman" w:eastAsia="仿宋"/>
          <w:sz w:val="32"/>
          <w:szCs w:val="32"/>
        </w:rPr>
        <w:t>此次绩效评价从项目的决策、过程、产出和效果四个方面进行评价。指标体系由一级至四级指标及分值、指标解释、评价标准3个部分组成。绩效级次分为4个等级：</w:t>
      </w:r>
    </w:p>
    <w:p>
      <w:pPr>
        <w:pStyle w:val="59"/>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综合得分在90分（含90分）以上为“优”；</w:t>
      </w:r>
    </w:p>
    <w:p>
      <w:pPr>
        <w:pStyle w:val="59"/>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综合得分在80～90分（含80分）为“良”；</w:t>
      </w:r>
    </w:p>
    <w:p>
      <w:pPr>
        <w:pStyle w:val="59"/>
        <w:overflowPunct/>
        <w:autoSpaceDE/>
        <w:autoSpaceDN/>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综合得分在60～80分（含60分）为“中”；</w:t>
      </w:r>
    </w:p>
    <w:p>
      <w:pPr>
        <w:pStyle w:val="59"/>
        <w:overflowPunct/>
        <w:autoSpaceDE/>
        <w:autoSpaceDN/>
        <w:spacing w:line="560" w:lineRule="exact"/>
        <w:ind w:firstLine="640" w:firstLineChars="200"/>
        <w:rPr>
          <w:rFonts w:ascii="Times New Roman" w:hAnsi="Times New Roman" w:eastAsia="仿宋"/>
          <w:sz w:val="32"/>
          <w:szCs w:val="32"/>
        </w:rPr>
      </w:pPr>
      <w:bookmarkStart w:id="68" w:name="_Toc1249"/>
      <w:bookmarkStart w:id="69" w:name="_Toc3605"/>
      <w:bookmarkStart w:id="70" w:name="_Toc23347"/>
      <w:r>
        <w:rPr>
          <w:rFonts w:ascii="Times New Roman" w:hAnsi="Times New Roman" w:eastAsia="仿宋"/>
          <w:sz w:val="32"/>
          <w:szCs w:val="32"/>
        </w:rPr>
        <w:t>综合得分在60分以下为“差”。</w:t>
      </w:r>
      <w:bookmarkEnd w:id="68"/>
      <w:bookmarkEnd w:id="69"/>
      <w:bookmarkEnd w:id="70"/>
    </w:p>
    <w:bookmarkEnd w:id="66"/>
    <w:bookmarkEnd w:id="67"/>
    <w:p>
      <w:pPr>
        <w:pStyle w:val="17"/>
        <w:spacing w:line="560" w:lineRule="exact"/>
        <w:ind w:left="0" w:leftChars="0" w:firstLine="640" w:firstLineChars="200"/>
        <w:outlineLvl w:val="0"/>
        <w:rPr>
          <w:rFonts w:ascii="Times New Roman" w:hAnsi="Times New Roman" w:eastAsia="楷体_GB2312"/>
          <w:sz w:val="32"/>
          <w:szCs w:val="32"/>
        </w:rPr>
      </w:pPr>
      <w:bookmarkStart w:id="71" w:name="_Toc15399"/>
      <w:bookmarkStart w:id="72" w:name="_Toc18926"/>
      <w:bookmarkStart w:id="73" w:name="_Toc2205"/>
      <w:bookmarkStart w:id="74" w:name="_Toc13673"/>
      <w:bookmarkStart w:id="75" w:name="_Toc444"/>
      <w:bookmarkStart w:id="76" w:name="_Toc19357"/>
      <w:bookmarkStart w:id="77" w:name="_Toc21792"/>
      <w:bookmarkStart w:id="78" w:name="_Toc29822"/>
      <w:bookmarkStart w:id="79" w:name="_Toc9973"/>
      <w:bookmarkStart w:id="80" w:name="_Toc3166"/>
      <w:bookmarkStart w:id="81" w:name="_Toc13306"/>
      <w:r>
        <w:rPr>
          <w:rFonts w:hint="eastAsia" w:ascii="Times New Roman" w:hAnsi="Times New Roman" w:eastAsia="黑体"/>
          <w:sz w:val="32"/>
          <w:szCs w:val="32"/>
        </w:rPr>
        <w:t>四</w:t>
      </w:r>
      <w:r>
        <w:rPr>
          <w:rFonts w:ascii="Times New Roman" w:hAnsi="Times New Roman" w:eastAsia="黑体"/>
          <w:sz w:val="32"/>
          <w:szCs w:val="32"/>
        </w:rPr>
        <w:t>、评价结论</w:t>
      </w:r>
      <w:bookmarkEnd w:id="71"/>
      <w:bookmarkEnd w:id="72"/>
      <w:bookmarkEnd w:id="73"/>
      <w:bookmarkEnd w:id="74"/>
      <w:r>
        <w:rPr>
          <w:rFonts w:ascii="Times New Roman" w:hAnsi="Times New Roman" w:eastAsia="黑体"/>
          <w:sz w:val="32"/>
          <w:szCs w:val="32"/>
        </w:rPr>
        <w:t>和绩效分析</w:t>
      </w:r>
      <w:bookmarkEnd w:id="75"/>
      <w:bookmarkEnd w:id="76"/>
      <w:bookmarkEnd w:id="77"/>
      <w:bookmarkEnd w:id="78"/>
      <w:bookmarkEnd w:id="79"/>
      <w:bookmarkEnd w:id="80"/>
      <w:bookmarkEnd w:id="81"/>
    </w:p>
    <w:p>
      <w:pPr>
        <w:snapToGrid/>
        <w:spacing w:line="560" w:lineRule="exact"/>
        <w:ind w:firstLine="640" w:firstLineChars="200"/>
        <w:jc w:val="left"/>
        <w:rPr>
          <w:rFonts w:ascii="Times New Roman" w:hAnsi="Times New Roman" w:eastAsia="黑体"/>
          <w:sz w:val="28"/>
          <w:szCs w:val="28"/>
        </w:rPr>
      </w:pPr>
      <w:bookmarkStart w:id="82" w:name="_Toc24034"/>
      <w:bookmarkStart w:id="83" w:name="_Toc21901"/>
      <w:bookmarkStart w:id="84" w:name="_Toc7420"/>
      <w:r>
        <w:rPr>
          <w:rFonts w:hint="eastAsia" w:ascii="Times New Roman" w:hAnsi="Times New Roman" w:eastAsia="仿宋"/>
          <w:sz w:val="32"/>
          <w:szCs w:val="32"/>
          <w:lang w:eastAsia="zh-CN"/>
        </w:rPr>
        <w:t>2021年度枣庄高新区残疾人康复专项经费项目</w:t>
      </w:r>
      <w:r>
        <w:rPr>
          <w:rFonts w:ascii="Times New Roman" w:hAnsi="Times New Roman" w:eastAsia="仿宋"/>
          <w:sz w:val="32"/>
          <w:szCs w:val="32"/>
        </w:rPr>
        <w:t>共投入财政资金100.00万元，支持社会事务综合服务中心残疾人康复、就业培训、重症精神病患者政府兜底等内容实施。项目的实施，取得了较好的效果，一是励志助学金保障落实残疾大学生入学，二是极大的提升了白内障患者的及时救助率，三是</w:t>
      </w:r>
      <w:r>
        <w:rPr>
          <w:rFonts w:hint="eastAsia" w:ascii="Times New Roman" w:hAnsi="Times New Roman" w:eastAsia="仿宋"/>
          <w:sz w:val="32"/>
          <w:szCs w:val="32"/>
          <w:lang w:eastAsia="zh-CN"/>
        </w:rPr>
        <w:t>残</w:t>
      </w:r>
      <w:r>
        <w:rPr>
          <w:rFonts w:ascii="Times New Roman" w:hAnsi="Times New Roman" w:eastAsia="仿宋"/>
          <w:sz w:val="32"/>
          <w:szCs w:val="32"/>
        </w:rPr>
        <w:t>疾儿童基本康复服务基本全覆盖。但同时存在项目立项不够科学，缺乏申报批复规范性文件、预算编制不够科学、成本控制率较低等问题。2021年残疾人康复专项经费项目</w:t>
      </w:r>
      <w:r>
        <w:rPr>
          <w:rFonts w:hint="eastAsia" w:ascii="Times New Roman" w:hAnsi="Times New Roman" w:eastAsia="仿宋"/>
          <w:sz w:val="32"/>
          <w:szCs w:val="32"/>
          <w:lang w:val="en-US" w:eastAsia="zh-CN"/>
        </w:rPr>
        <w:t>绩效</w:t>
      </w:r>
      <w:r>
        <w:rPr>
          <w:rFonts w:ascii="Times New Roman" w:hAnsi="Times New Roman" w:eastAsia="仿宋"/>
          <w:sz w:val="32"/>
          <w:szCs w:val="32"/>
        </w:rPr>
        <w:t>评价</w:t>
      </w:r>
      <w:r>
        <w:rPr>
          <w:rFonts w:hint="eastAsia" w:ascii="Times New Roman" w:hAnsi="Times New Roman" w:eastAsia="仿宋"/>
          <w:sz w:val="32"/>
          <w:szCs w:val="32"/>
          <w:lang w:val="en-US" w:eastAsia="zh-CN"/>
        </w:rPr>
        <w:t>综合</w:t>
      </w:r>
      <w:r>
        <w:rPr>
          <w:rFonts w:ascii="Times New Roman" w:hAnsi="Times New Roman" w:eastAsia="仿宋"/>
          <w:sz w:val="32"/>
          <w:szCs w:val="32"/>
        </w:rPr>
        <w:t>得分8</w:t>
      </w:r>
      <w:r>
        <w:rPr>
          <w:rFonts w:hint="eastAsia" w:ascii="Times New Roman" w:hAnsi="Times New Roman" w:eastAsia="仿宋"/>
          <w:sz w:val="32"/>
          <w:szCs w:val="32"/>
          <w:lang w:val="en-US" w:eastAsia="zh-CN"/>
        </w:rPr>
        <w:t>9.5</w:t>
      </w:r>
      <w:r>
        <w:rPr>
          <w:rFonts w:ascii="Times New Roman" w:hAnsi="Times New Roman" w:eastAsia="仿宋"/>
          <w:sz w:val="32"/>
          <w:szCs w:val="32"/>
        </w:rPr>
        <w:t>0分，评价等级为“良”。具体得分情况见表</w:t>
      </w:r>
      <w:r>
        <w:rPr>
          <w:rFonts w:hint="eastAsia" w:ascii="Times New Roman" w:hAnsi="Times New Roman" w:eastAsia="仿宋"/>
          <w:sz w:val="32"/>
          <w:szCs w:val="32"/>
          <w:lang w:val="en-US" w:eastAsia="zh-CN"/>
        </w:rPr>
        <w:t>1</w:t>
      </w:r>
      <w:r>
        <w:rPr>
          <w:rFonts w:ascii="Times New Roman" w:hAnsi="Times New Roman" w:eastAsia="仿宋"/>
          <w:sz w:val="32"/>
          <w:szCs w:val="32"/>
        </w:rPr>
        <w:t>。</w:t>
      </w:r>
    </w:p>
    <w:p>
      <w:pPr>
        <w:snapToGrid w:val="0"/>
        <w:spacing w:line="560" w:lineRule="exact"/>
        <w:jc w:val="center"/>
        <w:rPr>
          <w:rFonts w:ascii="Times New Roman" w:hAnsi="Times New Roman" w:eastAsia="黑体"/>
          <w:sz w:val="28"/>
          <w:szCs w:val="28"/>
        </w:rPr>
      </w:pPr>
      <w:r>
        <w:rPr>
          <w:rFonts w:ascii="Times New Roman" w:hAnsi="Times New Roman" w:eastAsia="黑体"/>
          <w:sz w:val="28"/>
          <w:szCs w:val="28"/>
        </w:rPr>
        <w:t>表1</w:t>
      </w:r>
      <w:r>
        <w:rPr>
          <w:rFonts w:hint="eastAsia" w:ascii="Times New Roman" w:hAnsi="Times New Roman" w:eastAsia="黑体"/>
          <w:sz w:val="28"/>
          <w:szCs w:val="28"/>
          <w:lang w:val="en-US" w:eastAsia="zh-CN"/>
        </w:rPr>
        <w:t xml:space="preserve"> </w:t>
      </w:r>
      <w:r>
        <w:rPr>
          <w:rFonts w:ascii="Times New Roman" w:hAnsi="Times New Roman" w:eastAsia="黑体"/>
          <w:sz w:val="28"/>
          <w:szCs w:val="28"/>
        </w:rPr>
        <w:t>综合得分情况表</w:t>
      </w:r>
    </w:p>
    <w:tbl>
      <w:tblPr>
        <w:tblStyle w:val="3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69"/>
        <w:gridCol w:w="2127"/>
        <w:gridCol w:w="206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jc w:val="center"/>
        </w:trPr>
        <w:tc>
          <w:tcPr>
            <w:tcW w:w="2069" w:type="dxa"/>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2127" w:type="dxa"/>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2069" w:type="dxa"/>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2239" w:type="dxa"/>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决策</w:t>
            </w:r>
          </w:p>
        </w:tc>
        <w:tc>
          <w:tcPr>
            <w:tcW w:w="2127"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14</w:t>
            </w:r>
          </w:p>
        </w:tc>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10.50</w:t>
            </w:r>
          </w:p>
        </w:tc>
        <w:tc>
          <w:tcPr>
            <w:tcW w:w="223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过程</w:t>
            </w:r>
          </w:p>
        </w:tc>
        <w:tc>
          <w:tcPr>
            <w:tcW w:w="2127"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16</w:t>
            </w:r>
          </w:p>
        </w:tc>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rPr>
              <w:t>14.</w:t>
            </w:r>
            <w:r>
              <w:rPr>
                <w:rFonts w:hint="eastAsia" w:ascii="宋体" w:hAnsi="宋体" w:eastAsia="宋体" w:cs="宋体"/>
                <w:szCs w:val="21"/>
                <w:lang w:val="en-US" w:eastAsia="zh-CN"/>
              </w:rPr>
              <w:t>0</w:t>
            </w:r>
            <w:r>
              <w:rPr>
                <w:rFonts w:hint="eastAsia" w:ascii="宋体" w:hAnsi="宋体" w:eastAsia="宋体" w:cs="宋体"/>
                <w:szCs w:val="21"/>
              </w:rPr>
              <w:t>0</w:t>
            </w:r>
          </w:p>
        </w:tc>
        <w:tc>
          <w:tcPr>
            <w:tcW w:w="223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lang w:val="en-US" w:eastAsia="zh-CN"/>
              </w:rPr>
              <w:t>87.50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产出</w:t>
            </w:r>
          </w:p>
        </w:tc>
        <w:tc>
          <w:tcPr>
            <w:tcW w:w="2127"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45</w:t>
            </w:r>
          </w:p>
        </w:tc>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lang w:val="en-US" w:eastAsia="zh-CN"/>
              </w:rPr>
              <w:t>4</w:t>
            </w:r>
            <w:r>
              <w:rPr>
                <w:rFonts w:hint="eastAsia" w:ascii="宋体" w:hAnsi="宋体" w:eastAsia="宋体" w:cs="宋体"/>
                <w:szCs w:val="21"/>
              </w:rPr>
              <w:t>5.00</w:t>
            </w:r>
          </w:p>
        </w:tc>
        <w:tc>
          <w:tcPr>
            <w:tcW w:w="223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lang w:val="en-US" w:eastAsia="zh-CN"/>
              </w:rPr>
              <w:t>100.00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效益</w:t>
            </w:r>
          </w:p>
        </w:tc>
        <w:tc>
          <w:tcPr>
            <w:tcW w:w="2127"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25</w:t>
            </w:r>
          </w:p>
        </w:tc>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rPr>
              <w:t>2</w:t>
            </w:r>
            <w:r>
              <w:rPr>
                <w:rFonts w:hint="eastAsia" w:ascii="宋体" w:hAnsi="宋体" w:eastAsia="宋体" w:cs="宋体"/>
                <w:szCs w:val="21"/>
                <w:lang w:val="en-US" w:eastAsia="zh-CN"/>
              </w:rPr>
              <w:t>0</w:t>
            </w:r>
            <w:r>
              <w:rPr>
                <w:rFonts w:hint="eastAsia" w:ascii="宋体" w:hAnsi="宋体" w:eastAsia="宋体" w:cs="宋体"/>
                <w:szCs w:val="21"/>
              </w:rPr>
              <w:t>.00</w:t>
            </w:r>
          </w:p>
        </w:tc>
        <w:tc>
          <w:tcPr>
            <w:tcW w:w="223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lang w:val="en-US" w:eastAsia="zh-CN"/>
              </w:rPr>
              <w:t>80</w:t>
            </w:r>
            <w:r>
              <w:rPr>
                <w:rFonts w:hint="eastAsia" w:ascii="宋体" w:hAnsi="宋体" w:eastAsia="宋体" w:cs="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合计</w:t>
            </w:r>
          </w:p>
        </w:tc>
        <w:tc>
          <w:tcPr>
            <w:tcW w:w="2127" w:type="dxa"/>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100</w:t>
            </w:r>
          </w:p>
        </w:tc>
        <w:tc>
          <w:tcPr>
            <w:tcW w:w="2069" w:type="dxa"/>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szCs w:val="21"/>
              </w:rPr>
              <w:t>8</w:t>
            </w:r>
            <w:r>
              <w:rPr>
                <w:rFonts w:hint="eastAsia" w:ascii="宋体" w:hAnsi="宋体" w:eastAsia="宋体" w:cs="宋体"/>
                <w:b/>
                <w:bCs/>
                <w:szCs w:val="21"/>
                <w:lang w:val="en-US" w:eastAsia="zh-CN"/>
              </w:rPr>
              <w:t>9</w:t>
            </w:r>
            <w:r>
              <w:rPr>
                <w:rFonts w:hint="eastAsia" w:ascii="宋体" w:hAnsi="宋体" w:eastAsia="宋体" w:cs="宋体"/>
                <w:b/>
                <w:bCs/>
                <w:szCs w:val="21"/>
              </w:rPr>
              <w:t>.</w:t>
            </w:r>
            <w:r>
              <w:rPr>
                <w:rFonts w:hint="eastAsia" w:ascii="宋体" w:hAnsi="宋体" w:eastAsia="宋体" w:cs="宋体"/>
                <w:b/>
                <w:bCs/>
                <w:szCs w:val="21"/>
                <w:lang w:val="en-US" w:eastAsia="zh-CN"/>
              </w:rPr>
              <w:t>5</w:t>
            </w:r>
            <w:r>
              <w:rPr>
                <w:rFonts w:hint="eastAsia" w:ascii="宋体" w:hAnsi="宋体" w:eastAsia="宋体" w:cs="宋体"/>
                <w:b/>
                <w:bCs/>
                <w:szCs w:val="21"/>
              </w:rPr>
              <w:t>0</w:t>
            </w:r>
          </w:p>
        </w:tc>
        <w:tc>
          <w:tcPr>
            <w:tcW w:w="2239" w:type="dxa"/>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szCs w:val="21"/>
              </w:rPr>
              <w:t>8</w:t>
            </w:r>
            <w:r>
              <w:rPr>
                <w:rFonts w:hint="eastAsia" w:ascii="宋体" w:hAnsi="宋体" w:eastAsia="宋体" w:cs="宋体"/>
                <w:b/>
                <w:bCs/>
                <w:szCs w:val="21"/>
                <w:lang w:val="en-US" w:eastAsia="zh-CN"/>
              </w:rPr>
              <w:t>9</w:t>
            </w:r>
            <w:r>
              <w:rPr>
                <w:rFonts w:hint="eastAsia" w:ascii="宋体" w:hAnsi="宋体" w:eastAsia="宋体" w:cs="宋体"/>
                <w:b/>
                <w:bCs/>
                <w:szCs w:val="21"/>
              </w:rPr>
              <w:t>.</w:t>
            </w:r>
            <w:r>
              <w:rPr>
                <w:rFonts w:hint="eastAsia" w:ascii="宋体" w:hAnsi="宋体" w:eastAsia="宋体" w:cs="宋体"/>
                <w:b/>
                <w:bCs/>
                <w:szCs w:val="21"/>
                <w:lang w:val="en-US" w:eastAsia="zh-CN"/>
              </w:rPr>
              <w:t>5</w:t>
            </w:r>
            <w:r>
              <w:rPr>
                <w:rFonts w:hint="eastAsia" w:ascii="宋体" w:hAnsi="宋体" w:eastAsia="宋体" w:cs="宋体"/>
                <w:b/>
                <w:bCs/>
                <w:szCs w:val="21"/>
              </w:rPr>
              <w:t>0%</w:t>
            </w:r>
          </w:p>
        </w:tc>
      </w:tr>
    </w:tbl>
    <w:p>
      <w:pPr>
        <w:pStyle w:val="59"/>
        <w:spacing w:line="560" w:lineRule="exact"/>
        <w:rPr>
          <w:rFonts w:hint="eastAsia" w:ascii="Times New Roman" w:hAnsi="Times New Roman" w:eastAsia="仿宋"/>
          <w:sz w:val="32"/>
          <w:szCs w:val="32"/>
        </w:rPr>
      </w:pPr>
    </w:p>
    <w:bookmarkEnd w:id="82"/>
    <w:bookmarkEnd w:id="83"/>
    <w:bookmarkEnd w:id="84"/>
    <w:p>
      <w:pPr>
        <w:pStyle w:val="59"/>
        <w:spacing w:line="560" w:lineRule="exact"/>
        <w:ind w:firstLine="640" w:firstLineChars="200"/>
        <w:outlineLvl w:val="0"/>
        <w:rPr>
          <w:rFonts w:ascii="Times New Roman" w:hAnsi="Times New Roman" w:eastAsia="黑体"/>
          <w:sz w:val="32"/>
          <w:szCs w:val="32"/>
        </w:rPr>
      </w:pPr>
      <w:bookmarkStart w:id="85" w:name="_Toc23265"/>
      <w:bookmarkStart w:id="86" w:name="_Toc15961"/>
      <w:bookmarkStart w:id="87" w:name="_Toc23081"/>
      <w:bookmarkStart w:id="88" w:name="_Toc13008"/>
      <w:bookmarkStart w:id="89" w:name="_Toc30466"/>
      <w:bookmarkStart w:id="90" w:name="_Toc5472"/>
      <w:r>
        <w:rPr>
          <w:rFonts w:hint="eastAsia" w:ascii="Times New Roman" w:hAnsi="Times New Roman" w:eastAsia="黑体"/>
          <w:sz w:val="32"/>
          <w:szCs w:val="32"/>
        </w:rPr>
        <w:t>五</w:t>
      </w:r>
      <w:r>
        <w:rPr>
          <w:rFonts w:ascii="Times New Roman" w:hAnsi="Times New Roman" w:eastAsia="黑体"/>
          <w:sz w:val="32"/>
          <w:szCs w:val="32"/>
        </w:rPr>
        <w:t>、存在问题</w:t>
      </w:r>
      <w:r>
        <w:rPr>
          <w:rFonts w:hint="eastAsia" w:ascii="Times New Roman" w:hAnsi="Times New Roman" w:eastAsia="黑体"/>
          <w:sz w:val="32"/>
          <w:szCs w:val="32"/>
        </w:rPr>
        <w:t>及原因分析</w:t>
      </w:r>
      <w:bookmarkEnd w:id="85"/>
      <w:bookmarkEnd w:id="86"/>
      <w:bookmarkEnd w:id="87"/>
      <w:bookmarkEnd w:id="88"/>
    </w:p>
    <w:p>
      <w:pPr>
        <w:adjustRightInd w:val="0"/>
        <w:snapToGrid w:val="0"/>
        <w:spacing w:line="560" w:lineRule="exact"/>
        <w:ind w:firstLine="640" w:firstLineChars="200"/>
        <w:outlineLvl w:val="1"/>
        <w:rPr>
          <w:rFonts w:ascii="Times New Roman" w:hAnsi="Times New Roman" w:eastAsia="楷体"/>
          <w:bCs/>
          <w:sz w:val="32"/>
          <w:szCs w:val="32"/>
        </w:rPr>
      </w:pPr>
      <w:bookmarkStart w:id="91" w:name="_Toc23268"/>
      <w:bookmarkStart w:id="92" w:name="_Toc28081"/>
      <w:bookmarkStart w:id="93" w:name="_Toc884"/>
      <w:bookmarkStart w:id="94" w:name="_Toc9366"/>
      <w:r>
        <w:rPr>
          <w:rFonts w:ascii="Times New Roman" w:hAnsi="Times New Roman" w:eastAsia="楷体"/>
          <w:bCs/>
          <w:sz w:val="32"/>
          <w:szCs w:val="32"/>
        </w:rPr>
        <w:t>（</w:t>
      </w:r>
      <w:r>
        <w:rPr>
          <w:rFonts w:hint="eastAsia" w:ascii="Times New Roman" w:hAnsi="Times New Roman" w:eastAsia="楷体"/>
          <w:bCs/>
          <w:sz w:val="32"/>
          <w:szCs w:val="32"/>
        </w:rPr>
        <w:t>一</w:t>
      </w:r>
      <w:r>
        <w:rPr>
          <w:rFonts w:ascii="Times New Roman" w:hAnsi="Times New Roman" w:eastAsia="楷体"/>
          <w:bCs/>
          <w:sz w:val="32"/>
          <w:szCs w:val="32"/>
        </w:rPr>
        <w:t>）</w:t>
      </w:r>
      <w:r>
        <w:rPr>
          <w:rFonts w:hint="eastAsia" w:ascii="Times New Roman" w:hAnsi="Times New Roman" w:eastAsia="楷体"/>
          <w:bCs/>
          <w:sz w:val="32"/>
          <w:szCs w:val="32"/>
        </w:rPr>
        <w:t>预算编制、</w:t>
      </w:r>
      <w:r>
        <w:rPr>
          <w:rFonts w:ascii="Times New Roman" w:hAnsi="Times New Roman" w:eastAsia="楷体"/>
          <w:bCs/>
          <w:sz w:val="32"/>
          <w:szCs w:val="32"/>
        </w:rPr>
        <w:t>绩效目标</w:t>
      </w:r>
      <w:r>
        <w:rPr>
          <w:rFonts w:hint="eastAsia" w:ascii="Times New Roman" w:hAnsi="Times New Roman" w:eastAsia="楷体"/>
          <w:bCs/>
          <w:sz w:val="32"/>
          <w:szCs w:val="32"/>
        </w:rPr>
        <w:t>及</w:t>
      </w:r>
      <w:r>
        <w:rPr>
          <w:rFonts w:ascii="Times New Roman" w:hAnsi="Times New Roman" w:eastAsia="楷体"/>
          <w:bCs/>
          <w:sz w:val="32"/>
          <w:szCs w:val="32"/>
        </w:rPr>
        <w:t>绩效指标</w:t>
      </w:r>
      <w:r>
        <w:rPr>
          <w:rFonts w:hint="eastAsia" w:ascii="Times New Roman" w:hAnsi="Times New Roman" w:eastAsia="楷体"/>
          <w:bCs/>
          <w:sz w:val="32"/>
          <w:szCs w:val="32"/>
        </w:rPr>
        <w:t>设置</w:t>
      </w:r>
      <w:r>
        <w:rPr>
          <w:rFonts w:ascii="Times New Roman" w:hAnsi="Times New Roman" w:eastAsia="楷体"/>
          <w:bCs/>
          <w:sz w:val="32"/>
          <w:szCs w:val="32"/>
        </w:rPr>
        <w:t>有待进一步完善</w:t>
      </w:r>
      <w:bookmarkEnd w:id="91"/>
      <w:bookmarkEnd w:id="92"/>
      <w:bookmarkEnd w:id="93"/>
      <w:bookmarkEnd w:id="94"/>
    </w:p>
    <w:p>
      <w:pPr>
        <w:adjustRightInd w:val="0"/>
        <w:snapToGrid w:val="0"/>
        <w:spacing w:line="560" w:lineRule="exact"/>
        <w:ind w:firstLine="643" w:firstLineChars="200"/>
        <w:rPr>
          <w:rFonts w:ascii="Times New Roman" w:hAnsi="Times New Roman" w:eastAsia="仿宋"/>
          <w:b/>
          <w:sz w:val="32"/>
          <w:szCs w:val="32"/>
        </w:rPr>
      </w:pPr>
      <w:r>
        <w:rPr>
          <w:rFonts w:hint="eastAsia" w:ascii="Times New Roman" w:hAnsi="Times New Roman" w:eastAsia="仿宋"/>
          <w:b/>
          <w:sz w:val="32"/>
          <w:szCs w:val="32"/>
        </w:rPr>
        <w:t>一是</w:t>
      </w:r>
      <w:r>
        <w:rPr>
          <w:rFonts w:hint="eastAsia" w:ascii="Times New Roman" w:hAnsi="Times New Roman" w:eastAsia="仿宋"/>
          <w:bCs/>
          <w:sz w:val="32"/>
          <w:szCs w:val="32"/>
        </w:rPr>
        <w:t>项目主管单位未提供</w:t>
      </w:r>
      <w:r>
        <w:rPr>
          <w:rFonts w:hint="eastAsia" w:ascii="Times New Roman" w:hAnsi="Times New Roman" w:eastAsia="仿宋"/>
          <w:bCs/>
          <w:sz w:val="32"/>
          <w:szCs w:val="32"/>
          <w:lang w:val="en-US" w:eastAsia="zh-CN"/>
        </w:rPr>
        <w:t>2021</w:t>
      </w:r>
      <w:r>
        <w:rPr>
          <w:rFonts w:hint="eastAsia" w:ascii="Times New Roman" w:hAnsi="Times New Roman" w:eastAsia="仿宋"/>
          <w:bCs/>
          <w:sz w:val="32"/>
          <w:szCs w:val="32"/>
        </w:rPr>
        <w:t>年度进行预算申报资金的测算依据，项目预算资金为100.00万元，实际支出资金为130.97万元，实际支出金额与预算金额差距较大。</w:t>
      </w:r>
      <w:r>
        <w:rPr>
          <w:rFonts w:hint="eastAsia" w:ascii="Times New Roman" w:hAnsi="Times New Roman" w:eastAsia="仿宋"/>
          <w:b/>
          <w:sz w:val="32"/>
          <w:szCs w:val="32"/>
        </w:rPr>
        <w:t>二是</w:t>
      </w:r>
      <w:r>
        <w:rPr>
          <w:rFonts w:ascii="Times New Roman" w:hAnsi="Times New Roman" w:eastAsia="仿宋"/>
          <w:bCs/>
          <w:sz w:val="32"/>
          <w:szCs w:val="32"/>
        </w:rPr>
        <w:t>绩效目标设置不够明确，对于总体绩效目标中如康家园的建设，未说明如康家园具体建设内容，未对如康家园实施内容对残疾人带来哪些效益，进行说明，总体可衡量性较差。</w:t>
      </w:r>
      <w:r>
        <w:rPr>
          <w:rFonts w:hint="eastAsia" w:ascii="Times New Roman" w:hAnsi="Times New Roman" w:eastAsia="仿宋"/>
          <w:b/>
          <w:sz w:val="32"/>
          <w:szCs w:val="32"/>
        </w:rPr>
        <w:t>三</w:t>
      </w:r>
      <w:r>
        <w:rPr>
          <w:rFonts w:ascii="Times New Roman" w:hAnsi="Times New Roman" w:eastAsia="仿宋"/>
          <w:b/>
          <w:sz w:val="32"/>
          <w:szCs w:val="32"/>
        </w:rPr>
        <w:t>是</w:t>
      </w:r>
      <w:r>
        <w:rPr>
          <w:rFonts w:ascii="Times New Roman" w:hAnsi="Times New Roman" w:eastAsia="仿宋"/>
          <w:bCs/>
          <w:sz w:val="32"/>
          <w:szCs w:val="32"/>
        </w:rPr>
        <w:t>绩效指标合理性、完整性不足。2021年度绩效目标申报表中，绩效指标缺少如康家园建设数量指标、入户鉴定数量指标、专职干事补贴数量指标、重症精神病患者救助数量指标；2021年度绩效目标表中成本指标设置不规范，未根据项目建设内容具体细化成本指标，</w:t>
      </w:r>
      <w:r>
        <w:rPr>
          <w:rFonts w:hint="eastAsia" w:ascii="Times New Roman" w:hAnsi="Times New Roman" w:eastAsia="仿宋"/>
          <w:bCs/>
          <w:sz w:val="32"/>
          <w:szCs w:val="32"/>
          <w:lang w:val="en-US" w:eastAsia="zh-CN"/>
        </w:rPr>
        <w:t>如</w:t>
      </w:r>
      <w:r>
        <w:rPr>
          <w:rFonts w:ascii="Times New Roman" w:hAnsi="Times New Roman" w:eastAsia="仿宋"/>
          <w:bCs/>
          <w:sz w:val="32"/>
          <w:szCs w:val="32"/>
        </w:rPr>
        <w:t>“白内障手术救助标准”“专职干事补贴标准”等</w:t>
      </w:r>
      <w:r>
        <w:rPr>
          <w:rFonts w:ascii="Times New Roman" w:hAnsi="Times New Roman" w:eastAsia="仿宋_GB2312"/>
          <w:bCs/>
          <w:sz w:val="32"/>
          <w:szCs w:val="32"/>
        </w:rPr>
        <w:t>。</w:t>
      </w:r>
    </w:p>
    <w:p>
      <w:pPr>
        <w:adjustRightInd w:val="0"/>
        <w:snapToGrid w:val="0"/>
        <w:spacing w:line="560" w:lineRule="exact"/>
        <w:ind w:firstLine="640" w:firstLineChars="200"/>
        <w:outlineLvl w:val="1"/>
        <w:rPr>
          <w:rFonts w:ascii="Times New Roman" w:hAnsi="Times New Roman" w:eastAsia="楷体"/>
          <w:bCs/>
          <w:sz w:val="32"/>
          <w:szCs w:val="32"/>
        </w:rPr>
      </w:pPr>
      <w:bookmarkStart w:id="95" w:name="_Toc699"/>
      <w:bookmarkStart w:id="96" w:name="_Toc18638"/>
      <w:bookmarkStart w:id="97" w:name="_Toc2430"/>
      <w:bookmarkStart w:id="98" w:name="_Toc30658"/>
      <w:r>
        <w:rPr>
          <w:rFonts w:ascii="Times New Roman" w:hAnsi="Times New Roman" w:eastAsia="楷体"/>
          <w:bCs/>
          <w:sz w:val="32"/>
          <w:szCs w:val="32"/>
        </w:rPr>
        <w:t>（</w:t>
      </w:r>
      <w:r>
        <w:rPr>
          <w:rFonts w:hint="eastAsia" w:ascii="Times New Roman" w:hAnsi="Times New Roman" w:eastAsia="楷体"/>
          <w:bCs/>
          <w:sz w:val="32"/>
          <w:szCs w:val="32"/>
        </w:rPr>
        <w:t>二</w:t>
      </w:r>
      <w:r>
        <w:rPr>
          <w:rFonts w:ascii="Times New Roman" w:hAnsi="Times New Roman" w:eastAsia="楷体"/>
          <w:bCs/>
          <w:sz w:val="32"/>
          <w:szCs w:val="32"/>
        </w:rPr>
        <w:t>）如康家园宣传</w:t>
      </w:r>
      <w:r>
        <w:rPr>
          <w:rFonts w:hint="eastAsia" w:ascii="Times New Roman" w:hAnsi="Times New Roman" w:eastAsia="楷体"/>
          <w:bCs/>
          <w:sz w:val="32"/>
          <w:szCs w:val="32"/>
        </w:rPr>
        <w:t>机制、后期管理制度不够健全</w:t>
      </w:r>
      <w:bookmarkEnd w:id="95"/>
      <w:bookmarkEnd w:id="96"/>
      <w:bookmarkEnd w:id="97"/>
      <w:bookmarkEnd w:id="98"/>
    </w:p>
    <w:p>
      <w:pPr>
        <w:adjustRightInd w:val="0"/>
        <w:snapToGrid w:val="0"/>
        <w:spacing w:line="560" w:lineRule="exact"/>
        <w:ind w:firstLine="643" w:firstLineChars="200"/>
        <w:rPr>
          <w:rStyle w:val="45"/>
          <w:rFonts w:ascii="Times New Roman" w:hAnsi="Times New Roman"/>
          <w:sz w:val="32"/>
          <w:szCs w:val="32"/>
        </w:rPr>
      </w:pPr>
      <w:r>
        <w:rPr>
          <w:rFonts w:hint="eastAsia" w:ascii="Times New Roman" w:hAnsi="Times New Roman" w:eastAsia="仿宋"/>
          <w:b/>
          <w:sz w:val="32"/>
          <w:szCs w:val="32"/>
        </w:rPr>
        <w:t>一是</w:t>
      </w:r>
      <w:r>
        <w:rPr>
          <w:rFonts w:ascii="Times New Roman" w:hAnsi="Times New Roman" w:eastAsia="仿宋"/>
          <w:bCs/>
          <w:sz w:val="32"/>
          <w:szCs w:val="32"/>
        </w:rPr>
        <w:t>如康家园主要</w:t>
      </w:r>
      <w:r>
        <w:rPr>
          <w:rFonts w:hint="eastAsia" w:ascii="Times New Roman" w:hAnsi="Times New Roman" w:eastAsia="仿宋"/>
          <w:bCs/>
          <w:sz w:val="32"/>
          <w:szCs w:val="32"/>
        </w:rPr>
        <w:t>服务内容是提供</w:t>
      </w:r>
      <w:r>
        <w:rPr>
          <w:rFonts w:ascii="Times New Roman" w:hAnsi="Times New Roman" w:eastAsia="仿宋"/>
          <w:bCs/>
          <w:sz w:val="32"/>
          <w:szCs w:val="32"/>
        </w:rPr>
        <w:t>辅助性就业、日间照料、社区康复、</w:t>
      </w:r>
      <w:r>
        <w:rPr>
          <w:rFonts w:hint="eastAsia" w:ascii="Times New Roman" w:hAnsi="Times New Roman" w:eastAsia="仿宋"/>
          <w:bCs/>
          <w:sz w:val="32"/>
          <w:szCs w:val="32"/>
        </w:rPr>
        <w:t>及</w:t>
      </w:r>
      <w:r>
        <w:rPr>
          <w:rFonts w:ascii="Times New Roman" w:hAnsi="Times New Roman" w:eastAsia="仿宋"/>
          <w:bCs/>
          <w:sz w:val="32"/>
          <w:szCs w:val="32"/>
        </w:rPr>
        <w:t>技能培训、文体活动、支援助残、交流互助等</w:t>
      </w:r>
      <w:r>
        <w:rPr>
          <w:rFonts w:hint="eastAsia" w:ascii="Times New Roman" w:hAnsi="Times New Roman" w:eastAsia="仿宋"/>
          <w:bCs/>
          <w:sz w:val="32"/>
          <w:szCs w:val="32"/>
        </w:rPr>
        <w:t>，项目</w:t>
      </w:r>
      <w:r>
        <w:rPr>
          <w:rFonts w:ascii="Times New Roman" w:hAnsi="Times New Roman" w:eastAsia="仿宋"/>
          <w:bCs/>
          <w:sz w:val="32"/>
          <w:szCs w:val="32"/>
        </w:rPr>
        <w:t>主管单位未根据</w:t>
      </w:r>
      <w:r>
        <w:rPr>
          <w:rFonts w:hint="eastAsia" w:ascii="Times New Roman" w:hAnsi="Times New Roman" w:eastAsia="仿宋"/>
          <w:bCs/>
          <w:sz w:val="32"/>
          <w:szCs w:val="32"/>
        </w:rPr>
        <w:t>服务目标制定</w:t>
      </w:r>
      <w:r>
        <w:rPr>
          <w:rFonts w:ascii="Times New Roman" w:hAnsi="Times New Roman" w:eastAsia="仿宋"/>
          <w:bCs/>
          <w:sz w:val="32"/>
          <w:szCs w:val="32"/>
        </w:rPr>
        <w:t>可行的宣传方案，项目</w:t>
      </w:r>
      <w:r>
        <w:rPr>
          <w:rFonts w:hint="eastAsia" w:ascii="Times New Roman" w:hAnsi="Times New Roman" w:eastAsia="仿宋"/>
          <w:bCs/>
          <w:sz w:val="32"/>
          <w:szCs w:val="32"/>
          <w:lang w:val="en-US" w:eastAsia="zh-CN"/>
        </w:rPr>
        <w:t>缺乏宣传机制</w:t>
      </w:r>
      <w:r>
        <w:rPr>
          <w:rFonts w:ascii="Times New Roman" w:hAnsi="Times New Roman" w:eastAsia="仿宋"/>
          <w:bCs/>
          <w:sz w:val="32"/>
          <w:szCs w:val="32"/>
        </w:rPr>
        <w:t>，</w:t>
      </w:r>
      <w:r>
        <w:rPr>
          <w:rFonts w:hint="eastAsia" w:ascii="Times New Roman" w:hAnsi="Times New Roman" w:eastAsia="仿宋"/>
          <w:bCs/>
          <w:sz w:val="32"/>
          <w:szCs w:val="32"/>
        </w:rPr>
        <w:t>受</w:t>
      </w:r>
      <w:r>
        <w:rPr>
          <w:rFonts w:ascii="Times New Roman" w:hAnsi="Times New Roman" w:eastAsia="仿宋"/>
          <w:bCs/>
          <w:sz w:val="32"/>
          <w:szCs w:val="32"/>
        </w:rPr>
        <w:t>益群众知晓面不</w:t>
      </w:r>
      <w:r>
        <w:rPr>
          <w:rFonts w:hint="eastAsia" w:ascii="Times New Roman" w:hAnsi="Times New Roman" w:eastAsia="仿宋"/>
          <w:bCs/>
          <w:sz w:val="32"/>
          <w:szCs w:val="32"/>
        </w:rPr>
        <w:t>够</w:t>
      </w:r>
      <w:r>
        <w:rPr>
          <w:rFonts w:ascii="Times New Roman" w:hAnsi="Times New Roman" w:eastAsia="仿宋"/>
          <w:bCs/>
          <w:sz w:val="32"/>
          <w:szCs w:val="32"/>
        </w:rPr>
        <w:t>广泛。</w:t>
      </w:r>
      <w:r>
        <w:rPr>
          <w:rFonts w:hint="eastAsia" w:ascii="Times New Roman" w:hAnsi="Times New Roman" w:eastAsia="仿宋"/>
          <w:b/>
          <w:sz w:val="32"/>
          <w:szCs w:val="32"/>
        </w:rPr>
        <w:t>二是</w:t>
      </w:r>
      <w:r>
        <w:rPr>
          <w:rFonts w:hint="eastAsia" w:ascii="Times New Roman" w:hAnsi="Times New Roman" w:eastAsia="仿宋"/>
          <w:bCs/>
          <w:sz w:val="32"/>
          <w:szCs w:val="32"/>
        </w:rPr>
        <w:t>项目单位未制定项目后期的管理制度，如辅助器具的维修与更换、如康家园人员管理等</w:t>
      </w:r>
      <w:r>
        <w:rPr>
          <w:rFonts w:hint="eastAsia" w:ascii="Times New Roman" w:hAnsi="Times New Roman" w:eastAsia="仿宋"/>
          <w:bCs/>
          <w:sz w:val="32"/>
          <w:szCs w:val="32"/>
          <w:lang w:val="en-US" w:eastAsia="zh-CN"/>
        </w:rPr>
        <w:t>相关</w:t>
      </w:r>
      <w:r>
        <w:rPr>
          <w:rFonts w:hint="eastAsia" w:ascii="Times New Roman" w:hAnsi="Times New Roman" w:eastAsia="仿宋"/>
          <w:bCs/>
          <w:sz w:val="32"/>
          <w:szCs w:val="32"/>
        </w:rPr>
        <w:t>管理制度。</w:t>
      </w:r>
    </w:p>
    <w:p>
      <w:pPr>
        <w:spacing w:line="560" w:lineRule="exact"/>
        <w:ind w:left="840"/>
        <w:jc w:val="left"/>
        <w:outlineLvl w:val="0"/>
        <w:rPr>
          <w:rFonts w:ascii="Times New Roman" w:hAnsi="Times New Roman" w:eastAsia="黑体"/>
          <w:sz w:val="32"/>
          <w:szCs w:val="32"/>
        </w:rPr>
      </w:pPr>
      <w:bookmarkStart w:id="99" w:name="_Toc14519"/>
      <w:bookmarkStart w:id="100" w:name="_Toc12619"/>
      <w:bookmarkStart w:id="101" w:name="_Toc29179"/>
      <w:bookmarkStart w:id="102" w:name="_Toc25092"/>
      <w:r>
        <w:rPr>
          <w:rFonts w:ascii="Times New Roman" w:hAnsi="Times New Roman" w:eastAsia="黑体"/>
          <w:sz w:val="32"/>
          <w:szCs w:val="32"/>
        </w:rPr>
        <w:t>六、意见建议</w:t>
      </w:r>
      <w:bookmarkEnd w:id="99"/>
      <w:bookmarkEnd w:id="100"/>
      <w:bookmarkEnd w:id="101"/>
      <w:bookmarkEnd w:id="102"/>
    </w:p>
    <w:p>
      <w:pPr>
        <w:adjustRightInd w:val="0"/>
        <w:snapToGrid w:val="0"/>
        <w:spacing w:line="560" w:lineRule="exact"/>
        <w:ind w:firstLine="640" w:firstLineChars="200"/>
        <w:outlineLvl w:val="1"/>
        <w:rPr>
          <w:rFonts w:ascii="Times New Roman" w:hAnsi="Times New Roman" w:eastAsia="楷体"/>
          <w:bCs/>
          <w:sz w:val="32"/>
          <w:szCs w:val="32"/>
        </w:rPr>
      </w:pPr>
      <w:bookmarkStart w:id="103" w:name="_Toc3346"/>
      <w:bookmarkStart w:id="104" w:name="_Toc9502"/>
      <w:bookmarkStart w:id="105" w:name="_Toc27288"/>
      <w:bookmarkStart w:id="106" w:name="_Toc5231"/>
      <w:r>
        <w:rPr>
          <w:rFonts w:ascii="Times New Roman" w:hAnsi="Times New Roman" w:eastAsia="楷体"/>
          <w:bCs/>
          <w:sz w:val="32"/>
          <w:szCs w:val="32"/>
        </w:rPr>
        <w:t>（</w:t>
      </w:r>
      <w:r>
        <w:rPr>
          <w:rFonts w:hint="eastAsia" w:ascii="Times New Roman" w:hAnsi="Times New Roman" w:eastAsia="楷体"/>
          <w:bCs/>
          <w:sz w:val="32"/>
          <w:szCs w:val="32"/>
        </w:rPr>
        <w:t>一</w:t>
      </w:r>
      <w:r>
        <w:rPr>
          <w:rFonts w:ascii="Times New Roman" w:hAnsi="Times New Roman" w:eastAsia="楷体"/>
          <w:bCs/>
          <w:sz w:val="32"/>
          <w:szCs w:val="32"/>
        </w:rPr>
        <w:t>）</w:t>
      </w:r>
      <w:r>
        <w:rPr>
          <w:rFonts w:hint="eastAsia" w:ascii="Times New Roman" w:hAnsi="Times New Roman" w:eastAsia="楷体"/>
          <w:bCs/>
          <w:sz w:val="32"/>
          <w:szCs w:val="32"/>
        </w:rPr>
        <w:t>夯实财政收支预算编制基础，</w:t>
      </w:r>
      <w:r>
        <w:rPr>
          <w:rFonts w:ascii="Times New Roman" w:hAnsi="Times New Roman" w:eastAsia="楷体"/>
          <w:bCs/>
          <w:sz w:val="32"/>
          <w:szCs w:val="32"/>
        </w:rPr>
        <w:t>完善项目</w:t>
      </w:r>
      <w:r>
        <w:rPr>
          <w:rFonts w:hint="eastAsia" w:ascii="Times New Roman" w:hAnsi="Times New Roman" w:eastAsia="楷体"/>
          <w:bCs/>
          <w:sz w:val="32"/>
          <w:szCs w:val="32"/>
          <w:lang w:val="en-US" w:eastAsia="zh-CN"/>
        </w:rPr>
        <w:t>总体</w:t>
      </w:r>
      <w:r>
        <w:rPr>
          <w:rFonts w:ascii="Times New Roman" w:hAnsi="Times New Roman" w:eastAsia="楷体"/>
          <w:bCs/>
          <w:sz w:val="32"/>
          <w:szCs w:val="32"/>
        </w:rPr>
        <w:t>绩效目标，明确项目绩效指标</w:t>
      </w:r>
      <w:bookmarkEnd w:id="103"/>
      <w:bookmarkEnd w:id="104"/>
      <w:bookmarkEnd w:id="105"/>
      <w:bookmarkEnd w:id="106"/>
    </w:p>
    <w:p>
      <w:pPr>
        <w:spacing w:line="58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一是</w:t>
      </w:r>
      <w:r>
        <w:rPr>
          <w:rFonts w:hint="eastAsia" w:ascii="Times New Roman" w:hAnsi="Times New Roman" w:eastAsia="仿宋"/>
          <w:sz w:val="32"/>
          <w:szCs w:val="32"/>
        </w:rPr>
        <w:t>强化项目总预算编制前期工作，明确残疾人康复专项经费项目建设内容，就整体建设内容的业务板块进行科学合理的编制，包含建设的数量、面积以及金额等。明确年度工作重点及项目内容，细化预算成本构成，明确预算测算依据，全面评估年度预算项目的产出和效益，加强年度预算编制准确性。</w:t>
      </w:r>
      <w:r>
        <w:rPr>
          <w:rFonts w:hint="eastAsia" w:ascii="Times New Roman" w:hAnsi="Times New Roman" w:eastAsia="仿宋"/>
          <w:b/>
          <w:bCs/>
          <w:sz w:val="32"/>
          <w:szCs w:val="32"/>
        </w:rPr>
        <w:t>二是</w:t>
      </w:r>
      <w:r>
        <w:rPr>
          <w:rFonts w:ascii="Times New Roman" w:hAnsi="Times New Roman" w:eastAsia="仿宋"/>
          <w:bCs/>
          <w:sz w:val="32"/>
          <w:szCs w:val="32"/>
        </w:rPr>
        <w:t>制定明确的总体绩效目标，建议项目的各层级主体强化绩效目标管理理念，根据总体重点工作计划、主要工作内容、总体绩效目标制定年度子项目的绩效目标，为各子项目绩效目标的设定提供指导与依据。</w:t>
      </w:r>
      <w:r>
        <w:rPr>
          <w:rFonts w:hint="eastAsia" w:ascii="Times New Roman" w:hAnsi="Times New Roman" w:eastAsia="仿宋"/>
          <w:b/>
          <w:sz w:val="32"/>
          <w:szCs w:val="32"/>
        </w:rPr>
        <w:t>三</w:t>
      </w:r>
      <w:r>
        <w:rPr>
          <w:rFonts w:ascii="Times New Roman" w:hAnsi="Times New Roman" w:eastAsia="仿宋"/>
          <w:b/>
          <w:sz w:val="32"/>
          <w:szCs w:val="32"/>
        </w:rPr>
        <w:t>是</w:t>
      </w:r>
      <w:r>
        <w:rPr>
          <w:rFonts w:ascii="Times New Roman" w:hAnsi="Times New Roman" w:eastAsia="仿宋"/>
          <w:bCs/>
          <w:sz w:val="32"/>
          <w:szCs w:val="32"/>
        </w:rPr>
        <w:t>明确项目绩效指标，项目绩效指标的设定要</w:t>
      </w:r>
      <w:r>
        <w:rPr>
          <w:rFonts w:hint="eastAsia" w:ascii="Times New Roman" w:hAnsi="Times New Roman" w:eastAsia="仿宋"/>
          <w:bCs/>
          <w:sz w:val="32"/>
          <w:szCs w:val="32"/>
          <w:lang w:val="en-US" w:eastAsia="zh-CN"/>
        </w:rPr>
        <w:t>与</w:t>
      </w:r>
      <w:r>
        <w:rPr>
          <w:rFonts w:ascii="Times New Roman" w:hAnsi="Times New Roman" w:eastAsia="仿宋"/>
          <w:bCs/>
          <w:sz w:val="32"/>
          <w:szCs w:val="32"/>
        </w:rPr>
        <w:t>项目总体绩效目标的设定相关联，且能够细化分解为具体的绩效指标，指标值</w:t>
      </w:r>
      <w:r>
        <w:rPr>
          <w:rFonts w:hint="eastAsia" w:ascii="Times New Roman" w:hAnsi="Times New Roman" w:eastAsia="仿宋"/>
          <w:bCs/>
          <w:sz w:val="32"/>
          <w:szCs w:val="32"/>
          <w:lang w:val="en-US" w:eastAsia="zh-CN"/>
        </w:rPr>
        <w:t>要</w:t>
      </w:r>
      <w:r>
        <w:rPr>
          <w:rFonts w:ascii="Times New Roman" w:hAnsi="Times New Roman" w:eastAsia="仿宋"/>
          <w:bCs/>
          <w:sz w:val="32"/>
          <w:szCs w:val="32"/>
        </w:rPr>
        <w:t>清晰、可衡量，</w:t>
      </w:r>
      <w:r>
        <w:rPr>
          <w:rFonts w:hint="eastAsia" w:ascii="Times New Roman" w:hAnsi="Times New Roman" w:eastAsia="仿宋"/>
          <w:bCs/>
          <w:sz w:val="32"/>
          <w:szCs w:val="32"/>
          <w:lang w:val="en-US" w:eastAsia="zh-CN"/>
        </w:rPr>
        <w:t>同时要</w:t>
      </w:r>
      <w:r>
        <w:rPr>
          <w:rFonts w:ascii="Times New Roman" w:hAnsi="Times New Roman" w:eastAsia="仿宋"/>
          <w:bCs/>
          <w:sz w:val="32"/>
          <w:szCs w:val="32"/>
        </w:rPr>
        <w:t>与项目目标任务数或计划数相对应</w:t>
      </w:r>
      <w:r>
        <w:rPr>
          <w:rFonts w:hint="eastAsia" w:ascii="Times New Roman" w:hAnsi="Times New Roman" w:eastAsia="仿宋"/>
          <w:bCs/>
          <w:sz w:val="32"/>
          <w:szCs w:val="32"/>
          <w:lang w:eastAsia="zh-CN"/>
        </w:rPr>
        <w:t>，</w:t>
      </w:r>
      <w:r>
        <w:rPr>
          <w:rFonts w:ascii="Times New Roman" w:hAnsi="Times New Roman" w:eastAsia="仿宋"/>
          <w:bCs/>
          <w:sz w:val="32"/>
          <w:szCs w:val="32"/>
        </w:rPr>
        <w:t>指标值通常用相对数与绝对数表示，绩效标准可依据或者参考历史标准、行业标准、计划标准以及主管部门认可的其他标准进行。</w:t>
      </w:r>
    </w:p>
    <w:p>
      <w:pPr>
        <w:numPr>
          <w:ilvl w:val="255"/>
          <w:numId w:val="0"/>
        </w:numPr>
        <w:adjustRightInd w:val="0"/>
        <w:snapToGrid w:val="0"/>
        <w:spacing w:line="560" w:lineRule="exact"/>
        <w:ind w:firstLine="640" w:firstLineChars="200"/>
        <w:outlineLvl w:val="1"/>
        <w:rPr>
          <w:rFonts w:ascii="Times New Roman" w:hAnsi="Times New Roman" w:eastAsia="楷体"/>
          <w:bCs/>
          <w:sz w:val="32"/>
          <w:szCs w:val="32"/>
        </w:rPr>
      </w:pPr>
      <w:bookmarkStart w:id="107" w:name="_Toc20039"/>
      <w:bookmarkStart w:id="108" w:name="_Toc18987"/>
      <w:bookmarkStart w:id="109" w:name="_Toc9508"/>
      <w:bookmarkStart w:id="110" w:name="_Toc15717"/>
      <w:r>
        <w:rPr>
          <w:rFonts w:ascii="Times New Roman" w:hAnsi="Times New Roman" w:eastAsia="楷体"/>
          <w:bCs/>
          <w:sz w:val="32"/>
          <w:szCs w:val="32"/>
        </w:rPr>
        <w:t>（</w:t>
      </w:r>
      <w:r>
        <w:rPr>
          <w:rFonts w:hint="eastAsia" w:ascii="Times New Roman" w:hAnsi="Times New Roman" w:eastAsia="楷体"/>
          <w:bCs/>
          <w:sz w:val="32"/>
          <w:szCs w:val="32"/>
        </w:rPr>
        <w:t>二</w:t>
      </w:r>
      <w:r>
        <w:rPr>
          <w:rFonts w:ascii="Times New Roman" w:hAnsi="Times New Roman" w:eastAsia="楷体"/>
          <w:bCs/>
          <w:sz w:val="32"/>
          <w:szCs w:val="32"/>
        </w:rPr>
        <w:t>）加强项目宣传力度，</w:t>
      </w:r>
      <w:r>
        <w:rPr>
          <w:rFonts w:hint="eastAsia" w:ascii="Times New Roman" w:hAnsi="Times New Roman" w:eastAsia="楷体"/>
          <w:bCs/>
          <w:sz w:val="32"/>
          <w:szCs w:val="32"/>
        </w:rPr>
        <w:t>构建长效管理机制</w:t>
      </w:r>
      <w:bookmarkEnd w:id="107"/>
      <w:bookmarkEnd w:id="108"/>
      <w:bookmarkEnd w:id="109"/>
      <w:bookmarkEnd w:id="110"/>
    </w:p>
    <w:p>
      <w:pPr>
        <w:shd w:val="clear" w:color="auto" w:fill="FFFFFF"/>
        <w:spacing w:line="560" w:lineRule="exact"/>
        <w:ind w:firstLine="643" w:firstLineChars="200"/>
        <w:rPr>
          <w:rFonts w:hint="eastAsia" w:ascii="Times New Roman" w:hAnsi="Times New Roman" w:eastAsia="仿宋"/>
          <w:bCs/>
          <w:sz w:val="32"/>
          <w:szCs w:val="32"/>
          <w:lang w:val="en-US" w:eastAsia="zh-CN"/>
        </w:rPr>
      </w:pPr>
      <w:r>
        <w:rPr>
          <w:rFonts w:ascii="Times New Roman" w:hAnsi="Times New Roman" w:eastAsia="仿宋"/>
          <w:b/>
          <w:sz w:val="32"/>
          <w:szCs w:val="32"/>
        </w:rPr>
        <w:t>一是</w:t>
      </w:r>
      <w:r>
        <w:rPr>
          <w:rFonts w:ascii="Times New Roman" w:hAnsi="Times New Roman" w:eastAsia="仿宋"/>
          <w:bCs/>
          <w:sz w:val="32"/>
          <w:szCs w:val="32"/>
        </w:rPr>
        <w:t>加强营造宣传氛围，围绕“残疾人希望了解的”和“需要残疾人了解的”这两个重点，及时宣传报道如康家园建设工作的重点建设内容</w:t>
      </w:r>
      <w:r>
        <w:rPr>
          <w:rFonts w:hint="eastAsia" w:ascii="Times New Roman" w:hAnsi="Times New Roman" w:eastAsia="仿宋"/>
          <w:bCs/>
          <w:sz w:val="32"/>
          <w:szCs w:val="32"/>
          <w:lang w:eastAsia="zh-CN"/>
        </w:rPr>
        <w:t>。</w:t>
      </w:r>
      <w:r>
        <w:rPr>
          <w:rFonts w:ascii="Times New Roman" w:hAnsi="Times New Roman" w:eastAsia="仿宋"/>
          <w:bCs/>
          <w:sz w:val="32"/>
          <w:szCs w:val="32"/>
        </w:rPr>
        <w:t>充分利用传统媒体和新媒体</w:t>
      </w:r>
      <w:r>
        <w:rPr>
          <w:rFonts w:hint="eastAsia" w:ascii="Times New Roman" w:hAnsi="Times New Roman" w:eastAsia="仿宋"/>
          <w:bCs/>
          <w:sz w:val="32"/>
          <w:szCs w:val="32"/>
          <w:lang w:eastAsia="zh-CN"/>
        </w:rPr>
        <w:t>，</w:t>
      </w:r>
      <w:r>
        <w:rPr>
          <w:rFonts w:ascii="Times New Roman" w:hAnsi="Times New Roman" w:eastAsia="仿宋"/>
          <w:bCs/>
          <w:sz w:val="32"/>
          <w:szCs w:val="32"/>
        </w:rPr>
        <w:t>总结挖掘先进经验做法，加强宣传其“服务一人、解放一家、稳定一方”的重要作用，在全社会营造支持“如康家园建设”的浓厚氛围，为更多的残疾人提供服务</w:t>
      </w:r>
      <w:r>
        <w:rPr>
          <w:rFonts w:hint="eastAsia" w:ascii="Times New Roman" w:hAnsi="Times New Roman" w:eastAsia="仿宋"/>
          <w:bCs/>
          <w:sz w:val="32"/>
          <w:szCs w:val="32"/>
          <w:lang w:eastAsia="zh-CN"/>
        </w:rPr>
        <w:t>；</w:t>
      </w:r>
      <w:r>
        <w:rPr>
          <w:rFonts w:hint="eastAsia" w:ascii="Times New Roman" w:hAnsi="Times New Roman" w:eastAsia="仿宋"/>
          <w:b/>
          <w:bCs w:val="0"/>
          <w:sz w:val="32"/>
          <w:szCs w:val="32"/>
          <w:lang w:val="en-US" w:eastAsia="zh-CN"/>
        </w:rPr>
        <w:t>二是</w:t>
      </w:r>
      <w:r>
        <w:rPr>
          <w:rFonts w:hint="eastAsia" w:ascii="Times New Roman" w:hAnsi="Times New Roman" w:eastAsia="仿宋"/>
          <w:bCs/>
          <w:sz w:val="32"/>
          <w:szCs w:val="32"/>
        </w:rPr>
        <w:t>项目完成后，</w:t>
      </w:r>
      <w:r>
        <w:rPr>
          <w:rFonts w:ascii="Times New Roman" w:hAnsi="Times New Roman" w:eastAsia="仿宋"/>
          <w:bCs/>
          <w:sz w:val="32"/>
          <w:szCs w:val="32"/>
        </w:rPr>
        <w:t>建立</w:t>
      </w:r>
      <w:r>
        <w:rPr>
          <w:rFonts w:hint="eastAsia" w:ascii="Times New Roman" w:hAnsi="Times New Roman" w:eastAsia="仿宋"/>
          <w:bCs/>
          <w:sz w:val="32"/>
          <w:szCs w:val="32"/>
          <w:lang w:val="en-US" w:eastAsia="zh-CN"/>
        </w:rPr>
        <w:t>残疾人辅助器具长效</w:t>
      </w:r>
      <w:r>
        <w:rPr>
          <w:rFonts w:ascii="Times New Roman" w:hAnsi="Times New Roman" w:eastAsia="仿宋"/>
          <w:bCs/>
          <w:sz w:val="32"/>
          <w:szCs w:val="32"/>
        </w:rPr>
        <w:t>管理与服务机制</w:t>
      </w:r>
      <w:r>
        <w:rPr>
          <w:rFonts w:hint="eastAsia" w:ascii="Times New Roman" w:hAnsi="Times New Roman" w:eastAsia="仿宋"/>
          <w:bCs/>
          <w:sz w:val="32"/>
          <w:szCs w:val="32"/>
        </w:rPr>
        <w:t>，为项目后续运行提供有效保障</w:t>
      </w:r>
      <w:r>
        <w:rPr>
          <w:rFonts w:hint="eastAsia" w:ascii="Times New Roman" w:hAnsi="Times New Roman" w:eastAsia="仿宋"/>
          <w:bCs/>
          <w:sz w:val="32"/>
          <w:szCs w:val="32"/>
          <w:lang w:eastAsia="zh-CN"/>
        </w:rPr>
        <w:t>，</w:t>
      </w:r>
      <w:r>
        <w:rPr>
          <w:rFonts w:hint="eastAsia" w:ascii="Times New Roman" w:hAnsi="Times New Roman" w:eastAsia="仿宋"/>
          <w:bCs/>
          <w:sz w:val="32"/>
          <w:szCs w:val="32"/>
          <w:lang w:val="en-US" w:eastAsia="zh-CN"/>
        </w:rPr>
        <w:t>更加有效地保障残疾人的效益</w:t>
      </w:r>
      <w:r>
        <w:rPr>
          <w:rFonts w:hint="eastAsia" w:ascii="Times New Roman" w:hAnsi="Times New Roman" w:eastAsia="仿宋"/>
          <w:bCs/>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hAnsi="Times New Roman" w:eastAsia="华文中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hAnsi="Times New Roman" w:eastAsia="华文中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hAnsi="Times New Roman" w:eastAsia="华文中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hAnsi="Times New Roman" w:eastAsia="华文中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hAnsi="Times New Roman" w:eastAsia="华文中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ascii="Times New Roman" w:hAnsi="Times New Roman" w:eastAsia="华文中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华文中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华文中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华文中宋"/>
          <w:sz w:val="36"/>
          <w:szCs w:val="36"/>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Times New Roman" w:hAnsi="Times New Roman" w:eastAsia="华文中宋"/>
          <w:sz w:val="36"/>
          <w:szCs w:val="36"/>
        </w:rPr>
      </w:pPr>
    </w:p>
    <w:p>
      <w:pPr>
        <w:spacing w:line="580" w:lineRule="exact"/>
        <w:jc w:val="center"/>
        <w:outlineLvl w:val="0"/>
        <w:rPr>
          <w:rFonts w:hint="eastAsia" w:ascii="Times New Roman" w:hAnsi="Times New Roman" w:eastAsia="华文中宋"/>
          <w:sz w:val="36"/>
          <w:szCs w:val="36"/>
        </w:rPr>
        <w:sectPr>
          <w:footerReference r:id="rId5" w:type="default"/>
          <w:pgSz w:w="11906" w:h="16838"/>
          <w:pgMar w:top="1701" w:right="1588" w:bottom="1701" w:left="1588" w:header="851" w:footer="992" w:gutter="0"/>
          <w:pgNumType w:fmt="upperRoman" w:start="1"/>
          <w:cols w:space="425" w:num="1"/>
          <w:docGrid w:linePitch="312" w:charSpace="0"/>
        </w:sectPr>
      </w:pPr>
      <w:bookmarkStart w:id="111" w:name="_Toc27109"/>
    </w:p>
    <w:p>
      <w:pPr>
        <w:spacing w:line="580" w:lineRule="exact"/>
        <w:jc w:val="center"/>
        <w:outlineLvl w:val="0"/>
        <w:rPr>
          <w:rFonts w:ascii="Times New Roman" w:hAnsi="Times New Roman" w:eastAsia="华文中宋"/>
          <w:sz w:val="36"/>
          <w:szCs w:val="36"/>
        </w:rPr>
      </w:pPr>
      <w:bookmarkStart w:id="112" w:name="_Toc10354"/>
      <w:bookmarkStart w:id="113" w:name="_Toc10149"/>
      <w:bookmarkStart w:id="114" w:name="_Toc4479"/>
      <w:r>
        <w:rPr>
          <w:rFonts w:hint="eastAsia" w:ascii="Times New Roman" w:hAnsi="Times New Roman" w:eastAsia="华文中宋"/>
          <w:sz w:val="36"/>
          <w:szCs w:val="36"/>
        </w:rPr>
        <w:t>正文部分</w:t>
      </w:r>
      <w:bookmarkEnd w:id="8"/>
      <w:bookmarkEnd w:id="89"/>
      <w:bookmarkEnd w:id="90"/>
      <w:bookmarkEnd w:id="111"/>
      <w:bookmarkEnd w:id="112"/>
      <w:bookmarkEnd w:id="113"/>
      <w:bookmarkEnd w:id="114"/>
    </w:p>
    <w:p>
      <w:pPr>
        <w:spacing w:line="560" w:lineRule="exact"/>
        <w:ind w:firstLine="640" w:firstLineChars="200"/>
        <w:rPr>
          <w:rFonts w:ascii="Times New Roman" w:hAnsi="Times New Roman" w:eastAsia="黑体"/>
          <w:sz w:val="32"/>
          <w:szCs w:val="32"/>
        </w:rPr>
      </w:pPr>
      <w:bookmarkStart w:id="115" w:name="_Toc71574202"/>
      <w:bookmarkStart w:id="116" w:name="_Toc13979"/>
      <w:bookmarkStart w:id="117" w:name="_Toc134"/>
    </w:p>
    <w:p>
      <w:pPr>
        <w:spacing w:line="560" w:lineRule="exact"/>
        <w:ind w:firstLine="640" w:firstLineChars="200"/>
        <w:outlineLvl w:val="0"/>
        <w:rPr>
          <w:rFonts w:ascii="Times New Roman" w:hAnsi="Times New Roman" w:eastAsia="黑体"/>
          <w:sz w:val="32"/>
          <w:szCs w:val="32"/>
        </w:rPr>
      </w:pPr>
      <w:bookmarkStart w:id="118" w:name="_Toc22602"/>
      <w:bookmarkStart w:id="119" w:name="_Toc30792"/>
      <w:bookmarkStart w:id="120" w:name="_Toc21160"/>
      <w:bookmarkStart w:id="121" w:name="_Toc14846"/>
      <w:bookmarkStart w:id="122" w:name="_Toc25946"/>
      <w:r>
        <w:rPr>
          <w:rFonts w:ascii="Times New Roman" w:hAnsi="Times New Roman" w:eastAsia="黑体"/>
          <w:sz w:val="32"/>
          <w:szCs w:val="32"/>
        </w:rPr>
        <w:t>一、</w:t>
      </w:r>
      <w:r>
        <w:rPr>
          <w:rFonts w:hint="eastAsia" w:ascii="Times New Roman" w:hAnsi="Times New Roman" w:eastAsia="黑体"/>
          <w:sz w:val="32"/>
          <w:szCs w:val="32"/>
          <w:lang w:val="en-US" w:eastAsia="zh-CN"/>
        </w:rPr>
        <w:t>项目</w:t>
      </w:r>
      <w:r>
        <w:rPr>
          <w:rFonts w:ascii="Times New Roman" w:hAnsi="Times New Roman" w:eastAsia="黑体"/>
          <w:sz w:val="32"/>
          <w:szCs w:val="32"/>
        </w:rPr>
        <w:t>基本情况</w:t>
      </w:r>
      <w:bookmarkEnd w:id="115"/>
      <w:bookmarkEnd w:id="116"/>
      <w:bookmarkEnd w:id="117"/>
      <w:bookmarkEnd w:id="118"/>
      <w:bookmarkEnd w:id="119"/>
      <w:bookmarkEnd w:id="120"/>
      <w:bookmarkEnd w:id="121"/>
      <w:bookmarkEnd w:id="122"/>
    </w:p>
    <w:p>
      <w:pPr>
        <w:spacing w:line="560" w:lineRule="exact"/>
        <w:ind w:firstLine="640" w:firstLineChars="200"/>
        <w:jc w:val="left"/>
        <w:outlineLvl w:val="1"/>
        <w:rPr>
          <w:rFonts w:ascii="Times New Roman" w:hAnsi="Times New Roman" w:eastAsia="楷体"/>
          <w:sz w:val="32"/>
          <w:szCs w:val="32"/>
        </w:rPr>
      </w:pPr>
      <w:bookmarkStart w:id="123" w:name="_Toc10075"/>
      <w:bookmarkStart w:id="124" w:name="_Toc9599"/>
      <w:bookmarkStart w:id="125" w:name="_Toc71574203"/>
      <w:bookmarkStart w:id="126" w:name="_Toc6537"/>
      <w:bookmarkStart w:id="127" w:name="_Toc12099"/>
      <w:bookmarkStart w:id="128" w:name="_Toc212"/>
      <w:bookmarkStart w:id="129" w:name="_Toc21055"/>
      <w:bookmarkStart w:id="130" w:name="_Toc23501"/>
      <w:r>
        <w:rPr>
          <w:rFonts w:ascii="Times New Roman" w:hAnsi="Times New Roman" w:eastAsia="楷体"/>
          <w:sz w:val="32"/>
          <w:szCs w:val="32"/>
        </w:rPr>
        <w:t>（一）项目概况</w:t>
      </w:r>
      <w:bookmarkEnd w:id="123"/>
      <w:bookmarkEnd w:id="124"/>
      <w:bookmarkEnd w:id="125"/>
      <w:bookmarkEnd w:id="126"/>
      <w:bookmarkEnd w:id="127"/>
      <w:bookmarkEnd w:id="128"/>
      <w:bookmarkEnd w:id="129"/>
      <w:bookmarkEnd w:id="130"/>
    </w:p>
    <w:p>
      <w:pPr>
        <w:spacing w:line="560" w:lineRule="exact"/>
        <w:ind w:firstLine="643" w:firstLineChars="200"/>
        <w:jc w:val="left"/>
        <w:outlineLvl w:val="2"/>
        <w:rPr>
          <w:rFonts w:ascii="Times New Roman" w:hAnsi="Times New Roman" w:eastAsia="仿宋"/>
          <w:b/>
          <w:bCs/>
          <w:sz w:val="32"/>
          <w:szCs w:val="32"/>
        </w:rPr>
      </w:pPr>
      <w:bookmarkStart w:id="131" w:name="_Toc1336"/>
      <w:bookmarkStart w:id="132" w:name="_Toc26637"/>
      <w:bookmarkStart w:id="133" w:name="_Toc28126"/>
      <w:bookmarkStart w:id="134" w:name="_Toc7578"/>
      <w:bookmarkStart w:id="135" w:name="_Toc71574204"/>
      <w:bookmarkStart w:id="136" w:name="_Toc28083"/>
      <w:bookmarkStart w:id="137" w:name="_Toc71573228"/>
      <w:bookmarkStart w:id="138" w:name="_Toc5867"/>
      <w:bookmarkStart w:id="139" w:name="_Toc20375"/>
      <w:r>
        <w:rPr>
          <w:rFonts w:ascii="Times New Roman" w:hAnsi="Times New Roman" w:eastAsia="仿宋"/>
          <w:b/>
          <w:bCs/>
          <w:sz w:val="32"/>
          <w:szCs w:val="32"/>
        </w:rPr>
        <w:t>1.项目立项背景</w:t>
      </w:r>
      <w:bookmarkEnd w:id="131"/>
      <w:bookmarkEnd w:id="132"/>
      <w:bookmarkEnd w:id="133"/>
      <w:bookmarkEnd w:id="134"/>
      <w:bookmarkEnd w:id="135"/>
      <w:bookmarkEnd w:id="136"/>
      <w:bookmarkEnd w:id="137"/>
      <w:bookmarkEnd w:id="138"/>
      <w:bookmarkEnd w:id="139"/>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枣庄高新区社会事务综合服务中心为枣庄市政府办公室所属副处级公益一类事业单位，为学习贯彻习近平新时代中国特色社会主义思想，党中央、国务院关于社会事务工作的方针政策和决策部署，落实省委、省政府、市委、市政府工作要求，负责贯彻社会救助政策、标准，统筹社会救助体系建设、负责城乡居民最低生活保障、特困人员救助供养、临时救助、生活无着落流浪乞讨人员救助及农村留守儿童、留守老人的关爱工作。</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根据《枣庄市人民政府关于印发</w:t>
      </w:r>
      <w:r>
        <w:rPr>
          <w:rFonts w:hint="eastAsia" w:ascii="Times New Roman" w:hAnsi="Times New Roman" w:eastAsia="仿宋"/>
          <w:sz w:val="32"/>
          <w:szCs w:val="32"/>
          <w:lang w:val="en-US" w:eastAsia="zh-CN"/>
        </w:rPr>
        <w:t>&lt;</w:t>
      </w:r>
      <w:r>
        <w:rPr>
          <w:rFonts w:ascii="Times New Roman" w:hAnsi="Times New Roman" w:eastAsia="仿宋"/>
          <w:sz w:val="32"/>
          <w:szCs w:val="32"/>
        </w:rPr>
        <w:t>枣庄市国民经济和社会发展第十四个五年规划和2035年远景目标纲要</w:t>
      </w:r>
      <w:r>
        <w:rPr>
          <w:rFonts w:hint="eastAsia" w:ascii="Times New Roman" w:hAnsi="Times New Roman" w:eastAsia="仿宋"/>
          <w:sz w:val="32"/>
          <w:szCs w:val="32"/>
          <w:lang w:val="en-US" w:eastAsia="zh-CN"/>
        </w:rPr>
        <w:t>&gt;</w:t>
      </w:r>
      <w:r>
        <w:rPr>
          <w:rFonts w:ascii="Times New Roman" w:hAnsi="Times New Roman" w:eastAsia="仿宋"/>
          <w:sz w:val="32"/>
          <w:szCs w:val="32"/>
        </w:rPr>
        <w:t>的通知》和《山东省民政厅 山东省发展和改革委员会关于印发&lt;山东省民政事业“十四五”发展规划&gt;的通知》《山东省人民政府关于建立残疾儿童康复救助制度的通知》（鲁政发〔2018〕20号）《枣庄市人民政府办公室关于印发</w:t>
      </w:r>
      <w:r>
        <w:rPr>
          <w:rFonts w:hint="eastAsia" w:ascii="Times New Roman" w:hAnsi="Times New Roman" w:eastAsia="仿宋"/>
          <w:sz w:val="32"/>
          <w:szCs w:val="32"/>
          <w:lang w:val="en-US" w:eastAsia="zh-CN"/>
        </w:rPr>
        <w:t>&lt;</w:t>
      </w:r>
      <w:r>
        <w:rPr>
          <w:rFonts w:ascii="Times New Roman" w:hAnsi="Times New Roman" w:eastAsia="仿宋"/>
          <w:sz w:val="32"/>
          <w:szCs w:val="32"/>
        </w:rPr>
        <w:t>枣庄市创建白内障无障碍市实施方案</w:t>
      </w:r>
      <w:r>
        <w:rPr>
          <w:rFonts w:hint="eastAsia" w:ascii="Times New Roman" w:hAnsi="Times New Roman" w:eastAsia="仿宋"/>
          <w:sz w:val="32"/>
          <w:szCs w:val="32"/>
          <w:lang w:val="en-US" w:eastAsia="zh-CN"/>
        </w:rPr>
        <w:t>&gt;</w:t>
      </w:r>
      <w:r>
        <w:rPr>
          <w:rFonts w:ascii="Times New Roman" w:hAnsi="Times New Roman" w:eastAsia="仿宋"/>
          <w:sz w:val="32"/>
          <w:szCs w:val="32"/>
        </w:rPr>
        <w:t>的通知》（枣政办字〔2007〕21号）等相关文件要求进一步完善和建立枣庄市残疾人康复救助制度，保障残疾人基本康复服务需求。</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项目实施</w:t>
      </w:r>
      <w:bookmarkStart w:id="140" w:name="_Toc71573229"/>
      <w:bookmarkStart w:id="141" w:name="_Toc71574205"/>
      <w:r>
        <w:rPr>
          <w:rFonts w:ascii="Times New Roman" w:hAnsi="Times New Roman" w:eastAsia="仿宋"/>
          <w:sz w:val="32"/>
          <w:szCs w:val="32"/>
        </w:rPr>
        <w:t>实施内容主要分为</w:t>
      </w:r>
      <w:r>
        <w:rPr>
          <w:rFonts w:hint="eastAsia" w:ascii="Times New Roman" w:hAnsi="Times New Roman" w:eastAsia="仿宋"/>
          <w:sz w:val="32"/>
          <w:szCs w:val="32"/>
          <w:lang w:val="en-US" w:eastAsia="zh-CN"/>
        </w:rPr>
        <w:t>九</w:t>
      </w:r>
      <w:r>
        <w:rPr>
          <w:rFonts w:ascii="Times New Roman" w:hAnsi="Times New Roman" w:eastAsia="仿宋"/>
          <w:sz w:val="32"/>
          <w:szCs w:val="32"/>
        </w:rPr>
        <w:t>个板块：一是残疾儿童康复救助、二是扶残助学与励志助学、三是重症患者政府兜底、四是采购高排仪（用于街道人员办理残疾证）、五是白内障手术免费救治、六是残疾人辅助器具配置和无障碍改造、七是专职干事补贴（镇街残疾人专职干事补贴）、八是如康家园建设（依托基层公共服务设施建设集日间照料、辅助性就业、社区康复、技能培训、文体活动、志愿服务、交流互助等多功能于一体的综合性服务机构）、九是动态更新经费（用于高新区残疾人基本服务状况信息动态更新经费）。</w:t>
      </w:r>
    </w:p>
    <w:p>
      <w:pPr>
        <w:spacing w:line="560" w:lineRule="exact"/>
        <w:ind w:firstLine="640" w:firstLineChars="200"/>
        <w:jc w:val="left"/>
        <w:outlineLvl w:val="2"/>
        <w:rPr>
          <w:rFonts w:ascii="Times New Roman" w:hAnsi="Times New Roman" w:eastAsia="仿宋"/>
          <w:sz w:val="32"/>
          <w:szCs w:val="32"/>
        </w:rPr>
      </w:pPr>
      <w:bookmarkStart w:id="142" w:name="_Toc2832"/>
      <w:bookmarkStart w:id="143" w:name="_Toc12987"/>
      <w:bookmarkStart w:id="144" w:name="_Toc143"/>
      <w:bookmarkStart w:id="145" w:name="_Toc13155"/>
      <w:bookmarkStart w:id="146" w:name="_Toc17114"/>
      <w:bookmarkStart w:id="147" w:name="_Toc21027"/>
      <w:bookmarkStart w:id="148" w:name="_Toc16600"/>
      <w:r>
        <w:rPr>
          <w:rFonts w:ascii="Times New Roman" w:hAnsi="Times New Roman" w:eastAsia="仿宋"/>
          <w:sz w:val="32"/>
          <w:szCs w:val="32"/>
        </w:rPr>
        <w:t>2.项目资金投入和使用情况</w:t>
      </w:r>
      <w:bookmarkEnd w:id="140"/>
      <w:bookmarkEnd w:id="141"/>
      <w:bookmarkEnd w:id="142"/>
      <w:bookmarkEnd w:id="143"/>
      <w:bookmarkEnd w:id="144"/>
      <w:bookmarkEnd w:id="145"/>
      <w:bookmarkEnd w:id="146"/>
      <w:bookmarkEnd w:id="147"/>
      <w:bookmarkEnd w:id="148"/>
    </w:p>
    <w:p>
      <w:pPr>
        <w:pStyle w:val="59"/>
        <w:widowControl w:val="0"/>
        <w:spacing w:line="560" w:lineRule="exact"/>
        <w:ind w:firstLine="640" w:firstLineChars="200"/>
        <w:jc w:val="left"/>
        <w:rPr>
          <w:rFonts w:ascii="Times New Roman" w:hAnsi="Times New Roman" w:eastAsia="仿宋"/>
          <w:sz w:val="32"/>
          <w:szCs w:val="32"/>
        </w:rPr>
      </w:pPr>
      <w:bookmarkStart w:id="149" w:name="_Toc29131"/>
      <w:bookmarkStart w:id="150" w:name="_Toc4283"/>
      <w:bookmarkStart w:id="151" w:name="_Toc71574206"/>
      <w:bookmarkStart w:id="152" w:name="_Toc8176"/>
      <w:bookmarkStart w:id="153" w:name="_Toc71573230"/>
      <w:r>
        <w:rPr>
          <w:rFonts w:hint="eastAsia" w:ascii="Times New Roman" w:hAnsi="Times New Roman" w:eastAsia="仿宋"/>
          <w:sz w:val="32"/>
          <w:szCs w:val="32"/>
          <w:lang w:eastAsia="zh-CN"/>
        </w:rPr>
        <w:t>2021年度枣庄高新区残疾人康复专项经费项目</w:t>
      </w:r>
      <w:r>
        <w:rPr>
          <w:rFonts w:ascii="Times New Roman" w:hAnsi="Times New Roman" w:eastAsia="仿宋"/>
          <w:sz w:val="32"/>
          <w:szCs w:val="32"/>
        </w:rPr>
        <w:t>（以下简称为“项目”）预算资金100.00万元，市级财政共投入资金100.00万元，已全部到账</w:t>
      </w:r>
      <w:r>
        <w:rPr>
          <w:rFonts w:hint="eastAsia" w:ascii="Times New Roman" w:hAnsi="Times New Roman" w:eastAsia="仿宋"/>
          <w:sz w:val="32"/>
          <w:szCs w:val="32"/>
        </w:rPr>
        <w:t>，</w:t>
      </w:r>
      <w:r>
        <w:rPr>
          <w:rFonts w:ascii="Times New Roman" w:hAnsi="Times New Roman" w:eastAsia="仿宋"/>
          <w:sz w:val="32"/>
          <w:szCs w:val="32"/>
        </w:rPr>
        <w:t>用于残疾人康复专项经费，截</w:t>
      </w:r>
      <w:r>
        <w:rPr>
          <w:rFonts w:hint="eastAsia" w:ascii="Times New Roman" w:hAnsi="Times New Roman" w:eastAsia="仿宋"/>
          <w:sz w:val="32"/>
          <w:szCs w:val="32"/>
          <w:lang w:val="en-US" w:eastAsia="zh-CN"/>
        </w:rPr>
        <w:t>至</w:t>
      </w:r>
      <w:r>
        <w:rPr>
          <w:rFonts w:ascii="Times New Roman" w:hAnsi="Times New Roman" w:eastAsia="仿宋"/>
          <w:sz w:val="32"/>
          <w:szCs w:val="32"/>
        </w:rPr>
        <w:t>2021年12月31日项目资金预算执行率为100.00%。</w:t>
      </w:r>
    </w:p>
    <w:p>
      <w:pPr>
        <w:spacing w:line="560" w:lineRule="exact"/>
        <w:ind w:firstLine="640" w:firstLineChars="200"/>
        <w:jc w:val="left"/>
        <w:outlineLvl w:val="2"/>
        <w:rPr>
          <w:rFonts w:ascii="Times New Roman" w:hAnsi="Times New Roman" w:eastAsia="仿宋"/>
          <w:sz w:val="32"/>
          <w:szCs w:val="32"/>
        </w:rPr>
      </w:pPr>
      <w:bookmarkStart w:id="154" w:name="_Toc16670"/>
      <w:bookmarkStart w:id="155" w:name="_Toc19726"/>
      <w:bookmarkStart w:id="156" w:name="_Toc32184"/>
      <w:bookmarkStart w:id="157" w:name="_Toc16883"/>
      <w:r>
        <w:rPr>
          <w:rFonts w:ascii="Times New Roman" w:hAnsi="Times New Roman" w:eastAsia="仿宋"/>
          <w:sz w:val="32"/>
          <w:szCs w:val="32"/>
        </w:rPr>
        <w:t>3.项目内容和实施情况</w:t>
      </w:r>
      <w:bookmarkEnd w:id="149"/>
      <w:bookmarkEnd w:id="150"/>
      <w:bookmarkEnd w:id="151"/>
      <w:bookmarkEnd w:id="152"/>
      <w:bookmarkEnd w:id="153"/>
      <w:bookmarkEnd w:id="154"/>
      <w:bookmarkEnd w:id="155"/>
      <w:bookmarkEnd w:id="156"/>
      <w:bookmarkEnd w:id="157"/>
    </w:p>
    <w:p>
      <w:pPr>
        <w:pStyle w:val="59"/>
        <w:widowControl w:val="0"/>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枣庄高新区</w:t>
      </w:r>
      <w:r>
        <w:rPr>
          <w:rFonts w:ascii="Times New Roman" w:hAnsi="Times New Roman" w:eastAsia="仿宋"/>
          <w:sz w:val="32"/>
          <w:szCs w:val="32"/>
        </w:rPr>
        <w:t>财政局以财政拨款的方式将专项资金100.00万元拨入</w:t>
      </w:r>
      <w:r>
        <w:rPr>
          <w:rFonts w:hint="eastAsia" w:ascii="Times New Roman" w:hAnsi="Times New Roman" w:eastAsia="仿宋"/>
          <w:sz w:val="32"/>
          <w:szCs w:val="32"/>
        </w:rPr>
        <w:t>枣庄高新区</w:t>
      </w:r>
      <w:r>
        <w:rPr>
          <w:rFonts w:ascii="Times New Roman" w:hAnsi="Times New Roman" w:eastAsia="仿宋"/>
          <w:sz w:val="32"/>
          <w:szCs w:val="32"/>
        </w:rPr>
        <w:t>社会事务综合服务中心用于残疾人康复专项经费，项目具体实施内容为：</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一是根据《枣庄市残疾儿童康复救助实施办法的通知》对薛城区0-17岁残疾儿童实施康复救助共计支出资金54.00万元。</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二是根据《枣残联函〔2020〕38号关于做好2020年度扶残助学、励志助学项目工作的通知》对薛城区残疾人家庭及低保学生进行救助共计支出资金4.30万元。</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三是根据《枣庄市人民政府办公室关于进一步加强严重精神障碍患者救治与服务管理工作的意见》（枣政办发〔2018〕26号）对于在2018年前实行建档立卡的贫困严重精神障碍患者和危险性评估三级及以上的患者全部实行免费救治共计支出资金47.46万元。</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四是采购高拍仪，为贯彻落实省残联相关会议精神，确保枣庄市薛城区残疾人证“跨省通办”如期实现共计支出资金0.29万元。</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五是根据《2019年全市残疾人康复管理及经费使用说明》的通知，对高新区辖内实施白内障手术的人员进行补助共计支出资金2.83万元。</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六是根据枣残联函〔2021〕31号《关于全面完成2021年全市困难低保重度残疾人家庭无障碍改造任务的通知》巩固残疾人脱贫成果，提高残疾人生活质量采购一批轮椅、太阳能、助行器、助行车等辅助器具共计支出资金10.29万元。</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七是根据《关于拨付2021年度镇街残疾人专职干事工资补贴的通知》对高新区现有的3名专职干事进行补贴共计支出资金3.60万元。</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八是根据枣残联函〔2021〕6号关于印发《枣庄市“如康家园”残疾人之家建设工作实施方案》为残疾人提供一个如健康人群一样融入社会，共享经济社会发展成果的家园，共计支出资金7.3万元。</w:t>
      </w:r>
    </w:p>
    <w:p>
      <w:pPr>
        <w:pStyle w:val="59"/>
        <w:widowControl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九是根据枣庄市残疾人联合会下发的《关于拨付枣庄市残疾人基本服务状况动态更新经费的通知》专项资金用于残疾人基本服务状况信息动态更新共计支出资金0.9万元。具体支出资金金额见下表：</w:t>
      </w:r>
    </w:p>
    <w:p>
      <w:pPr>
        <w:pStyle w:val="59"/>
        <w:widowControl w:val="0"/>
        <w:spacing w:line="560" w:lineRule="exact"/>
        <w:ind w:firstLine="560" w:firstLineChars="200"/>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lang w:val="en-US" w:eastAsia="zh-CN"/>
        </w:rPr>
        <w:t xml:space="preserve">2 </w:t>
      </w:r>
      <w:r>
        <w:rPr>
          <w:rFonts w:ascii="Times New Roman" w:hAnsi="Times New Roman" w:eastAsia="黑体"/>
          <w:sz w:val="28"/>
          <w:szCs w:val="28"/>
        </w:rPr>
        <w:t>残疾人康复专项经费支出明细表</w:t>
      </w:r>
    </w:p>
    <w:p>
      <w:pPr>
        <w:pStyle w:val="59"/>
        <w:widowControl w:val="0"/>
        <w:spacing w:line="560" w:lineRule="exact"/>
        <w:ind w:firstLine="560" w:firstLineChars="200"/>
        <w:jc w:val="right"/>
        <w:rPr>
          <w:rFonts w:ascii="Times New Roman" w:hAnsi="Times New Roman" w:eastAsia="黑体"/>
          <w:sz w:val="28"/>
          <w:szCs w:val="28"/>
        </w:rPr>
      </w:pPr>
      <w:r>
        <w:rPr>
          <w:rFonts w:ascii="Times New Roman" w:hAnsi="Times New Roman" w:eastAsia="黑体"/>
          <w:sz w:val="28"/>
          <w:szCs w:val="28"/>
        </w:rPr>
        <w:t>单位：万元</w:t>
      </w:r>
    </w:p>
    <w:tbl>
      <w:tblPr>
        <w:tblStyle w:val="40"/>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1171"/>
        <w:gridCol w:w="741"/>
        <w:gridCol w:w="1058"/>
        <w:gridCol w:w="923"/>
        <w:gridCol w:w="865"/>
        <w:gridCol w:w="1149"/>
        <w:gridCol w:w="865"/>
        <w:gridCol w:w="865"/>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0"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项目内容</w:t>
            </w:r>
          </w:p>
        </w:tc>
        <w:tc>
          <w:tcPr>
            <w:tcW w:w="632"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残疾人康复救助</w:t>
            </w:r>
          </w:p>
        </w:tc>
        <w:tc>
          <w:tcPr>
            <w:tcW w:w="400"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扶残助学</w:t>
            </w:r>
          </w:p>
        </w:tc>
        <w:tc>
          <w:tcPr>
            <w:tcW w:w="571"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重症患者政府兜底</w:t>
            </w:r>
          </w:p>
        </w:tc>
        <w:tc>
          <w:tcPr>
            <w:tcW w:w="498"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政府采购高拍仪</w:t>
            </w:r>
          </w:p>
        </w:tc>
        <w:tc>
          <w:tcPr>
            <w:tcW w:w="467"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白内障手术费</w:t>
            </w:r>
          </w:p>
        </w:tc>
        <w:tc>
          <w:tcPr>
            <w:tcW w:w="620"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辅助器具+无障碍改造</w:t>
            </w:r>
          </w:p>
        </w:tc>
        <w:tc>
          <w:tcPr>
            <w:tcW w:w="467"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专职干事补贴</w:t>
            </w:r>
          </w:p>
        </w:tc>
        <w:tc>
          <w:tcPr>
            <w:tcW w:w="467"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如康家园建设</w:t>
            </w:r>
          </w:p>
        </w:tc>
        <w:tc>
          <w:tcPr>
            <w:tcW w:w="475" w:type="pct"/>
            <w:shd w:val="clear" w:color="auto" w:fill="BEBEBE" w:themeFill="background1" w:themeFillShade="BF"/>
            <w:vAlign w:val="center"/>
          </w:tcPr>
          <w:p>
            <w:pPr>
              <w:widowControl/>
              <w:spacing w:line="240" w:lineRule="auto"/>
              <w:jc w:val="center"/>
              <w:textAlignment w:val="center"/>
              <w:rPr>
                <w:rFonts w:ascii="宋体" w:hAnsi="宋体" w:eastAsia="宋体" w:cs="宋体"/>
                <w:b/>
                <w:bCs/>
                <w:color w:val="auto"/>
                <w:kern w:val="0"/>
                <w:szCs w:val="21"/>
                <w:lang w:bidi="ar"/>
              </w:rPr>
            </w:pPr>
            <w:r>
              <w:rPr>
                <w:rFonts w:hint="eastAsia" w:ascii="宋体" w:hAnsi="宋体" w:eastAsia="宋体" w:cs="宋体"/>
                <w:b/>
                <w:bCs/>
                <w:color w:val="auto"/>
                <w:kern w:val="0"/>
                <w:szCs w:val="21"/>
                <w:lang w:bidi="ar"/>
              </w:rPr>
              <w:t>动态更新经费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00"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资金明细</w:t>
            </w:r>
          </w:p>
        </w:tc>
        <w:tc>
          <w:tcPr>
            <w:tcW w:w="632"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54.00</w:t>
            </w:r>
          </w:p>
        </w:tc>
        <w:tc>
          <w:tcPr>
            <w:tcW w:w="400"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4.30</w:t>
            </w:r>
          </w:p>
        </w:tc>
        <w:tc>
          <w:tcPr>
            <w:tcW w:w="571"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47.46</w:t>
            </w:r>
          </w:p>
        </w:tc>
        <w:tc>
          <w:tcPr>
            <w:tcW w:w="498"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0.29</w:t>
            </w:r>
          </w:p>
        </w:tc>
        <w:tc>
          <w:tcPr>
            <w:tcW w:w="467"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2.83</w:t>
            </w:r>
          </w:p>
        </w:tc>
        <w:tc>
          <w:tcPr>
            <w:tcW w:w="620"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10.29</w:t>
            </w:r>
          </w:p>
        </w:tc>
        <w:tc>
          <w:tcPr>
            <w:tcW w:w="467"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3.60</w:t>
            </w:r>
          </w:p>
        </w:tc>
        <w:tc>
          <w:tcPr>
            <w:tcW w:w="467"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7.30</w:t>
            </w:r>
          </w:p>
        </w:tc>
        <w:tc>
          <w:tcPr>
            <w:tcW w:w="475" w:type="pct"/>
            <w:vAlign w:val="center"/>
          </w:tcPr>
          <w:p>
            <w:pPr>
              <w:widowControl/>
              <w:spacing w:line="240" w:lineRule="auto"/>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00" w:type="pct"/>
            <w:vAlign w:val="center"/>
          </w:tcPr>
          <w:p>
            <w:pPr>
              <w:pStyle w:val="59"/>
              <w:widowControl w:val="0"/>
              <w:spacing w:line="240" w:lineRule="auto"/>
              <w:jc w:val="center"/>
              <w:rPr>
                <w:rFonts w:ascii="宋体" w:hAnsi="宋体" w:cs="宋体"/>
              </w:rPr>
            </w:pPr>
            <w:r>
              <w:rPr>
                <w:rFonts w:hint="eastAsia" w:ascii="宋体" w:hAnsi="宋体" w:cs="宋体"/>
              </w:rPr>
              <w:t>合计</w:t>
            </w:r>
          </w:p>
        </w:tc>
        <w:tc>
          <w:tcPr>
            <w:tcW w:w="4599" w:type="pct"/>
            <w:gridSpan w:val="9"/>
            <w:vAlign w:val="center"/>
          </w:tcPr>
          <w:p>
            <w:pPr>
              <w:widowControl/>
              <w:spacing w:line="240" w:lineRule="auto"/>
              <w:jc w:val="center"/>
              <w:textAlignment w:val="center"/>
              <w:rPr>
                <w:rFonts w:ascii="宋体" w:hAnsi="宋体" w:eastAsia="宋体" w:cs="宋体"/>
                <w:kern w:val="0"/>
                <w:szCs w:val="21"/>
              </w:rPr>
            </w:pPr>
            <w:r>
              <w:rPr>
                <w:rFonts w:hint="eastAsia" w:ascii="宋体" w:hAnsi="宋体" w:eastAsia="宋体" w:cs="宋体"/>
                <w:kern w:val="0"/>
                <w:szCs w:val="21"/>
              </w:rPr>
              <w:t>130.97</w:t>
            </w:r>
          </w:p>
        </w:tc>
      </w:tr>
    </w:tbl>
    <w:p>
      <w:pPr>
        <w:pStyle w:val="59"/>
        <w:widowControl w:val="0"/>
        <w:spacing w:line="560" w:lineRule="exact"/>
        <w:rPr>
          <w:rFonts w:ascii="Times New Roman" w:hAnsi="Times New Roman" w:eastAsia="仿宋_GB2312"/>
          <w:sz w:val="32"/>
          <w:szCs w:val="32"/>
        </w:rPr>
      </w:pPr>
    </w:p>
    <w:p>
      <w:pPr>
        <w:spacing w:line="560" w:lineRule="exact"/>
        <w:ind w:firstLine="640" w:firstLineChars="200"/>
        <w:jc w:val="left"/>
        <w:outlineLvl w:val="1"/>
        <w:rPr>
          <w:rFonts w:ascii="Times New Roman" w:hAnsi="Times New Roman" w:eastAsia="楷体"/>
          <w:sz w:val="32"/>
          <w:szCs w:val="32"/>
        </w:rPr>
      </w:pPr>
      <w:bookmarkStart w:id="158" w:name="_Toc14777"/>
      <w:bookmarkStart w:id="159" w:name="_Toc10002"/>
      <w:bookmarkStart w:id="160" w:name="_Toc10959"/>
      <w:bookmarkStart w:id="161" w:name="_Toc16710"/>
      <w:bookmarkStart w:id="162" w:name="_Toc71574207"/>
      <w:bookmarkStart w:id="163" w:name="_Toc10843"/>
      <w:bookmarkStart w:id="164" w:name="_Toc30693"/>
      <w:bookmarkStart w:id="165" w:name="_Toc77"/>
      <w:r>
        <w:rPr>
          <w:rFonts w:ascii="Times New Roman" w:hAnsi="Times New Roman" w:eastAsia="楷体"/>
          <w:sz w:val="32"/>
          <w:szCs w:val="32"/>
        </w:rPr>
        <w:t>（二）预期目标</w:t>
      </w:r>
      <w:bookmarkEnd w:id="158"/>
      <w:bookmarkEnd w:id="159"/>
      <w:bookmarkEnd w:id="160"/>
      <w:bookmarkEnd w:id="161"/>
      <w:bookmarkEnd w:id="162"/>
      <w:bookmarkEnd w:id="163"/>
      <w:bookmarkEnd w:id="164"/>
      <w:bookmarkEnd w:id="165"/>
    </w:p>
    <w:p>
      <w:pPr>
        <w:adjustRightInd w:val="0"/>
        <w:snapToGrid w:val="0"/>
        <w:spacing w:line="560" w:lineRule="exact"/>
        <w:ind w:firstLine="640" w:firstLineChars="200"/>
        <w:outlineLvl w:val="9"/>
        <w:rPr>
          <w:rFonts w:ascii="Times New Roman" w:hAnsi="Times New Roman" w:eastAsia="黑体"/>
          <w:sz w:val="32"/>
          <w:szCs w:val="32"/>
        </w:rPr>
      </w:pPr>
      <w:r>
        <w:rPr>
          <w:rFonts w:ascii="Times New Roman" w:hAnsi="Times New Roman" w:eastAsia="仿宋"/>
          <w:color w:val="000000"/>
          <w:sz w:val="32"/>
          <w:szCs w:val="32"/>
        </w:rPr>
        <w:t>总体绩效目标为：为40名残疾儿童提供康复服务；落实残疾人大学生励志助学政策为23名残疾人大学生发放励志助学金；落实重精患者兜底工作为辖区内523名重精患者减免医疗支援；残疾业务相关支出:采购办理残疾证和鉴定入户；白内障手术工作，为辖区内需求做白内渣手术的患者免费救治，为40名白内障患者实行免费救治；辅助器器具和无障改造，为辖区内需求辅助器具和无障碍改造的持证残疾人提供辅具适配。</w:t>
      </w:r>
      <w:bookmarkStart w:id="166" w:name="_Toc14244"/>
      <w:bookmarkStart w:id="167" w:name="_Toc71574208"/>
      <w:bookmarkStart w:id="168" w:name="_Toc13596"/>
    </w:p>
    <w:p>
      <w:pPr>
        <w:adjustRightInd w:val="0"/>
        <w:snapToGrid w:val="0"/>
        <w:spacing w:line="560" w:lineRule="exact"/>
        <w:ind w:firstLine="640" w:firstLineChars="200"/>
        <w:outlineLvl w:val="0"/>
        <w:rPr>
          <w:rFonts w:ascii="Times New Roman" w:hAnsi="Times New Roman" w:eastAsia="黑体"/>
          <w:sz w:val="32"/>
          <w:szCs w:val="32"/>
        </w:rPr>
      </w:pPr>
      <w:bookmarkStart w:id="169" w:name="_Toc1355"/>
      <w:bookmarkStart w:id="170" w:name="_Toc12729"/>
      <w:bookmarkStart w:id="171" w:name="_Toc15868"/>
      <w:r>
        <w:rPr>
          <w:rFonts w:ascii="Times New Roman" w:hAnsi="Times New Roman" w:eastAsia="黑体"/>
          <w:sz w:val="32"/>
          <w:szCs w:val="32"/>
        </w:rPr>
        <w:t>二、评价基本情况</w:t>
      </w:r>
      <w:bookmarkEnd w:id="166"/>
      <w:bookmarkEnd w:id="167"/>
      <w:bookmarkEnd w:id="168"/>
      <w:bookmarkEnd w:id="169"/>
      <w:bookmarkEnd w:id="170"/>
      <w:bookmarkEnd w:id="171"/>
    </w:p>
    <w:p>
      <w:pPr>
        <w:spacing w:line="560" w:lineRule="exact"/>
        <w:ind w:firstLine="640" w:firstLineChars="200"/>
        <w:jc w:val="left"/>
        <w:outlineLvl w:val="1"/>
        <w:rPr>
          <w:rFonts w:ascii="Times New Roman" w:hAnsi="Times New Roman" w:eastAsia="楷体"/>
          <w:sz w:val="32"/>
          <w:szCs w:val="32"/>
        </w:rPr>
      </w:pPr>
      <w:bookmarkStart w:id="172" w:name="_Toc27705"/>
      <w:bookmarkStart w:id="173" w:name="_Toc7434"/>
      <w:bookmarkStart w:id="174" w:name="_Toc25281"/>
      <w:bookmarkStart w:id="175" w:name="_Toc14810"/>
      <w:bookmarkStart w:id="176" w:name="_Toc688"/>
      <w:bookmarkStart w:id="177" w:name="_Toc3967"/>
      <w:bookmarkStart w:id="178" w:name="_Toc19934"/>
      <w:bookmarkStart w:id="179" w:name="_Toc71574209"/>
      <w:r>
        <w:rPr>
          <w:rFonts w:ascii="Times New Roman" w:hAnsi="Times New Roman" w:eastAsia="楷体"/>
          <w:sz w:val="32"/>
          <w:szCs w:val="32"/>
        </w:rPr>
        <w:t>（一）评价目的、对象和范围</w:t>
      </w:r>
      <w:bookmarkEnd w:id="172"/>
      <w:bookmarkEnd w:id="173"/>
      <w:bookmarkEnd w:id="174"/>
      <w:bookmarkEnd w:id="175"/>
      <w:bookmarkEnd w:id="176"/>
      <w:bookmarkEnd w:id="177"/>
      <w:bookmarkEnd w:id="178"/>
      <w:bookmarkEnd w:id="179"/>
    </w:p>
    <w:p>
      <w:pPr>
        <w:pStyle w:val="59"/>
        <w:spacing w:line="560" w:lineRule="exact"/>
        <w:ind w:firstLine="641"/>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1.评价目的</w:t>
      </w:r>
    </w:p>
    <w:p>
      <w:pPr>
        <w:pStyle w:val="59"/>
        <w:spacing w:line="560" w:lineRule="exact"/>
        <w:ind w:firstLine="641"/>
        <w:rPr>
          <w:rFonts w:ascii="Times New Roman" w:hAnsi="Times New Roman" w:eastAsia="仿宋"/>
          <w:sz w:val="32"/>
          <w:szCs w:val="32"/>
        </w:rPr>
      </w:pPr>
      <w:r>
        <w:rPr>
          <w:rFonts w:ascii="Times New Roman" w:hAnsi="Times New Roman" w:eastAsia="仿宋"/>
          <w:sz w:val="32"/>
          <w:szCs w:val="32"/>
        </w:rPr>
        <w:t>为扎实推进枣庄市社会事务综合服务中心残疾人康复专项经费工作落实到位，确保财政资金落到实处，取得实效，</w:t>
      </w:r>
      <w:r>
        <w:rPr>
          <w:rFonts w:hint="eastAsia" w:ascii="Times New Roman" w:hAnsi="Times New Roman" w:eastAsia="仿宋"/>
          <w:sz w:val="32"/>
          <w:szCs w:val="32"/>
        </w:rPr>
        <w:t>枣庄高新区</w:t>
      </w:r>
      <w:r>
        <w:rPr>
          <w:rFonts w:ascii="Times New Roman" w:hAnsi="Times New Roman" w:eastAsia="仿宋"/>
          <w:sz w:val="32"/>
          <w:szCs w:val="32"/>
        </w:rPr>
        <w:t>财政局委托北京华盛中天咨询有限责任公司（以下简称“评价机构”）对“</w:t>
      </w:r>
      <w:r>
        <w:rPr>
          <w:rFonts w:hint="eastAsia" w:ascii="Times New Roman" w:hAnsi="Times New Roman" w:eastAsia="仿宋"/>
          <w:sz w:val="32"/>
          <w:szCs w:val="32"/>
          <w:lang w:eastAsia="zh-CN"/>
        </w:rPr>
        <w:t>2021年度枣庄高新区残疾人康复专项经费项目</w:t>
      </w:r>
      <w:r>
        <w:rPr>
          <w:rFonts w:ascii="Times New Roman" w:hAnsi="Times New Roman" w:eastAsia="仿宋"/>
          <w:sz w:val="32"/>
          <w:szCs w:val="32"/>
        </w:rPr>
        <w:t>”进行绩效评价</w:t>
      </w:r>
      <w:r>
        <w:rPr>
          <w:rFonts w:ascii="Times New Roman" w:hAnsi="Times New Roman" w:eastAsia="仿宋"/>
          <w:color w:val="000000"/>
          <w:sz w:val="32"/>
          <w:szCs w:val="32"/>
        </w:rPr>
        <w:t>。</w:t>
      </w:r>
      <w:r>
        <w:rPr>
          <w:rFonts w:ascii="Times New Roman" w:hAnsi="Times New Roman" w:eastAsia="仿宋"/>
          <w:sz w:val="32"/>
          <w:szCs w:val="32"/>
        </w:rPr>
        <w:t>通过对项目的决策、过程、产出和效果四个方面进行客观、公正的评价，总结项目实施过程中的经验，发现问题，提出改进该项目决策、项目过程、项目产出和项目效益的具体建议，进一步加强项目管理，提高财政资金的使用效益，为下一步预算资金安排提供重要参考依据。</w:t>
      </w:r>
    </w:p>
    <w:p>
      <w:pPr>
        <w:spacing w:line="560" w:lineRule="exact"/>
        <w:ind w:firstLine="640" w:firstLineChars="200"/>
        <w:jc w:val="left"/>
        <w:outlineLvl w:val="2"/>
        <w:rPr>
          <w:rFonts w:ascii="Times New Roman" w:hAnsi="Times New Roman" w:eastAsia="仿宋"/>
          <w:sz w:val="32"/>
          <w:szCs w:val="32"/>
        </w:rPr>
      </w:pPr>
      <w:bookmarkStart w:id="180" w:name="_Toc71573235"/>
      <w:bookmarkStart w:id="181" w:name="_Toc14542"/>
      <w:bookmarkStart w:id="182" w:name="_Toc5236"/>
      <w:bookmarkStart w:id="183" w:name="_Toc14926"/>
      <w:bookmarkStart w:id="184" w:name="_Toc2846"/>
      <w:bookmarkStart w:id="185" w:name="_Toc71574211"/>
      <w:bookmarkStart w:id="186" w:name="_Toc1669"/>
      <w:bookmarkStart w:id="187" w:name="_Toc11368"/>
      <w:bookmarkStart w:id="188" w:name="_Toc3833"/>
      <w:r>
        <w:rPr>
          <w:rFonts w:ascii="Times New Roman" w:hAnsi="Times New Roman" w:eastAsia="仿宋"/>
          <w:sz w:val="32"/>
          <w:szCs w:val="32"/>
        </w:rPr>
        <w:t>2.评价对象与范围</w:t>
      </w:r>
      <w:bookmarkEnd w:id="180"/>
      <w:bookmarkEnd w:id="181"/>
      <w:bookmarkEnd w:id="182"/>
      <w:bookmarkEnd w:id="183"/>
      <w:bookmarkEnd w:id="184"/>
      <w:bookmarkEnd w:id="185"/>
      <w:bookmarkEnd w:id="186"/>
      <w:bookmarkEnd w:id="187"/>
      <w:bookmarkEnd w:id="188"/>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（1）评价对象：</w:t>
      </w:r>
      <w:r>
        <w:rPr>
          <w:rFonts w:hint="eastAsia" w:ascii="Times New Roman" w:hAnsi="Times New Roman" w:eastAsia="仿宋"/>
          <w:sz w:val="32"/>
          <w:szCs w:val="32"/>
          <w:lang w:eastAsia="zh-CN"/>
        </w:rPr>
        <w:t>2021年度枣庄高新区残疾人康复专项经费项目</w:t>
      </w:r>
      <w:r>
        <w:rPr>
          <w:rFonts w:ascii="Times New Roman" w:hAnsi="Times New Roman" w:eastAsia="仿宋"/>
          <w:sz w:val="32"/>
          <w:szCs w:val="32"/>
        </w:rPr>
        <w:t>。</w:t>
      </w:r>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（2）评价时间段：2021年1月1日至2021年12月31日。</w:t>
      </w:r>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（3）评价内容：根据</w:t>
      </w:r>
      <w:r>
        <w:rPr>
          <w:rFonts w:hint="eastAsia" w:ascii="Times New Roman" w:hAnsi="Times New Roman" w:eastAsia="仿宋"/>
          <w:sz w:val="32"/>
          <w:szCs w:val="32"/>
          <w:lang w:eastAsia="zh-CN"/>
        </w:rPr>
        <w:t>2021年度枣庄高新区残疾人康复专项经费项目</w:t>
      </w:r>
      <w:r>
        <w:rPr>
          <w:rFonts w:ascii="Times New Roman" w:hAnsi="Times New Roman" w:eastAsia="仿宋"/>
          <w:sz w:val="32"/>
          <w:szCs w:val="32"/>
        </w:rPr>
        <w:t>开展情况，构建项目绩效评价指体系，并在对项目绩效评价的基础上，深入分析和研究目前项目在项目预算编制、项目管理等方面存在的问题，结合现阶段预算绩效管理的要求，提出符合管理实际的建议。</w:t>
      </w:r>
    </w:p>
    <w:p>
      <w:pPr>
        <w:spacing w:line="560" w:lineRule="exact"/>
        <w:ind w:firstLine="640" w:firstLineChars="200"/>
        <w:jc w:val="left"/>
        <w:outlineLvl w:val="1"/>
        <w:rPr>
          <w:rFonts w:ascii="Times New Roman" w:hAnsi="Times New Roman" w:eastAsia="楷体"/>
          <w:sz w:val="32"/>
          <w:szCs w:val="32"/>
        </w:rPr>
      </w:pPr>
      <w:bookmarkStart w:id="189" w:name="_Toc689"/>
      <w:bookmarkStart w:id="190" w:name="_Toc16057"/>
      <w:bookmarkStart w:id="191" w:name="_Toc14672"/>
      <w:bookmarkStart w:id="192" w:name="_Toc26220"/>
      <w:bookmarkStart w:id="193" w:name="_Toc15619"/>
      <w:bookmarkStart w:id="194" w:name="_Toc18023"/>
      <w:bookmarkStart w:id="195" w:name="_Toc71574212"/>
      <w:bookmarkStart w:id="196" w:name="_Toc25282"/>
      <w:r>
        <w:rPr>
          <w:rFonts w:ascii="Times New Roman" w:hAnsi="Times New Roman" w:eastAsia="楷体"/>
          <w:sz w:val="32"/>
          <w:szCs w:val="32"/>
        </w:rPr>
        <w:t>（二）评价依据</w:t>
      </w:r>
      <w:bookmarkEnd w:id="189"/>
      <w:bookmarkEnd w:id="190"/>
      <w:bookmarkEnd w:id="191"/>
      <w:bookmarkEnd w:id="192"/>
      <w:bookmarkEnd w:id="193"/>
      <w:bookmarkEnd w:id="194"/>
      <w:bookmarkEnd w:id="195"/>
      <w:bookmarkEnd w:id="196"/>
    </w:p>
    <w:p>
      <w:pPr>
        <w:spacing w:line="560" w:lineRule="exact"/>
        <w:ind w:left="638" w:leftChars="304"/>
        <w:jc w:val="left"/>
        <w:rPr>
          <w:rFonts w:ascii="Times New Roman" w:hAnsi="Times New Roman" w:eastAsia="仿宋"/>
          <w:sz w:val="32"/>
          <w:szCs w:val="32"/>
        </w:rPr>
      </w:pPr>
      <w:r>
        <w:rPr>
          <w:rFonts w:ascii="Times New Roman" w:hAnsi="Times New Roman" w:eastAsia="仿宋"/>
          <w:sz w:val="32"/>
          <w:szCs w:val="32"/>
        </w:rPr>
        <w:t>1.中共中央、国务院《关于全面实施预算绩效管理的意见》（中发〔2018〕34号）；</w:t>
      </w:r>
    </w:p>
    <w:p>
      <w:pPr>
        <w:spacing w:line="560" w:lineRule="exact"/>
        <w:ind w:left="638" w:leftChars="304"/>
        <w:jc w:val="left"/>
        <w:rPr>
          <w:rFonts w:ascii="Times New Roman" w:hAnsi="Times New Roman" w:eastAsia="仿宋"/>
          <w:sz w:val="32"/>
          <w:szCs w:val="32"/>
        </w:rPr>
      </w:pPr>
      <w:r>
        <w:rPr>
          <w:rFonts w:ascii="Times New Roman" w:hAnsi="Times New Roman" w:eastAsia="仿宋"/>
          <w:sz w:val="32"/>
          <w:szCs w:val="32"/>
        </w:rPr>
        <w:t>2.财政部《关于印发</w:t>
      </w:r>
      <w:r>
        <w:rPr>
          <w:rFonts w:hint="eastAsia" w:ascii="Times New Roman" w:hAnsi="Times New Roman" w:eastAsia="仿宋"/>
          <w:sz w:val="32"/>
          <w:szCs w:val="32"/>
          <w:lang w:val="en-US" w:eastAsia="zh-CN"/>
        </w:rPr>
        <w:t>&lt;</w:t>
      </w:r>
      <w:r>
        <w:rPr>
          <w:rFonts w:ascii="Times New Roman" w:hAnsi="Times New Roman" w:eastAsia="仿宋"/>
          <w:sz w:val="32"/>
          <w:szCs w:val="32"/>
        </w:rPr>
        <w:t>项目支出绩效评价管理办法</w:t>
      </w:r>
      <w:r>
        <w:rPr>
          <w:rFonts w:hint="eastAsia" w:ascii="Times New Roman" w:hAnsi="Times New Roman" w:eastAsia="仿宋"/>
          <w:sz w:val="32"/>
          <w:szCs w:val="32"/>
          <w:lang w:val="en-US" w:eastAsia="zh-CN"/>
        </w:rPr>
        <w:t>&gt;</w:t>
      </w:r>
      <w:r>
        <w:rPr>
          <w:rFonts w:ascii="Times New Roman" w:hAnsi="Times New Roman" w:eastAsia="仿宋"/>
          <w:sz w:val="32"/>
          <w:szCs w:val="32"/>
        </w:rPr>
        <w:t>的通知》（财预〔2020〕10号）</w:t>
      </w:r>
      <w:r>
        <w:rPr>
          <w:rFonts w:ascii="Times New Roman" w:hAnsi="Times New Roman" w:eastAsia="仿宋"/>
          <w:color w:val="000000"/>
          <w:sz w:val="32"/>
          <w:szCs w:val="32"/>
        </w:rPr>
        <w:t>；</w:t>
      </w:r>
    </w:p>
    <w:p>
      <w:pPr>
        <w:spacing w:line="560" w:lineRule="exact"/>
        <w:ind w:left="638" w:leftChars="304"/>
        <w:rPr>
          <w:rFonts w:ascii="Times New Roman" w:hAnsi="Times New Roman" w:eastAsia="仿宋"/>
          <w:sz w:val="32"/>
          <w:szCs w:val="32"/>
        </w:rPr>
      </w:pPr>
      <w:r>
        <w:rPr>
          <w:rFonts w:ascii="Times New Roman" w:hAnsi="Times New Roman" w:eastAsia="仿宋"/>
          <w:sz w:val="32"/>
          <w:szCs w:val="32"/>
        </w:rPr>
        <w:t>3.</w:t>
      </w:r>
      <w:r>
        <w:rPr>
          <w:rFonts w:hint="eastAsia" w:ascii="仿宋" w:hAnsi="仿宋" w:eastAsia="仿宋" w:cs="仿宋"/>
          <w:sz w:val="32"/>
          <w:szCs w:val="32"/>
          <w:lang w:val="en-US" w:eastAsia="zh-CN"/>
        </w:rPr>
        <w:t>山东</w:t>
      </w:r>
      <w:r>
        <w:rPr>
          <w:rFonts w:ascii="仿宋" w:hAnsi="仿宋" w:eastAsia="仿宋" w:cs="仿宋"/>
          <w:sz w:val="32"/>
          <w:szCs w:val="32"/>
        </w:rPr>
        <w:t>省委办公厅、省政府办公厅</w:t>
      </w:r>
      <w:r>
        <w:rPr>
          <w:rFonts w:ascii="Times New Roman" w:hAnsi="Times New Roman" w:eastAsia="仿宋"/>
          <w:color w:val="000000"/>
          <w:sz w:val="32"/>
          <w:szCs w:val="32"/>
        </w:rPr>
        <w:t>《关于全面实施预算绩效管理的意见》（鲁发〔2019〕2号）</w:t>
      </w:r>
      <w:r>
        <w:rPr>
          <w:rFonts w:ascii="Times New Roman" w:hAnsi="Times New Roman" w:eastAsia="仿宋"/>
          <w:sz w:val="32"/>
          <w:szCs w:val="32"/>
        </w:rPr>
        <w:t>；</w:t>
      </w:r>
    </w:p>
    <w:p>
      <w:pPr>
        <w:spacing w:line="560" w:lineRule="exact"/>
        <w:ind w:left="638" w:leftChars="304"/>
        <w:rPr>
          <w:rFonts w:ascii="Times New Roman" w:hAnsi="Times New Roman" w:eastAsia="仿宋"/>
          <w:sz w:val="32"/>
          <w:szCs w:val="32"/>
        </w:rPr>
      </w:pPr>
      <w:r>
        <w:rPr>
          <w:rFonts w:ascii="Times New Roman" w:hAnsi="Times New Roman" w:eastAsia="仿宋"/>
          <w:sz w:val="32"/>
          <w:szCs w:val="32"/>
        </w:rPr>
        <w:t>4.省财政厅《山东省省级项目支出绩效财政评价和部门评价工作规程》（鲁财绩〔2020〕4号）;</w:t>
      </w:r>
    </w:p>
    <w:p>
      <w:pPr>
        <w:spacing w:line="560" w:lineRule="exact"/>
        <w:ind w:left="638" w:leftChars="304"/>
        <w:rPr>
          <w:rFonts w:ascii="Times New Roman" w:hAnsi="Times New Roman" w:eastAsia="仿宋"/>
          <w:sz w:val="32"/>
          <w:szCs w:val="32"/>
        </w:rPr>
      </w:pPr>
      <w:r>
        <w:rPr>
          <w:rFonts w:ascii="Times New Roman" w:hAnsi="Times New Roman" w:eastAsia="仿宋"/>
          <w:sz w:val="32"/>
          <w:szCs w:val="32"/>
        </w:rPr>
        <w:t>5.</w:t>
      </w:r>
      <w:r>
        <w:rPr>
          <w:rFonts w:ascii="仿宋" w:hAnsi="仿宋" w:eastAsia="仿宋" w:cs="仿宋"/>
          <w:sz w:val="32"/>
          <w:szCs w:val="32"/>
        </w:rPr>
        <w:t>枣庄市财政局《枣庄市市级预算支出项目第三方绩效评价工作规程》（枣财绩〔2017〕3号）</w:t>
      </w:r>
      <w:r>
        <w:rPr>
          <w:rFonts w:ascii="Times New Roman" w:hAnsi="Times New Roman" w:eastAsia="仿宋"/>
          <w:sz w:val="32"/>
          <w:szCs w:val="32"/>
        </w:rPr>
        <w:t>；</w:t>
      </w:r>
    </w:p>
    <w:p>
      <w:pPr>
        <w:spacing w:line="560" w:lineRule="exact"/>
        <w:ind w:left="638" w:leftChars="304"/>
        <w:rPr>
          <w:rFonts w:ascii="Times New Roman" w:hAnsi="Times New Roman" w:eastAsia="仿宋"/>
          <w:sz w:val="32"/>
          <w:szCs w:val="32"/>
        </w:rPr>
      </w:pPr>
      <w:r>
        <w:rPr>
          <w:rFonts w:hint="eastAsia" w:ascii="Times New Roman" w:hAnsi="Times New Roman" w:eastAsia="仿宋"/>
          <w:sz w:val="32"/>
          <w:szCs w:val="32"/>
          <w:lang w:val="en-US" w:eastAsia="zh-CN"/>
        </w:rPr>
        <w:t>6.</w:t>
      </w:r>
      <w:r>
        <w:rPr>
          <w:rFonts w:ascii="Times New Roman" w:hAnsi="Times New Roman" w:eastAsia="仿宋"/>
          <w:sz w:val="32"/>
          <w:szCs w:val="32"/>
        </w:rPr>
        <w:t>项目2021年项目资金支出相关资料；</w:t>
      </w:r>
    </w:p>
    <w:p>
      <w:pPr>
        <w:spacing w:line="560" w:lineRule="exact"/>
        <w:ind w:left="638" w:leftChars="304"/>
        <w:rPr>
          <w:rFonts w:ascii="Times New Roman" w:hAnsi="Times New Roman" w:eastAsia="仿宋"/>
          <w:sz w:val="32"/>
          <w:szCs w:val="32"/>
        </w:rPr>
      </w:pPr>
      <w:r>
        <w:rPr>
          <w:rFonts w:hint="eastAsia" w:ascii="Times New Roman" w:hAnsi="Times New Roman" w:eastAsia="仿宋"/>
          <w:sz w:val="32"/>
          <w:szCs w:val="32"/>
          <w:lang w:val="en-US" w:eastAsia="zh-CN"/>
        </w:rPr>
        <w:t>7</w:t>
      </w:r>
      <w:r>
        <w:rPr>
          <w:rFonts w:ascii="Times New Roman" w:hAnsi="Times New Roman" w:eastAsia="仿宋"/>
          <w:sz w:val="32"/>
          <w:szCs w:val="32"/>
        </w:rPr>
        <w:t>.</w:t>
      </w:r>
      <w:r>
        <w:rPr>
          <w:rFonts w:hint="eastAsia" w:ascii="Times New Roman" w:hAnsi="Times New Roman" w:eastAsia="仿宋"/>
          <w:sz w:val="32"/>
          <w:szCs w:val="32"/>
        </w:rPr>
        <w:t>枣庄高新区</w:t>
      </w:r>
      <w:r>
        <w:rPr>
          <w:rFonts w:ascii="Times New Roman" w:hAnsi="Times New Roman" w:eastAsia="仿宋"/>
          <w:sz w:val="32"/>
          <w:szCs w:val="32"/>
        </w:rPr>
        <w:t>财政局和</w:t>
      </w:r>
      <w:r>
        <w:rPr>
          <w:rFonts w:hint="eastAsia" w:ascii="Times New Roman" w:hAnsi="Times New Roman" w:eastAsia="仿宋"/>
          <w:sz w:val="32"/>
          <w:szCs w:val="32"/>
        </w:rPr>
        <w:t>枣庄高新区</w:t>
      </w:r>
      <w:r>
        <w:rPr>
          <w:rFonts w:ascii="Times New Roman" w:hAnsi="Times New Roman" w:eastAsia="仿宋"/>
          <w:sz w:val="32"/>
          <w:szCs w:val="32"/>
        </w:rPr>
        <w:t>管委会批复的2021年度项目预算；</w:t>
      </w:r>
    </w:p>
    <w:p>
      <w:pPr>
        <w:spacing w:line="56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lang w:val="en-US" w:eastAsia="zh-CN"/>
        </w:rPr>
        <w:t>8</w:t>
      </w:r>
      <w:r>
        <w:rPr>
          <w:rFonts w:ascii="Times New Roman" w:hAnsi="Times New Roman" w:eastAsia="仿宋"/>
          <w:sz w:val="32"/>
          <w:szCs w:val="32"/>
        </w:rPr>
        <w:t>.项目实施过程中记账凭证、明细表、余额表、相关合同以及其他财务会计、资产管理资料等；</w:t>
      </w:r>
    </w:p>
    <w:p>
      <w:pPr>
        <w:spacing w:line="560" w:lineRule="exact"/>
        <w:ind w:firstLine="640" w:firstLineChars="200"/>
        <w:jc w:val="left"/>
        <w:rPr>
          <w:rFonts w:ascii="Times New Roman" w:hAnsi="Times New Roman" w:eastAsia="仿宋"/>
          <w:sz w:val="32"/>
          <w:szCs w:val="32"/>
        </w:rPr>
      </w:pPr>
      <w:r>
        <w:rPr>
          <w:rFonts w:hint="eastAsia" w:ascii="Times New Roman" w:hAnsi="Times New Roman" w:eastAsia="仿宋"/>
          <w:sz w:val="32"/>
          <w:szCs w:val="32"/>
          <w:lang w:val="en-US" w:eastAsia="zh-CN"/>
        </w:rPr>
        <w:t>9</w:t>
      </w:r>
      <w:r>
        <w:rPr>
          <w:rFonts w:ascii="Times New Roman" w:hAnsi="Times New Roman" w:eastAsia="仿宋"/>
          <w:sz w:val="32"/>
          <w:szCs w:val="32"/>
        </w:rPr>
        <w:t>.国家有关财政管理、财务管理制度和规定；</w:t>
      </w:r>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1</w:t>
      </w:r>
      <w:r>
        <w:rPr>
          <w:rFonts w:hint="eastAsia" w:ascii="Times New Roman" w:hAnsi="Times New Roman" w:eastAsia="仿宋"/>
          <w:sz w:val="32"/>
          <w:szCs w:val="32"/>
          <w:lang w:val="en-US" w:eastAsia="zh-CN"/>
        </w:rPr>
        <w:t>0</w:t>
      </w:r>
      <w:r>
        <w:rPr>
          <w:rFonts w:ascii="Times New Roman" w:hAnsi="Times New Roman" w:eastAsia="仿宋"/>
          <w:sz w:val="32"/>
          <w:szCs w:val="32"/>
        </w:rPr>
        <w:t>.主管部门、项目单位的其他相关资料。</w:t>
      </w:r>
    </w:p>
    <w:p>
      <w:pPr>
        <w:spacing w:line="560" w:lineRule="exact"/>
        <w:ind w:firstLine="640" w:firstLineChars="200"/>
        <w:jc w:val="left"/>
        <w:outlineLvl w:val="1"/>
        <w:rPr>
          <w:rFonts w:ascii="Times New Roman" w:hAnsi="Times New Roman" w:eastAsia="楷体"/>
          <w:sz w:val="32"/>
          <w:szCs w:val="32"/>
        </w:rPr>
      </w:pPr>
      <w:bookmarkStart w:id="197" w:name="_Toc27742"/>
      <w:bookmarkStart w:id="198" w:name="_Toc30093"/>
      <w:bookmarkStart w:id="199" w:name="_Toc25703"/>
      <w:bookmarkStart w:id="200" w:name="_Toc71574213"/>
      <w:bookmarkStart w:id="201" w:name="_Toc17366"/>
      <w:bookmarkStart w:id="202" w:name="_Toc23883"/>
      <w:bookmarkStart w:id="203" w:name="_Toc5169"/>
      <w:bookmarkStart w:id="204" w:name="_Toc17430"/>
      <w:r>
        <w:rPr>
          <w:rFonts w:ascii="Times New Roman" w:hAnsi="Times New Roman" w:eastAsia="楷体"/>
          <w:sz w:val="32"/>
          <w:szCs w:val="32"/>
        </w:rPr>
        <w:t>（三）绩效评价指标体系</w:t>
      </w:r>
      <w:bookmarkEnd w:id="197"/>
      <w:bookmarkEnd w:id="198"/>
      <w:bookmarkEnd w:id="199"/>
      <w:bookmarkEnd w:id="200"/>
      <w:bookmarkEnd w:id="201"/>
      <w:bookmarkEnd w:id="202"/>
      <w:bookmarkEnd w:id="203"/>
      <w:bookmarkEnd w:id="204"/>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本次评价指标体系主要根据中共中央国务院《关于全面推进预算绩效管理的实施意见》（中发〔2018〕34号）、《关于全面实施预算绩效管理的意见</w:t>
      </w:r>
      <w:bookmarkStart w:id="445" w:name="_GoBack"/>
      <w:bookmarkEnd w:id="445"/>
      <w:r>
        <w:rPr>
          <w:rFonts w:ascii="Times New Roman" w:hAnsi="Times New Roman" w:eastAsia="仿宋"/>
          <w:sz w:val="32"/>
          <w:szCs w:val="32"/>
        </w:rPr>
        <w:t>》（枣发〔2019〕21号）</w:t>
      </w:r>
      <w:r>
        <w:rPr>
          <w:rFonts w:hint="eastAsia" w:ascii="Times New Roman" w:hAnsi="Times New Roman" w:eastAsia="仿宋"/>
          <w:sz w:val="32"/>
          <w:szCs w:val="32"/>
          <w:lang w:eastAsia="zh-CN"/>
        </w:rPr>
        <w:t>、</w:t>
      </w:r>
      <w:r>
        <w:rPr>
          <w:rFonts w:ascii="Times New Roman" w:hAnsi="Times New Roman" w:eastAsia="仿宋"/>
          <w:sz w:val="32"/>
          <w:szCs w:val="32"/>
        </w:rPr>
        <w:t>山东省财政厅《关于印发&lt;山东省省级项目支出绩效单位自评工作规程&gt;和&lt;山东省省级项目支出绩效财政评价和部门评价工作规程&gt;的通知》鲁财绩〔2020〕4号等相关文件的规定有关要求设置，包括决策、过程、产出及效益4个一级指标、10个二级指标18个三级指标和32个四级指标（指标体系见附件），满分为100分。一是决策（14分），主要评价项目立项、绩效目标和资金投入情况；二是过程（16分），主要评价资金管理和组织实施情况；三是产出（45分），主要评价产出数量、产出质量、产出时效和产出成本完成情况；四是效益（25分），主要评价项目实施效益实现情况。</w:t>
      </w:r>
    </w:p>
    <w:p>
      <w:pPr>
        <w:spacing w:line="560" w:lineRule="exact"/>
        <w:ind w:firstLine="640" w:firstLineChars="200"/>
        <w:jc w:val="left"/>
        <w:rPr>
          <w:rFonts w:ascii="Times New Roman" w:hAnsi="Times New Roman" w:eastAsia="仿宋"/>
          <w:sz w:val="32"/>
          <w:szCs w:val="32"/>
          <w:highlight w:val="yellow"/>
        </w:rPr>
      </w:pPr>
      <w:r>
        <w:rPr>
          <w:rFonts w:ascii="Times New Roman" w:hAnsi="Times New Roman" w:eastAsia="仿宋"/>
          <w:sz w:val="32"/>
          <w:szCs w:val="32"/>
        </w:rPr>
        <w:t>本次绩效评价综合评定级别，分为4个等级：综合得分在90（含）-100分为优；综合得分在80（含）-90分为良；综合得分在60（含）-80分为中；综合得分在0-60分为差。</w:t>
      </w:r>
    </w:p>
    <w:p>
      <w:pPr>
        <w:spacing w:line="560" w:lineRule="exact"/>
        <w:ind w:firstLine="640" w:firstLineChars="200"/>
        <w:jc w:val="left"/>
        <w:outlineLvl w:val="1"/>
        <w:rPr>
          <w:rFonts w:ascii="Times New Roman" w:hAnsi="Times New Roman" w:eastAsia="楷体"/>
          <w:sz w:val="32"/>
          <w:szCs w:val="32"/>
        </w:rPr>
      </w:pPr>
      <w:bookmarkStart w:id="205" w:name="_Toc20512"/>
      <w:bookmarkStart w:id="206" w:name="_Toc14995"/>
      <w:bookmarkStart w:id="207" w:name="_Toc19333"/>
      <w:bookmarkStart w:id="208" w:name="_Toc6950"/>
      <w:bookmarkStart w:id="209" w:name="_Toc5917"/>
      <w:bookmarkStart w:id="210" w:name="_Toc71574214"/>
      <w:bookmarkStart w:id="211" w:name="_Toc19414"/>
      <w:bookmarkStart w:id="212" w:name="_Toc2263"/>
      <w:r>
        <w:rPr>
          <w:rFonts w:ascii="Times New Roman" w:hAnsi="Times New Roman" w:eastAsia="楷体"/>
          <w:sz w:val="32"/>
          <w:szCs w:val="32"/>
        </w:rPr>
        <w:t>（四）评价原则、评价方式与方法</w:t>
      </w:r>
      <w:bookmarkEnd w:id="205"/>
      <w:bookmarkEnd w:id="206"/>
      <w:bookmarkEnd w:id="207"/>
      <w:bookmarkEnd w:id="208"/>
      <w:bookmarkEnd w:id="209"/>
      <w:bookmarkEnd w:id="210"/>
      <w:bookmarkEnd w:id="211"/>
      <w:bookmarkEnd w:id="212"/>
    </w:p>
    <w:p>
      <w:pPr>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本次评价遵循科学公正、统筹兼顾、激励约束、公开透明的原则，采用全面评价和重点评价相结合、现场评价和非现场评价相结合、定性分析与定量分析相结合的方法，运用案卷研究、网络调查、电话咨询、实地调研、召开座谈会、专家咨询等多种方式，结合成本效益分析法、比较法、因素分析法、专家评判法等多种方法，对项目决策、过程、产出、效益四方面进行综合评价，并提出改进意见和建议，以促进社会事务综合服务中心残疾人康复专项经费项目资金工作的规范化以及财政资金使用效益的有效提高。具体评价方式方法见下图。</w:t>
      </w:r>
    </w:p>
    <w:p>
      <w:pPr>
        <w:spacing w:line="560" w:lineRule="exact"/>
        <w:ind w:firstLine="640" w:firstLineChars="200"/>
        <w:jc w:val="left"/>
        <w:rPr>
          <w:rFonts w:ascii="Times New Roman" w:hAnsi="Times New Roman" w:eastAsia="仿宋"/>
          <w:sz w:val="32"/>
          <w:szCs w:val="32"/>
        </w:rPr>
      </w:pPr>
      <w:r>
        <w:rPr>
          <w:rFonts w:ascii="Times New Roman" w:hAnsi="Times New Roman"/>
          <w:sz w:val="32"/>
          <w:szCs w:val="32"/>
        </w:rPr>
        <w:pict>
          <v:shape id="_x0000_s1026" o:spid="_x0000_s1026" o:spt="75" type="#_x0000_t75" style="position:absolute;left:0pt;margin-left:25pt;margin-top:9.95pt;height:232.5pt;width:381.5pt;mso-wrap-distance-bottom:0pt;mso-wrap-distance-left:9pt;mso-wrap-distance-right:9pt;mso-wrap-distance-top:0pt;z-index:251661312;mso-width-relative:page;mso-height-relative:page;" filled="f" o:preferrelative="t" stroked="f" coordsize="21600,21600">
            <v:path/>
            <v:fill on="f" focussize="0,0"/>
            <v:stroke on="f"/>
            <v:imagedata r:id="rId8" o:title=""/>
            <o:lock v:ext="edit" aspectratio="t"/>
            <w10:wrap type="square"/>
          </v:shape>
        </w:pict>
      </w:r>
    </w:p>
    <w:p>
      <w:pPr>
        <w:adjustRightInd w:val="0"/>
        <w:snapToGrid w:val="0"/>
        <w:spacing w:line="560" w:lineRule="exact"/>
        <w:jc w:val="center"/>
        <w:rPr>
          <w:rFonts w:ascii="Times New Roman" w:hAnsi="Times New Roman"/>
          <w:color w:val="000000"/>
          <w:sz w:val="32"/>
          <w:szCs w:val="32"/>
        </w:rPr>
      </w:pPr>
    </w:p>
    <w:p>
      <w:pPr>
        <w:adjustRightInd w:val="0"/>
        <w:snapToGrid w:val="0"/>
        <w:spacing w:line="560" w:lineRule="exact"/>
        <w:jc w:val="center"/>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黑体"/>
          <w:color w:val="000000"/>
          <w:sz w:val="32"/>
          <w:szCs w:val="32"/>
        </w:rPr>
      </w:pPr>
    </w:p>
    <w:p>
      <w:pPr>
        <w:adjustRightInd w:val="0"/>
        <w:snapToGrid w:val="0"/>
        <w:spacing w:line="560" w:lineRule="exact"/>
        <w:rPr>
          <w:rFonts w:ascii="Times New Roman" w:hAnsi="Times New Roman" w:eastAsia="黑体"/>
          <w:color w:val="000000"/>
          <w:sz w:val="32"/>
          <w:szCs w:val="32"/>
        </w:rPr>
      </w:pPr>
    </w:p>
    <w:p>
      <w:pPr>
        <w:adjustRightInd w:val="0"/>
        <w:snapToGrid w:val="0"/>
        <w:spacing w:line="560" w:lineRule="exact"/>
        <w:rPr>
          <w:rFonts w:ascii="Times New Roman" w:hAnsi="Times New Roman" w:eastAsia="黑体"/>
          <w:color w:val="000000"/>
          <w:sz w:val="32"/>
          <w:szCs w:val="32"/>
        </w:rPr>
      </w:pPr>
    </w:p>
    <w:p>
      <w:pPr>
        <w:adjustRightInd w:val="0"/>
        <w:snapToGrid w:val="0"/>
        <w:spacing w:line="560" w:lineRule="exact"/>
        <w:jc w:val="center"/>
        <w:rPr>
          <w:rFonts w:ascii="Times New Roman" w:hAnsi="Times New Roman" w:eastAsia="楷体_GB2312"/>
          <w:sz w:val="28"/>
          <w:szCs w:val="28"/>
        </w:rPr>
      </w:pPr>
      <w:r>
        <w:rPr>
          <w:rFonts w:hint="eastAsia" w:ascii="Times New Roman" w:hAnsi="Times New Roman" w:eastAsia="黑体"/>
          <w:color w:val="000000"/>
          <w:sz w:val="28"/>
          <w:szCs w:val="28"/>
        </w:rPr>
        <w:t>图</w:t>
      </w:r>
      <w:r>
        <w:rPr>
          <w:rFonts w:hint="eastAsia" w:ascii="Times New Roman" w:hAnsi="Times New Roman" w:eastAsia="黑体"/>
          <w:color w:val="000000"/>
          <w:sz w:val="28"/>
          <w:szCs w:val="28"/>
          <w:lang w:val="en-US" w:eastAsia="zh-CN"/>
        </w:rPr>
        <w:t>1</w:t>
      </w:r>
      <w:r>
        <w:rPr>
          <w:rFonts w:ascii="Times New Roman" w:hAnsi="Times New Roman" w:eastAsia="黑体"/>
          <w:color w:val="000000"/>
          <w:sz w:val="28"/>
          <w:szCs w:val="28"/>
        </w:rPr>
        <w:t>-1</w:t>
      </w:r>
      <w:r>
        <w:rPr>
          <w:rFonts w:hint="eastAsia" w:ascii="Times New Roman" w:hAnsi="Times New Roman" w:eastAsia="黑体"/>
          <w:color w:val="000000"/>
          <w:sz w:val="28"/>
          <w:szCs w:val="28"/>
          <w:lang w:val="en-US" w:eastAsia="zh-CN"/>
        </w:rPr>
        <w:t xml:space="preserve"> </w:t>
      </w:r>
      <w:r>
        <w:rPr>
          <w:rFonts w:ascii="Times New Roman" w:hAnsi="Times New Roman" w:eastAsia="黑体"/>
          <w:color w:val="000000"/>
          <w:sz w:val="28"/>
          <w:szCs w:val="28"/>
        </w:rPr>
        <w:t>评价原则及方式方法图</w:t>
      </w:r>
    </w:p>
    <w:p>
      <w:pPr>
        <w:spacing w:line="560" w:lineRule="exact"/>
        <w:ind w:firstLine="640" w:firstLineChars="200"/>
        <w:jc w:val="left"/>
        <w:outlineLvl w:val="1"/>
        <w:rPr>
          <w:rFonts w:ascii="Times New Roman" w:hAnsi="Times New Roman" w:eastAsia="楷体"/>
          <w:sz w:val="32"/>
          <w:szCs w:val="32"/>
        </w:rPr>
      </w:pPr>
      <w:bookmarkStart w:id="213" w:name="_Toc71574215"/>
      <w:bookmarkStart w:id="214" w:name="_Toc21420"/>
      <w:bookmarkStart w:id="215" w:name="_Toc24501"/>
      <w:bookmarkStart w:id="216" w:name="_Toc16502"/>
      <w:bookmarkStart w:id="217" w:name="_Toc27607"/>
      <w:bookmarkStart w:id="218" w:name="_Toc19106"/>
      <w:bookmarkStart w:id="219" w:name="_Toc8736"/>
      <w:bookmarkStart w:id="220" w:name="_Toc31449"/>
      <w:r>
        <w:rPr>
          <w:rFonts w:ascii="Times New Roman" w:hAnsi="Times New Roman" w:eastAsia="楷体"/>
          <w:sz w:val="32"/>
          <w:szCs w:val="32"/>
        </w:rPr>
        <w:t>（五）评价人员组成</w:t>
      </w:r>
      <w:bookmarkEnd w:id="213"/>
      <w:bookmarkEnd w:id="214"/>
      <w:bookmarkEnd w:id="215"/>
      <w:bookmarkEnd w:id="216"/>
      <w:bookmarkEnd w:id="217"/>
      <w:bookmarkEnd w:id="218"/>
      <w:bookmarkEnd w:id="219"/>
      <w:bookmarkEnd w:id="220"/>
    </w:p>
    <w:p>
      <w:pPr>
        <w:pStyle w:val="59"/>
        <w:spacing w:line="560" w:lineRule="exact"/>
        <w:ind w:firstLine="640" w:firstLineChars="200"/>
        <w:jc w:val="left"/>
        <w:rPr>
          <w:rFonts w:ascii="Times New Roman" w:hAnsi="Times New Roman" w:eastAsia="黑体"/>
          <w:color w:val="000000"/>
          <w:sz w:val="32"/>
          <w:szCs w:val="32"/>
        </w:rPr>
      </w:pPr>
      <w:r>
        <w:rPr>
          <w:rFonts w:ascii="Times New Roman" w:hAnsi="Times New Roman" w:eastAsia="仿宋"/>
          <w:sz w:val="32"/>
          <w:szCs w:val="32"/>
        </w:rPr>
        <w:t>此次评价组由工作人员和专家组成，其中专家具有相应资质或职称，在行业领域中具有多年的从业经验，同时多次参与过绩效评价工作并熟悉绩效评价的工作流程；工作人员具有丰富的项目管理经验并参与过类似的绩效评价工作。工作人员及专家分工详见下表：</w:t>
      </w:r>
    </w:p>
    <w:p>
      <w:pPr>
        <w:pStyle w:val="59"/>
        <w:spacing w:line="560" w:lineRule="exact"/>
        <w:jc w:val="center"/>
        <w:rPr>
          <w:rFonts w:ascii="Times New Roman" w:hAnsi="Times New Roman" w:eastAsia="仿宋_GB2312"/>
          <w:sz w:val="28"/>
          <w:szCs w:val="28"/>
        </w:rPr>
      </w:pPr>
      <w:r>
        <w:rPr>
          <w:rFonts w:ascii="Times New Roman" w:hAnsi="Times New Roman" w:eastAsia="黑体"/>
          <w:color w:val="000000"/>
          <w:sz w:val="28"/>
          <w:szCs w:val="28"/>
        </w:rPr>
        <w:t>表</w:t>
      </w:r>
      <w:r>
        <w:rPr>
          <w:rFonts w:hint="eastAsia" w:ascii="Times New Roman" w:hAnsi="Times New Roman" w:eastAsia="黑体"/>
          <w:color w:val="000000"/>
          <w:sz w:val="28"/>
          <w:szCs w:val="28"/>
          <w:lang w:val="en-US" w:eastAsia="zh-CN"/>
        </w:rPr>
        <w:t xml:space="preserve">3 </w:t>
      </w:r>
      <w:r>
        <w:rPr>
          <w:rFonts w:ascii="Times New Roman" w:hAnsi="Times New Roman" w:eastAsia="黑体"/>
          <w:color w:val="000000"/>
          <w:sz w:val="28"/>
          <w:szCs w:val="28"/>
        </w:rPr>
        <w:t>工作组人员及专家分工情况表</w:t>
      </w:r>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47"/>
        <w:gridCol w:w="1540"/>
        <w:gridCol w:w="5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60" w:type="pct"/>
            <w:shd w:val="clear" w:color="auto" w:fill="D9D9D9"/>
            <w:vAlign w:val="center"/>
          </w:tcPr>
          <w:p>
            <w:pPr>
              <w:pStyle w:val="59"/>
              <w:spacing w:line="240" w:lineRule="auto"/>
              <w:jc w:val="center"/>
              <w:rPr>
                <w:rFonts w:ascii="宋体" w:hAnsi="宋体" w:cs="宋体"/>
                <w:b/>
              </w:rPr>
            </w:pPr>
            <w:bookmarkStart w:id="221" w:name="_Toc71574216"/>
            <w:r>
              <w:rPr>
                <w:rFonts w:hint="eastAsia" w:ascii="宋体" w:hAnsi="宋体" w:cs="宋体"/>
                <w:b/>
              </w:rPr>
              <w:t>序号</w:t>
            </w:r>
          </w:p>
        </w:tc>
        <w:tc>
          <w:tcPr>
            <w:tcW w:w="473" w:type="pct"/>
            <w:shd w:val="clear" w:color="auto" w:fill="D9D9D9"/>
            <w:vAlign w:val="center"/>
          </w:tcPr>
          <w:p>
            <w:pPr>
              <w:pStyle w:val="59"/>
              <w:spacing w:line="240" w:lineRule="auto"/>
              <w:jc w:val="center"/>
              <w:rPr>
                <w:rFonts w:ascii="宋体" w:hAnsi="宋体" w:cs="宋体"/>
                <w:b/>
              </w:rPr>
            </w:pPr>
            <w:r>
              <w:rPr>
                <w:rFonts w:hint="eastAsia" w:ascii="宋体" w:hAnsi="宋体" w:cs="宋体"/>
                <w:b/>
              </w:rPr>
              <w:t>姓名</w:t>
            </w:r>
          </w:p>
        </w:tc>
        <w:tc>
          <w:tcPr>
            <w:tcW w:w="860" w:type="pct"/>
            <w:shd w:val="clear" w:color="auto" w:fill="D9D9D9"/>
            <w:vAlign w:val="center"/>
          </w:tcPr>
          <w:p>
            <w:pPr>
              <w:pStyle w:val="59"/>
              <w:spacing w:line="240" w:lineRule="auto"/>
              <w:jc w:val="center"/>
              <w:rPr>
                <w:rFonts w:ascii="宋体" w:hAnsi="宋体" w:cs="宋体"/>
                <w:b/>
              </w:rPr>
            </w:pPr>
            <w:r>
              <w:rPr>
                <w:rFonts w:hint="eastAsia" w:ascii="宋体" w:hAnsi="宋体" w:cs="宋体"/>
                <w:b/>
              </w:rPr>
              <w:t>职责/职称</w:t>
            </w:r>
          </w:p>
        </w:tc>
        <w:tc>
          <w:tcPr>
            <w:tcW w:w="3204" w:type="pct"/>
            <w:shd w:val="clear" w:color="auto" w:fill="D9D9D9"/>
            <w:vAlign w:val="center"/>
          </w:tcPr>
          <w:p>
            <w:pPr>
              <w:pStyle w:val="59"/>
              <w:spacing w:line="240" w:lineRule="auto"/>
              <w:jc w:val="center"/>
              <w:rPr>
                <w:rFonts w:ascii="宋体" w:hAnsi="宋体" w:cs="宋体"/>
                <w:b/>
              </w:rPr>
            </w:pPr>
            <w:r>
              <w:rPr>
                <w:rFonts w:hint="eastAsia" w:ascii="宋体" w:hAnsi="宋体" w:cs="宋体"/>
                <w:b/>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0" w:type="pct"/>
            <w:vAlign w:val="center"/>
          </w:tcPr>
          <w:p>
            <w:pPr>
              <w:pStyle w:val="59"/>
              <w:spacing w:line="240" w:lineRule="auto"/>
              <w:jc w:val="center"/>
              <w:rPr>
                <w:rFonts w:ascii="宋体" w:hAnsi="宋体" w:cs="宋体"/>
              </w:rPr>
            </w:pPr>
            <w:r>
              <w:rPr>
                <w:rFonts w:hint="eastAsia" w:ascii="宋体" w:hAnsi="宋体" w:cs="宋体"/>
              </w:rPr>
              <w:t>1</w:t>
            </w:r>
          </w:p>
        </w:tc>
        <w:tc>
          <w:tcPr>
            <w:tcW w:w="473" w:type="pct"/>
            <w:vAlign w:val="center"/>
          </w:tcPr>
          <w:p>
            <w:pPr>
              <w:pStyle w:val="59"/>
              <w:spacing w:line="240" w:lineRule="auto"/>
              <w:jc w:val="center"/>
              <w:rPr>
                <w:rFonts w:ascii="宋体" w:hAnsi="宋体" w:cs="宋体"/>
              </w:rPr>
            </w:pPr>
            <w:r>
              <w:rPr>
                <w:rFonts w:hint="eastAsia" w:ascii="宋体" w:hAnsi="宋体" w:cs="宋体"/>
              </w:rPr>
              <w:t>李舒月</w:t>
            </w:r>
          </w:p>
        </w:tc>
        <w:tc>
          <w:tcPr>
            <w:tcW w:w="860" w:type="pct"/>
            <w:vAlign w:val="center"/>
          </w:tcPr>
          <w:p>
            <w:pPr>
              <w:pStyle w:val="59"/>
              <w:spacing w:line="240" w:lineRule="auto"/>
              <w:jc w:val="center"/>
              <w:rPr>
                <w:rFonts w:ascii="宋体" w:hAnsi="宋体" w:cs="宋体"/>
              </w:rPr>
            </w:pPr>
            <w:r>
              <w:rPr>
                <w:rFonts w:hint="eastAsia" w:ascii="宋体" w:hAnsi="宋体" w:cs="宋体"/>
              </w:rPr>
              <w:t>项目负责人/</w:t>
            </w:r>
            <w:r>
              <w:rPr>
                <w:rFonts w:hint="eastAsia" w:ascii="宋体" w:hAnsi="宋体" w:cs="宋体"/>
                <w:color w:val="000000"/>
                <w:lang w:bidi="ar"/>
              </w:rPr>
              <w:t xml:space="preserve"> PMP®</w:t>
            </w:r>
          </w:p>
        </w:tc>
        <w:tc>
          <w:tcPr>
            <w:tcW w:w="3204" w:type="pct"/>
            <w:vAlign w:val="center"/>
          </w:tcPr>
          <w:p>
            <w:pPr>
              <w:pStyle w:val="59"/>
              <w:spacing w:line="240" w:lineRule="auto"/>
              <w:jc w:val="left"/>
              <w:rPr>
                <w:rFonts w:ascii="宋体" w:hAnsi="宋体" w:cs="宋体"/>
              </w:rPr>
            </w:pPr>
            <w:r>
              <w:rPr>
                <w:rFonts w:hint="eastAsia" w:ascii="宋体" w:hAnsi="宋体" w:cs="宋体"/>
              </w:rPr>
              <w:t>负责整个评价工作的监督与控制，把控阶段性成果及最终成果的质量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0" w:type="pct"/>
            <w:vAlign w:val="center"/>
          </w:tcPr>
          <w:p>
            <w:pPr>
              <w:pStyle w:val="59"/>
              <w:spacing w:line="240" w:lineRule="auto"/>
              <w:jc w:val="center"/>
              <w:rPr>
                <w:rFonts w:ascii="宋体" w:hAnsi="宋体" w:cs="宋体"/>
              </w:rPr>
            </w:pPr>
            <w:r>
              <w:rPr>
                <w:rFonts w:hint="eastAsia" w:ascii="宋体" w:hAnsi="宋体" w:cs="宋体"/>
              </w:rPr>
              <w:t>2</w:t>
            </w:r>
          </w:p>
        </w:tc>
        <w:tc>
          <w:tcPr>
            <w:tcW w:w="473" w:type="pct"/>
            <w:vAlign w:val="center"/>
          </w:tcPr>
          <w:p>
            <w:pPr>
              <w:pStyle w:val="59"/>
              <w:spacing w:line="240" w:lineRule="auto"/>
              <w:jc w:val="center"/>
              <w:rPr>
                <w:rFonts w:ascii="宋体" w:hAnsi="宋体" w:cs="宋体"/>
              </w:rPr>
            </w:pPr>
            <w:r>
              <w:rPr>
                <w:rFonts w:hint="eastAsia" w:ascii="宋体" w:hAnsi="宋体" w:cs="宋体"/>
              </w:rPr>
              <w:t>宋坤霞</w:t>
            </w:r>
          </w:p>
        </w:tc>
        <w:tc>
          <w:tcPr>
            <w:tcW w:w="860" w:type="pct"/>
            <w:vAlign w:val="center"/>
          </w:tcPr>
          <w:p>
            <w:pPr>
              <w:pStyle w:val="59"/>
              <w:spacing w:line="240" w:lineRule="auto"/>
              <w:jc w:val="center"/>
              <w:rPr>
                <w:rFonts w:ascii="宋体" w:hAnsi="宋体" w:cs="宋体"/>
              </w:rPr>
            </w:pPr>
            <w:r>
              <w:rPr>
                <w:rFonts w:hint="eastAsia" w:ascii="宋体" w:hAnsi="宋体" w:cs="宋体"/>
              </w:rPr>
              <w:t>项目经理</w:t>
            </w:r>
          </w:p>
        </w:tc>
        <w:tc>
          <w:tcPr>
            <w:tcW w:w="3204" w:type="pct"/>
            <w:vAlign w:val="center"/>
          </w:tcPr>
          <w:p>
            <w:pPr>
              <w:pStyle w:val="59"/>
              <w:spacing w:line="240" w:lineRule="auto"/>
              <w:jc w:val="left"/>
              <w:rPr>
                <w:rFonts w:ascii="宋体" w:hAnsi="宋体" w:cs="宋体"/>
              </w:rPr>
            </w:pPr>
            <w:r>
              <w:rPr>
                <w:rFonts w:hint="eastAsia" w:ascii="宋体" w:hAnsi="宋体" w:cs="宋体"/>
              </w:rPr>
              <w:t>负责评价工作前期准备、实施阶段及报告撰写各个阶段统筹安排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0" w:type="pct"/>
            <w:vAlign w:val="center"/>
          </w:tcPr>
          <w:p>
            <w:pPr>
              <w:pStyle w:val="59"/>
              <w:spacing w:line="240" w:lineRule="auto"/>
              <w:jc w:val="center"/>
              <w:rPr>
                <w:rFonts w:ascii="宋体" w:hAnsi="宋体" w:cs="宋体"/>
              </w:rPr>
            </w:pPr>
            <w:r>
              <w:rPr>
                <w:rFonts w:hint="eastAsia" w:ascii="宋体" w:hAnsi="宋体" w:cs="宋体"/>
              </w:rPr>
              <w:t>3</w:t>
            </w:r>
          </w:p>
        </w:tc>
        <w:tc>
          <w:tcPr>
            <w:tcW w:w="473" w:type="pct"/>
            <w:vAlign w:val="center"/>
          </w:tcPr>
          <w:p>
            <w:pPr>
              <w:pStyle w:val="59"/>
              <w:spacing w:line="240" w:lineRule="auto"/>
              <w:jc w:val="center"/>
              <w:rPr>
                <w:rFonts w:ascii="宋体" w:hAnsi="宋体" w:cs="宋体"/>
              </w:rPr>
            </w:pPr>
            <w:r>
              <w:rPr>
                <w:rFonts w:hint="eastAsia" w:ascii="宋体" w:hAnsi="宋体" w:cs="宋体"/>
              </w:rPr>
              <w:t>贾舒翔</w:t>
            </w:r>
          </w:p>
        </w:tc>
        <w:tc>
          <w:tcPr>
            <w:tcW w:w="860" w:type="pct"/>
            <w:vAlign w:val="center"/>
          </w:tcPr>
          <w:p>
            <w:pPr>
              <w:pStyle w:val="59"/>
              <w:spacing w:line="240" w:lineRule="auto"/>
              <w:jc w:val="center"/>
              <w:rPr>
                <w:rFonts w:ascii="宋体" w:hAnsi="宋体" w:cs="宋体"/>
              </w:rPr>
            </w:pPr>
            <w:r>
              <w:rPr>
                <w:rFonts w:hint="eastAsia" w:ascii="宋体" w:hAnsi="宋体" w:cs="宋体"/>
              </w:rPr>
              <w:t>项目经理</w:t>
            </w:r>
          </w:p>
        </w:tc>
        <w:tc>
          <w:tcPr>
            <w:tcW w:w="3204" w:type="pct"/>
            <w:vAlign w:val="center"/>
          </w:tcPr>
          <w:p>
            <w:pPr>
              <w:pStyle w:val="59"/>
              <w:spacing w:line="240" w:lineRule="auto"/>
              <w:jc w:val="left"/>
              <w:rPr>
                <w:rFonts w:ascii="宋体" w:hAnsi="宋体" w:cs="宋体"/>
              </w:rPr>
            </w:pPr>
            <w:r>
              <w:rPr>
                <w:rFonts w:hint="eastAsia" w:ascii="宋体" w:hAnsi="宋体" w:cs="宋体"/>
              </w:rPr>
              <w:t>负责评价工作前期准备、实施阶段及报告撰写各个阶段统筹安排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460" w:type="pct"/>
            <w:vAlign w:val="center"/>
          </w:tcPr>
          <w:p>
            <w:pPr>
              <w:pStyle w:val="59"/>
              <w:spacing w:line="240" w:lineRule="auto"/>
              <w:jc w:val="center"/>
              <w:rPr>
                <w:rFonts w:ascii="宋体" w:hAnsi="宋体" w:cs="宋体"/>
              </w:rPr>
            </w:pPr>
            <w:r>
              <w:rPr>
                <w:rFonts w:hint="eastAsia" w:ascii="宋体" w:hAnsi="宋体" w:cs="宋体"/>
              </w:rPr>
              <w:t>4</w:t>
            </w:r>
          </w:p>
        </w:tc>
        <w:tc>
          <w:tcPr>
            <w:tcW w:w="473" w:type="pct"/>
            <w:vAlign w:val="center"/>
          </w:tcPr>
          <w:p>
            <w:pPr>
              <w:pStyle w:val="59"/>
              <w:spacing w:line="240" w:lineRule="auto"/>
              <w:jc w:val="center"/>
              <w:rPr>
                <w:rFonts w:ascii="宋体" w:hAnsi="宋体" w:cs="宋体"/>
              </w:rPr>
            </w:pPr>
            <w:r>
              <w:rPr>
                <w:rFonts w:hint="eastAsia" w:ascii="宋体" w:hAnsi="宋体" w:cs="宋体"/>
              </w:rPr>
              <w:t>张芹</w:t>
            </w:r>
          </w:p>
        </w:tc>
        <w:tc>
          <w:tcPr>
            <w:tcW w:w="860" w:type="pct"/>
            <w:vAlign w:val="center"/>
          </w:tcPr>
          <w:p>
            <w:pPr>
              <w:pStyle w:val="59"/>
              <w:spacing w:line="240" w:lineRule="auto"/>
              <w:jc w:val="center"/>
              <w:rPr>
                <w:rFonts w:ascii="宋体" w:hAnsi="宋体" w:cs="宋体"/>
              </w:rPr>
            </w:pPr>
            <w:r>
              <w:rPr>
                <w:rFonts w:hint="eastAsia" w:ascii="宋体" w:hAnsi="宋体" w:cs="宋体"/>
              </w:rPr>
              <w:t>项目成员</w:t>
            </w:r>
          </w:p>
        </w:tc>
        <w:tc>
          <w:tcPr>
            <w:tcW w:w="3204" w:type="pct"/>
            <w:vAlign w:val="center"/>
          </w:tcPr>
          <w:p>
            <w:pPr>
              <w:pStyle w:val="59"/>
              <w:spacing w:line="240" w:lineRule="auto"/>
              <w:jc w:val="left"/>
              <w:rPr>
                <w:rFonts w:ascii="宋体" w:hAnsi="宋体" w:cs="宋体"/>
              </w:rPr>
            </w:pPr>
            <w:r>
              <w:rPr>
                <w:rFonts w:hint="eastAsia" w:ascii="宋体" w:hAnsi="宋体" w:cs="宋体"/>
              </w:rPr>
              <w:t>协助项目经理完成评价工作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60" w:type="pct"/>
            <w:vAlign w:val="center"/>
          </w:tcPr>
          <w:p>
            <w:pPr>
              <w:pStyle w:val="59"/>
              <w:spacing w:line="240" w:lineRule="auto"/>
              <w:jc w:val="center"/>
              <w:rPr>
                <w:rFonts w:ascii="宋体" w:hAnsi="宋体" w:cs="宋体"/>
              </w:rPr>
            </w:pPr>
            <w:r>
              <w:rPr>
                <w:rFonts w:hint="eastAsia" w:ascii="宋体" w:hAnsi="宋体" w:cs="宋体"/>
              </w:rPr>
              <w:t>5</w:t>
            </w:r>
          </w:p>
        </w:tc>
        <w:tc>
          <w:tcPr>
            <w:tcW w:w="473" w:type="pct"/>
            <w:vAlign w:val="center"/>
          </w:tcPr>
          <w:p>
            <w:pPr>
              <w:pStyle w:val="59"/>
              <w:spacing w:line="240" w:lineRule="auto"/>
              <w:jc w:val="center"/>
              <w:rPr>
                <w:rFonts w:ascii="宋体" w:hAnsi="宋体" w:cs="宋体"/>
              </w:rPr>
            </w:pPr>
            <w:r>
              <w:rPr>
                <w:rFonts w:hint="eastAsia" w:ascii="宋体" w:hAnsi="宋体" w:cs="宋体"/>
              </w:rPr>
              <w:t>宋亚楠</w:t>
            </w:r>
          </w:p>
        </w:tc>
        <w:tc>
          <w:tcPr>
            <w:tcW w:w="860" w:type="pct"/>
            <w:vAlign w:val="center"/>
          </w:tcPr>
          <w:p>
            <w:pPr>
              <w:pStyle w:val="59"/>
              <w:spacing w:line="240" w:lineRule="auto"/>
              <w:jc w:val="center"/>
              <w:rPr>
                <w:rFonts w:ascii="宋体" w:hAnsi="宋体" w:cs="宋体"/>
              </w:rPr>
            </w:pPr>
            <w:r>
              <w:rPr>
                <w:rFonts w:hint="eastAsia" w:ascii="宋体" w:hAnsi="宋体" w:cs="宋体"/>
              </w:rPr>
              <w:t>注册会计师/</w:t>
            </w:r>
            <w:r>
              <w:rPr>
                <w:rFonts w:hint="eastAsia" w:ascii="宋体" w:hAnsi="宋体" w:cs="宋体"/>
                <w:color w:val="000000"/>
                <w:lang w:bidi="ar"/>
              </w:rPr>
              <w:t xml:space="preserve"> PMP®</w:t>
            </w:r>
          </w:p>
        </w:tc>
        <w:tc>
          <w:tcPr>
            <w:tcW w:w="3204" w:type="pct"/>
            <w:vAlign w:val="center"/>
          </w:tcPr>
          <w:p>
            <w:pPr>
              <w:pStyle w:val="59"/>
              <w:spacing w:line="240" w:lineRule="auto"/>
              <w:jc w:val="left"/>
              <w:rPr>
                <w:rFonts w:ascii="宋体" w:hAnsi="宋体" w:cs="宋体"/>
              </w:rPr>
            </w:pPr>
            <w:r>
              <w:rPr>
                <w:rFonts w:hint="eastAsia" w:ascii="宋体" w:hAnsi="宋体" w:cs="宋体"/>
              </w:rPr>
              <w:t>作为专家对项目实施情况进行评价</w:t>
            </w:r>
          </w:p>
        </w:tc>
      </w:tr>
    </w:tbl>
    <w:p>
      <w:pPr>
        <w:spacing w:line="560" w:lineRule="exact"/>
        <w:ind w:firstLine="640" w:firstLineChars="200"/>
        <w:jc w:val="left"/>
        <w:rPr>
          <w:rFonts w:ascii="Times New Roman" w:hAnsi="Times New Roman" w:eastAsia="楷体_GB2312"/>
          <w:sz w:val="32"/>
          <w:szCs w:val="32"/>
        </w:rPr>
      </w:pPr>
    </w:p>
    <w:p>
      <w:pPr>
        <w:spacing w:line="560" w:lineRule="exact"/>
        <w:ind w:firstLine="640" w:firstLineChars="200"/>
        <w:jc w:val="left"/>
        <w:outlineLvl w:val="1"/>
        <w:rPr>
          <w:rFonts w:ascii="Times New Roman" w:hAnsi="Times New Roman" w:eastAsia="楷体"/>
          <w:sz w:val="32"/>
          <w:szCs w:val="32"/>
        </w:rPr>
      </w:pPr>
      <w:bookmarkStart w:id="222" w:name="_Toc8654"/>
      <w:bookmarkStart w:id="223" w:name="_Toc26600"/>
      <w:bookmarkStart w:id="224" w:name="_Toc6202"/>
      <w:bookmarkStart w:id="225" w:name="_Toc13482"/>
      <w:bookmarkStart w:id="226" w:name="_Toc30338"/>
      <w:bookmarkStart w:id="227" w:name="_Toc1737"/>
      <w:bookmarkStart w:id="228" w:name="_Toc27620"/>
      <w:r>
        <w:rPr>
          <w:rFonts w:ascii="Times New Roman" w:hAnsi="Times New Roman" w:eastAsia="楷体"/>
          <w:sz w:val="32"/>
          <w:szCs w:val="32"/>
        </w:rPr>
        <w:t>（六）绩效评价工作过程</w:t>
      </w:r>
      <w:bookmarkEnd w:id="221"/>
      <w:bookmarkEnd w:id="222"/>
      <w:bookmarkEnd w:id="223"/>
      <w:bookmarkEnd w:id="224"/>
      <w:bookmarkEnd w:id="225"/>
      <w:bookmarkEnd w:id="226"/>
      <w:bookmarkEnd w:id="227"/>
      <w:bookmarkEnd w:id="228"/>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本次绩效评价时间为2022年5月10日-2022年</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月10日，分为准备、实施和形成报告三个阶段。具体情况如下:</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1.评价准备阶段(5月10日-5月</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5日)</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下发绩效评价通知，搜集并学习掌握相关法律法规，政</w:t>
      </w:r>
    </w:p>
    <w:p>
      <w:pPr>
        <w:spacing w:line="560" w:lineRule="exact"/>
        <w:ind w:firstLine="0" w:firstLineChars="0"/>
        <w:rPr>
          <w:rFonts w:hint="eastAsia" w:ascii="仿宋" w:hAnsi="仿宋" w:eastAsia="仿宋" w:cs="仿宋"/>
          <w:kern w:val="0"/>
          <w:sz w:val="32"/>
          <w:szCs w:val="32"/>
        </w:rPr>
      </w:pPr>
      <w:r>
        <w:rPr>
          <w:rFonts w:hint="eastAsia" w:ascii="仿宋" w:hAnsi="仿宋" w:eastAsia="仿宋" w:cs="仿宋"/>
          <w:kern w:val="0"/>
          <w:sz w:val="32"/>
          <w:szCs w:val="32"/>
        </w:rPr>
        <w:t>策文件以及初步的项目资料，细化绩效评价指标体系，启动公司内部集体讨论会，并根据工作需求准备了现场评价工作底稿、实地调研记录表、评价意见表等基础评价工具。</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2.实施阶段(5月16日一</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日)</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本次评价采用了审核资料、现场调研两种方式。</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首先，提前审查项目单位提供的项目资料。</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其次，评价小组在审查资金的基础上，梳理和汇总分析</w:t>
      </w:r>
      <w:r>
        <w:rPr>
          <w:rFonts w:hint="eastAsia" w:ascii="仿宋" w:hAnsi="仿宋" w:eastAsia="仿宋" w:cs="仿宋"/>
          <w:kern w:val="0"/>
          <w:sz w:val="32"/>
          <w:szCs w:val="32"/>
          <w:lang w:val="en-US" w:eastAsia="zh-CN"/>
        </w:rPr>
        <w:t>枣庄高新区社会事务综合服务中心</w:t>
      </w:r>
      <w:r>
        <w:rPr>
          <w:rFonts w:hint="eastAsia" w:ascii="仿宋" w:hAnsi="仿宋" w:eastAsia="仿宋" w:cs="仿宋"/>
          <w:kern w:val="0"/>
          <w:sz w:val="32"/>
          <w:szCs w:val="32"/>
        </w:rPr>
        <w:t>提供资料情况，以初步了解“</w:t>
      </w:r>
      <w:r>
        <w:rPr>
          <w:rFonts w:hint="eastAsia" w:ascii="仿宋" w:hAnsi="仿宋" w:eastAsia="仿宋" w:cs="仿宋"/>
          <w:kern w:val="0"/>
          <w:sz w:val="32"/>
          <w:szCs w:val="32"/>
          <w:lang w:val="en-US" w:eastAsia="zh-CN"/>
        </w:rPr>
        <w:t>残疾人康复专项经费</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项目</w:t>
      </w:r>
      <w:r>
        <w:rPr>
          <w:rFonts w:hint="eastAsia" w:ascii="仿宋" w:hAnsi="仿宋" w:eastAsia="仿宋" w:cs="仿宋"/>
          <w:kern w:val="0"/>
          <w:sz w:val="32"/>
          <w:szCs w:val="32"/>
        </w:rPr>
        <w:t>的执行情况。</w:t>
      </w:r>
    </w:p>
    <w:p>
      <w:pPr>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再次，按照不低于项目数量30%以及资金量60%的比例抽取实地调研对象(项目)，采取问询、座谈、复核等多种方式，结合相关单位提供的资料及自评表格，对政策的实施和完成情况进行核实，了解政策制定、执行情况，收集相关单位的意见，建议。</w:t>
      </w:r>
    </w:p>
    <w:p>
      <w:pPr>
        <w:spacing w:line="560" w:lineRule="exact"/>
        <w:ind w:firstLine="640" w:firstLineChars="200"/>
        <w:jc w:val="left"/>
        <w:outlineLvl w:val="9"/>
        <w:rPr>
          <w:rFonts w:ascii="Times New Roman" w:hAnsi="Times New Roman" w:eastAsia="黑体"/>
          <w:sz w:val="32"/>
          <w:szCs w:val="32"/>
        </w:rPr>
      </w:pPr>
      <w:r>
        <w:rPr>
          <w:rFonts w:hint="eastAsia" w:ascii="仿宋" w:hAnsi="仿宋" w:eastAsia="仿宋" w:cs="仿宋"/>
          <w:kern w:val="0"/>
          <w:sz w:val="32"/>
          <w:szCs w:val="32"/>
        </w:rPr>
        <w:t>3.撰写并报送评价报告阶段(</w:t>
      </w:r>
      <w:r>
        <w:rPr>
          <w:rFonts w:hint="eastAsia" w:ascii="仿宋" w:hAnsi="仿宋" w:eastAsia="仿宋" w:cs="仿宋"/>
          <w:kern w:val="0"/>
          <w:sz w:val="32"/>
          <w:szCs w:val="32"/>
          <w:lang w:val="en-US" w:eastAsia="zh-CN"/>
        </w:rPr>
        <w:t>6</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11</w:t>
      </w:r>
      <w:r>
        <w:rPr>
          <w:rFonts w:hint="eastAsia" w:ascii="仿宋" w:hAnsi="仿宋" w:eastAsia="仿宋" w:cs="仿宋"/>
          <w:kern w:val="0"/>
          <w:sz w:val="32"/>
          <w:szCs w:val="32"/>
        </w:rPr>
        <w:t>日-</w:t>
      </w:r>
      <w:r>
        <w:rPr>
          <w:rFonts w:hint="eastAsia" w:ascii="仿宋" w:hAnsi="仿宋" w:eastAsia="仿宋" w:cs="仿宋"/>
          <w:kern w:val="0"/>
          <w:sz w:val="32"/>
          <w:szCs w:val="32"/>
          <w:lang w:val="en-US" w:eastAsia="zh-CN"/>
        </w:rPr>
        <w:t>7</w:t>
      </w:r>
      <w:r>
        <w:rPr>
          <w:rFonts w:hint="eastAsia" w:ascii="仿宋" w:hAnsi="仿宋" w:eastAsia="仿宋" w:cs="仿宋"/>
          <w:kern w:val="0"/>
          <w:sz w:val="32"/>
          <w:szCs w:val="32"/>
        </w:rPr>
        <w:t>月10日)根据评价意见，按照规定的文本格式和内容撰写《</w:t>
      </w:r>
      <w:r>
        <w:rPr>
          <w:rFonts w:hint="eastAsia" w:ascii="Times New Roman" w:hAnsi="Times New Roman" w:eastAsia="仿宋"/>
          <w:sz w:val="32"/>
          <w:szCs w:val="32"/>
          <w:lang w:eastAsia="zh-CN"/>
        </w:rPr>
        <w:t>2021年度枣庄高新区残疾人康复专项经费项目</w:t>
      </w:r>
      <w:r>
        <w:rPr>
          <w:rFonts w:hint="eastAsia" w:ascii="仿宋" w:hAnsi="仿宋" w:eastAsia="仿宋" w:cs="仿宋"/>
          <w:kern w:val="0"/>
          <w:sz w:val="32"/>
          <w:szCs w:val="32"/>
        </w:rPr>
        <w:t>绩效评价报告》，针对评价过程中发现的问题，提出合理性建议和改进措施，报送委托方，并根据委托方的意见进一步修改完善报告。</w:t>
      </w:r>
      <w:bookmarkStart w:id="229" w:name="_Toc71574217"/>
      <w:bookmarkStart w:id="230" w:name="_Toc632"/>
      <w:bookmarkStart w:id="231" w:name="_Toc65"/>
    </w:p>
    <w:p>
      <w:pPr>
        <w:spacing w:line="560" w:lineRule="exact"/>
        <w:ind w:firstLine="640" w:firstLineChars="200"/>
        <w:jc w:val="left"/>
        <w:outlineLvl w:val="0"/>
        <w:rPr>
          <w:rFonts w:ascii="Times New Roman" w:hAnsi="Times New Roman" w:eastAsia="黑体"/>
          <w:sz w:val="32"/>
          <w:szCs w:val="32"/>
        </w:rPr>
      </w:pPr>
      <w:bookmarkStart w:id="232" w:name="_Toc16269"/>
      <w:bookmarkStart w:id="233" w:name="_Toc21612"/>
      <w:bookmarkStart w:id="234" w:name="_Toc15001"/>
      <w:r>
        <w:rPr>
          <w:rFonts w:ascii="Times New Roman" w:hAnsi="Times New Roman" w:eastAsia="黑体"/>
          <w:sz w:val="32"/>
          <w:szCs w:val="32"/>
        </w:rPr>
        <w:t>三、评价结论和绩效分析</w:t>
      </w:r>
      <w:bookmarkEnd w:id="229"/>
      <w:bookmarkEnd w:id="230"/>
      <w:bookmarkEnd w:id="231"/>
      <w:bookmarkEnd w:id="232"/>
      <w:bookmarkEnd w:id="233"/>
      <w:bookmarkEnd w:id="234"/>
    </w:p>
    <w:p>
      <w:pPr>
        <w:spacing w:line="560" w:lineRule="exact"/>
        <w:ind w:firstLine="640" w:firstLineChars="200"/>
        <w:jc w:val="left"/>
        <w:rPr>
          <w:rFonts w:ascii="Times New Roman" w:hAnsi="Times New Roman" w:eastAsia="仿宋_GB2312"/>
          <w:sz w:val="32"/>
          <w:szCs w:val="32"/>
        </w:rPr>
      </w:pPr>
      <w:r>
        <w:rPr>
          <w:rFonts w:hint="eastAsia" w:ascii="Times New Roman" w:hAnsi="Times New Roman" w:eastAsia="仿宋"/>
          <w:sz w:val="32"/>
          <w:szCs w:val="32"/>
          <w:lang w:eastAsia="zh-CN"/>
        </w:rPr>
        <w:t>2021年度枣庄高新区残疾人康复专项经费项目</w:t>
      </w:r>
      <w:r>
        <w:rPr>
          <w:rFonts w:ascii="Times New Roman" w:hAnsi="Times New Roman" w:eastAsia="仿宋"/>
          <w:sz w:val="32"/>
          <w:szCs w:val="32"/>
        </w:rPr>
        <w:t>共投入财政资金100.00万元，支持社会事务综合服务中心残疾人康复、就业培训、重症精神病患者政府兜底等内容实施。项目的实施，取得了较好的效果，一是励志助学金保障落实残疾大学生入学，二是极大的提升了白内障患者的及时救助率，三是疾儿童基本康复服务基本全覆盖。但同时在项目实施过程中存在项目立项不够科学，缺乏申报批复规范性文件、预算编制不够科学、成本控制率较低等问题。</w:t>
      </w:r>
      <w:r>
        <w:rPr>
          <w:rFonts w:hint="eastAsia" w:ascii="Times New Roman" w:hAnsi="Times New Roman" w:eastAsia="仿宋"/>
          <w:sz w:val="32"/>
          <w:szCs w:val="32"/>
          <w:lang w:val="en-US" w:eastAsia="zh-CN"/>
        </w:rPr>
        <w:t>2021年度枣庄高新区残疾人康复专项经费项目绩效</w:t>
      </w:r>
      <w:r>
        <w:rPr>
          <w:rFonts w:ascii="Times New Roman" w:hAnsi="Times New Roman" w:eastAsia="仿宋"/>
          <w:sz w:val="32"/>
          <w:szCs w:val="32"/>
        </w:rPr>
        <w:t>评价</w:t>
      </w:r>
      <w:r>
        <w:rPr>
          <w:rFonts w:hint="eastAsia" w:ascii="Times New Roman" w:hAnsi="Times New Roman" w:eastAsia="仿宋"/>
          <w:sz w:val="32"/>
          <w:szCs w:val="32"/>
          <w:lang w:val="en-US" w:eastAsia="zh-CN"/>
        </w:rPr>
        <w:t>综合</w:t>
      </w:r>
      <w:r>
        <w:rPr>
          <w:rFonts w:ascii="Times New Roman" w:hAnsi="Times New Roman" w:eastAsia="仿宋"/>
          <w:sz w:val="32"/>
          <w:szCs w:val="32"/>
        </w:rPr>
        <w:t>得分8</w:t>
      </w:r>
      <w:r>
        <w:rPr>
          <w:rFonts w:hint="eastAsia" w:ascii="Times New Roman" w:hAnsi="Times New Roman" w:eastAsia="仿宋"/>
          <w:sz w:val="32"/>
          <w:szCs w:val="32"/>
          <w:lang w:val="en-US" w:eastAsia="zh-CN"/>
        </w:rPr>
        <w:t>9</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5</w:t>
      </w:r>
      <w:r>
        <w:rPr>
          <w:rFonts w:hint="eastAsia" w:ascii="Times New Roman" w:hAnsi="Times New Roman" w:eastAsia="仿宋"/>
          <w:sz w:val="32"/>
          <w:szCs w:val="32"/>
        </w:rPr>
        <w:t>0</w:t>
      </w:r>
      <w:r>
        <w:rPr>
          <w:rFonts w:ascii="Times New Roman" w:hAnsi="Times New Roman" w:eastAsia="仿宋"/>
          <w:sz w:val="32"/>
          <w:szCs w:val="32"/>
        </w:rPr>
        <w:t>分，评价等级为“良”，具体得分情况见表</w:t>
      </w:r>
      <w:r>
        <w:rPr>
          <w:rFonts w:hint="eastAsia" w:ascii="Times New Roman" w:hAnsi="Times New Roman" w:eastAsia="仿宋"/>
          <w:sz w:val="32"/>
          <w:szCs w:val="32"/>
          <w:lang w:val="en-US" w:eastAsia="zh-CN"/>
        </w:rPr>
        <w:t>4</w:t>
      </w:r>
      <w:r>
        <w:rPr>
          <w:rFonts w:ascii="Times New Roman" w:hAnsi="Times New Roman" w:eastAsia="仿宋"/>
          <w:sz w:val="32"/>
          <w:szCs w:val="32"/>
        </w:rPr>
        <w:t>。</w:t>
      </w:r>
    </w:p>
    <w:p>
      <w:pPr>
        <w:snapToGrid w:val="0"/>
        <w:spacing w:line="56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lang w:val="en-US" w:eastAsia="zh-CN"/>
        </w:rPr>
        <w:t xml:space="preserve">4 </w:t>
      </w:r>
      <w:r>
        <w:rPr>
          <w:rFonts w:ascii="Times New Roman" w:hAnsi="Times New Roman" w:eastAsia="黑体"/>
          <w:sz w:val="28"/>
          <w:szCs w:val="28"/>
        </w:rPr>
        <w:t>综合得分情况表</w:t>
      </w:r>
    </w:p>
    <w:tbl>
      <w:tblPr>
        <w:tblStyle w:val="39"/>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69"/>
        <w:gridCol w:w="2127"/>
        <w:gridCol w:w="2069"/>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tblHeader/>
          <w:jc w:val="center"/>
        </w:trPr>
        <w:tc>
          <w:tcPr>
            <w:tcW w:w="2069" w:type="dxa"/>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2127" w:type="dxa"/>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2069" w:type="dxa"/>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2239" w:type="dxa"/>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决策</w:t>
            </w:r>
          </w:p>
        </w:tc>
        <w:tc>
          <w:tcPr>
            <w:tcW w:w="2127"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14</w:t>
            </w:r>
          </w:p>
        </w:tc>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10.50</w:t>
            </w:r>
          </w:p>
        </w:tc>
        <w:tc>
          <w:tcPr>
            <w:tcW w:w="223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过程</w:t>
            </w:r>
          </w:p>
        </w:tc>
        <w:tc>
          <w:tcPr>
            <w:tcW w:w="2127"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16</w:t>
            </w:r>
          </w:p>
        </w:tc>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rPr>
              <w:t>14.</w:t>
            </w:r>
            <w:r>
              <w:rPr>
                <w:rFonts w:hint="eastAsia" w:ascii="宋体" w:hAnsi="宋体" w:eastAsia="宋体" w:cs="宋体"/>
                <w:szCs w:val="21"/>
                <w:lang w:val="en-US" w:eastAsia="zh-CN"/>
              </w:rPr>
              <w:t>0</w:t>
            </w:r>
            <w:r>
              <w:rPr>
                <w:rFonts w:hint="eastAsia" w:ascii="宋体" w:hAnsi="宋体" w:eastAsia="宋体" w:cs="宋体"/>
                <w:szCs w:val="21"/>
              </w:rPr>
              <w:t>0</w:t>
            </w:r>
          </w:p>
        </w:tc>
        <w:tc>
          <w:tcPr>
            <w:tcW w:w="223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lang w:val="en-US" w:eastAsia="zh-CN"/>
              </w:rPr>
              <w:t>87.50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产出</w:t>
            </w:r>
          </w:p>
        </w:tc>
        <w:tc>
          <w:tcPr>
            <w:tcW w:w="2127"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45</w:t>
            </w:r>
          </w:p>
        </w:tc>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lang w:val="en-US" w:eastAsia="zh-CN"/>
              </w:rPr>
              <w:t>4</w:t>
            </w:r>
            <w:r>
              <w:rPr>
                <w:rFonts w:hint="eastAsia" w:ascii="宋体" w:hAnsi="宋体" w:eastAsia="宋体" w:cs="宋体"/>
                <w:szCs w:val="21"/>
              </w:rPr>
              <w:t>5.00</w:t>
            </w:r>
          </w:p>
        </w:tc>
        <w:tc>
          <w:tcPr>
            <w:tcW w:w="223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lang w:val="en-US" w:eastAsia="zh-CN"/>
              </w:rPr>
              <w:t>100.00</w:t>
            </w:r>
            <w:r>
              <w:rPr>
                <w:rFonts w:hint="eastAsia" w:ascii="宋体" w:hAnsi="宋体" w:eastAsia="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效益</w:t>
            </w:r>
          </w:p>
        </w:tc>
        <w:tc>
          <w:tcPr>
            <w:tcW w:w="2127"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25</w:t>
            </w:r>
          </w:p>
        </w:tc>
        <w:tc>
          <w:tcPr>
            <w:tcW w:w="206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rPr>
              <w:t>2</w:t>
            </w:r>
            <w:r>
              <w:rPr>
                <w:rFonts w:hint="eastAsia" w:ascii="宋体" w:hAnsi="宋体" w:eastAsia="宋体" w:cs="宋体"/>
                <w:szCs w:val="21"/>
                <w:lang w:val="en-US" w:eastAsia="zh-CN"/>
              </w:rPr>
              <w:t>0</w:t>
            </w:r>
            <w:r>
              <w:rPr>
                <w:rFonts w:hint="eastAsia" w:ascii="宋体" w:hAnsi="宋体" w:eastAsia="宋体" w:cs="宋体"/>
                <w:szCs w:val="21"/>
              </w:rPr>
              <w:t>.00</w:t>
            </w:r>
          </w:p>
        </w:tc>
        <w:tc>
          <w:tcPr>
            <w:tcW w:w="2239" w:type="dxa"/>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szCs w:val="21"/>
                <w:lang w:val="en-US" w:eastAsia="zh-CN"/>
              </w:rPr>
              <w:t>80</w:t>
            </w:r>
            <w:r>
              <w:rPr>
                <w:rFonts w:hint="eastAsia" w:ascii="宋体" w:hAnsi="宋体" w:eastAsia="宋体" w:cs="宋体"/>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0" w:hRule="atLeast"/>
          <w:jc w:val="center"/>
        </w:trPr>
        <w:tc>
          <w:tcPr>
            <w:tcW w:w="2069" w:type="dxa"/>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合计</w:t>
            </w:r>
          </w:p>
        </w:tc>
        <w:tc>
          <w:tcPr>
            <w:tcW w:w="2127" w:type="dxa"/>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100</w:t>
            </w:r>
          </w:p>
        </w:tc>
        <w:tc>
          <w:tcPr>
            <w:tcW w:w="2069" w:type="dxa"/>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szCs w:val="21"/>
              </w:rPr>
              <w:t>8</w:t>
            </w:r>
            <w:r>
              <w:rPr>
                <w:rFonts w:hint="eastAsia" w:ascii="宋体" w:hAnsi="宋体" w:eastAsia="宋体" w:cs="宋体"/>
                <w:b/>
                <w:bCs/>
                <w:szCs w:val="21"/>
                <w:lang w:val="en-US" w:eastAsia="zh-CN"/>
              </w:rPr>
              <w:t>9</w:t>
            </w:r>
            <w:r>
              <w:rPr>
                <w:rFonts w:hint="eastAsia" w:ascii="宋体" w:hAnsi="宋体" w:eastAsia="宋体" w:cs="宋体"/>
                <w:b/>
                <w:bCs/>
                <w:szCs w:val="21"/>
              </w:rPr>
              <w:t>.</w:t>
            </w:r>
            <w:r>
              <w:rPr>
                <w:rFonts w:hint="eastAsia" w:ascii="宋体" w:hAnsi="宋体" w:eastAsia="宋体" w:cs="宋体"/>
                <w:b/>
                <w:bCs/>
                <w:szCs w:val="21"/>
                <w:lang w:val="en-US" w:eastAsia="zh-CN"/>
              </w:rPr>
              <w:t>5</w:t>
            </w:r>
            <w:r>
              <w:rPr>
                <w:rFonts w:hint="eastAsia" w:ascii="宋体" w:hAnsi="宋体" w:eastAsia="宋体" w:cs="宋体"/>
                <w:b/>
                <w:bCs/>
                <w:szCs w:val="21"/>
              </w:rPr>
              <w:t>0</w:t>
            </w:r>
          </w:p>
        </w:tc>
        <w:tc>
          <w:tcPr>
            <w:tcW w:w="2239" w:type="dxa"/>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szCs w:val="21"/>
              </w:rPr>
              <w:t>8</w:t>
            </w:r>
            <w:r>
              <w:rPr>
                <w:rFonts w:hint="eastAsia" w:ascii="宋体" w:hAnsi="宋体" w:eastAsia="宋体" w:cs="宋体"/>
                <w:b/>
                <w:bCs/>
                <w:szCs w:val="21"/>
                <w:lang w:val="en-US" w:eastAsia="zh-CN"/>
              </w:rPr>
              <w:t>9</w:t>
            </w:r>
            <w:r>
              <w:rPr>
                <w:rFonts w:hint="eastAsia" w:ascii="宋体" w:hAnsi="宋体" w:eastAsia="宋体" w:cs="宋体"/>
                <w:b/>
                <w:bCs/>
                <w:szCs w:val="21"/>
              </w:rPr>
              <w:t>.</w:t>
            </w:r>
            <w:r>
              <w:rPr>
                <w:rFonts w:hint="eastAsia" w:ascii="宋体" w:hAnsi="宋体" w:eastAsia="宋体" w:cs="宋体"/>
                <w:b/>
                <w:bCs/>
                <w:szCs w:val="21"/>
                <w:lang w:val="en-US" w:eastAsia="zh-CN"/>
              </w:rPr>
              <w:t>5</w:t>
            </w:r>
            <w:r>
              <w:rPr>
                <w:rFonts w:hint="eastAsia" w:ascii="宋体" w:hAnsi="宋体" w:eastAsia="宋体" w:cs="宋体"/>
                <w:b/>
                <w:bCs/>
                <w:szCs w:val="21"/>
              </w:rPr>
              <w:t>0%</w:t>
            </w:r>
          </w:p>
        </w:tc>
      </w:tr>
    </w:tbl>
    <w:p>
      <w:pPr>
        <w:spacing w:line="560" w:lineRule="exact"/>
        <w:jc w:val="left"/>
        <w:rPr>
          <w:rFonts w:ascii="Times New Roman" w:hAnsi="Times New Roman" w:eastAsia="仿宋_GB2312"/>
          <w:sz w:val="32"/>
          <w:szCs w:val="32"/>
        </w:rPr>
      </w:pPr>
    </w:p>
    <w:p>
      <w:pPr>
        <w:spacing w:line="560" w:lineRule="exact"/>
        <w:ind w:firstLine="640" w:firstLineChars="200"/>
        <w:outlineLvl w:val="0"/>
        <w:rPr>
          <w:rFonts w:ascii="Times New Roman" w:hAnsi="Times New Roman" w:eastAsia="黑体"/>
          <w:sz w:val="32"/>
          <w:szCs w:val="32"/>
        </w:rPr>
      </w:pPr>
      <w:bookmarkStart w:id="235" w:name="_Toc15088"/>
      <w:bookmarkStart w:id="236" w:name="_Toc29980"/>
      <w:bookmarkStart w:id="237" w:name="_Toc30023"/>
      <w:bookmarkStart w:id="238" w:name="_Toc15716"/>
      <w:bookmarkStart w:id="239" w:name="_Toc2457"/>
      <w:bookmarkStart w:id="240" w:name="_Toc739"/>
      <w:bookmarkStart w:id="241" w:name="_Toc71574218"/>
      <w:r>
        <w:rPr>
          <w:rFonts w:ascii="Times New Roman" w:hAnsi="Times New Roman" w:eastAsia="黑体"/>
          <w:sz w:val="32"/>
          <w:szCs w:val="32"/>
        </w:rPr>
        <w:t>四、绩效评价指标分析</w:t>
      </w:r>
      <w:bookmarkEnd w:id="235"/>
      <w:bookmarkEnd w:id="236"/>
      <w:bookmarkEnd w:id="237"/>
      <w:bookmarkEnd w:id="238"/>
      <w:bookmarkEnd w:id="239"/>
      <w:bookmarkEnd w:id="240"/>
      <w:bookmarkEnd w:id="241"/>
    </w:p>
    <w:p>
      <w:pPr>
        <w:spacing w:line="560" w:lineRule="exact"/>
        <w:ind w:firstLine="640" w:firstLineChars="200"/>
        <w:jc w:val="left"/>
        <w:outlineLvl w:val="1"/>
        <w:rPr>
          <w:rFonts w:ascii="Times New Roman" w:hAnsi="Times New Roman" w:eastAsia="楷体"/>
          <w:sz w:val="32"/>
          <w:szCs w:val="32"/>
        </w:rPr>
      </w:pPr>
      <w:bookmarkStart w:id="242" w:name="_Toc16283"/>
      <w:bookmarkStart w:id="243" w:name="_Toc20929"/>
      <w:bookmarkStart w:id="244" w:name="_Toc19039"/>
      <w:bookmarkStart w:id="245" w:name="_Toc15149"/>
      <w:bookmarkStart w:id="246" w:name="_Toc15952"/>
      <w:bookmarkStart w:id="247" w:name="_Toc6761"/>
      <w:bookmarkStart w:id="248" w:name="_Toc71574219"/>
      <w:bookmarkStart w:id="249" w:name="_Toc7101"/>
      <w:r>
        <w:rPr>
          <w:rFonts w:ascii="Times New Roman" w:hAnsi="Times New Roman" w:eastAsia="楷体"/>
          <w:sz w:val="32"/>
          <w:szCs w:val="32"/>
        </w:rPr>
        <w:t>（一）项目决策情况</w:t>
      </w:r>
      <w:bookmarkEnd w:id="242"/>
      <w:bookmarkEnd w:id="243"/>
      <w:bookmarkEnd w:id="244"/>
      <w:bookmarkEnd w:id="245"/>
      <w:bookmarkEnd w:id="246"/>
      <w:bookmarkEnd w:id="247"/>
      <w:bookmarkEnd w:id="248"/>
      <w:bookmarkEnd w:id="249"/>
    </w:p>
    <w:p>
      <w:pPr>
        <w:adjustRightInd/>
        <w:snapToGrid/>
        <w:spacing w:line="560" w:lineRule="exact"/>
        <w:ind w:firstLine="640" w:firstLineChars="200"/>
        <w:jc w:val="left"/>
        <w:rPr>
          <w:rFonts w:ascii="Times New Roman" w:hAnsi="Times New Roman" w:eastAsia="黑体"/>
          <w:sz w:val="28"/>
          <w:szCs w:val="28"/>
        </w:rPr>
      </w:pPr>
      <w:r>
        <w:rPr>
          <w:rFonts w:ascii="Times New Roman" w:hAnsi="Times New Roman" w:eastAsia="仿宋"/>
          <w:sz w:val="32"/>
          <w:szCs w:val="32"/>
        </w:rPr>
        <w:t>该项目立项依据充分、资金分配合理，但同时存在立项程序不规范，预算编制不科学，绩效目标指标明确性较差，需加强项目绩效目标编制工作。决策指标分值14分，得分10.50分，得分率</w:t>
      </w:r>
      <w:r>
        <w:rPr>
          <w:rFonts w:hint="eastAsia" w:ascii="Times New Roman" w:hAnsi="Times New Roman" w:eastAsia="仿宋"/>
          <w:sz w:val="32"/>
          <w:szCs w:val="32"/>
          <w:lang w:val="en-US" w:eastAsia="zh-CN"/>
        </w:rPr>
        <w:t>75.00</w:t>
      </w:r>
      <w:r>
        <w:rPr>
          <w:rFonts w:ascii="Times New Roman" w:hAnsi="Times New Roman" w:eastAsia="仿宋"/>
          <w:sz w:val="32"/>
          <w:szCs w:val="32"/>
        </w:rPr>
        <w:t>%（评分详见表4-1）</w:t>
      </w:r>
      <w:r>
        <w:rPr>
          <w:rFonts w:ascii="Times New Roman" w:hAnsi="Times New Roman" w:eastAsia="仿宋_GB2312"/>
          <w:sz w:val="32"/>
          <w:szCs w:val="32"/>
        </w:rPr>
        <w:t>。</w:t>
      </w:r>
    </w:p>
    <w:p>
      <w:pPr>
        <w:adjustRightInd w:val="0"/>
        <w:snapToGrid w:val="0"/>
        <w:spacing w:line="56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lang w:val="en-US" w:eastAsia="zh-CN"/>
        </w:rPr>
        <w:t xml:space="preserve">4-1 </w:t>
      </w:r>
      <w:r>
        <w:rPr>
          <w:rFonts w:ascii="Times New Roman" w:hAnsi="Times New Roman" w:eastAsia="黑体"/>
          <w:sz w:val="28"/>
          <w:szCs w:val="28"/>
        </w:rPr>
        <w:t>决策指标设定及评分情况表</w:t>
      </w:r>
    </w:p>
    <w:tbl>
      <w:tblPr>
        <w:tblStyle w:val="39"/>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263"/>
        <w:gridCol w:w="1960"/>
        <w:gridCol w:w="1123"/>
        <w:gridCol w:w="1134"/>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1263" w:type="dxa"/>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1960" w:type="dxa"/>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1123" w:type="dxa"/>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1134" w:type="dxa"/>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2099" w:type="dxa"/>
            <w:shd w:val="clear" w:color="auto" w:fill="BEBEBE" w:themeFill="background1" w:themeFillShade="BF"/>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restart"/>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决策</w:t>
            </w:r>
          </w:p>
        </w:tc>
        <w:tc>
          <w:tcPr>
            <w:tcW w:w="1263" w:type="dxa"/>
            <w:vMerge w:val="restart"/>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项目立项</w:t>
            </w:r>
          </w:p>
        </w:tc>
        <w:tc>
          <w:tcPr>
            <w:tcW w:w="1960"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立项依据充分性</w:t>
            </w:r>
          </w:p>
        </w:tc>
        <w:tc>
          <w:tcPr>
            <w:tcW w:w="1123"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4</w:t>
            </w:r>
          </w:p>
        </w:tc>
        <w:tc>
          <w:tcPr>
            <w:tcW w:w="1134"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4.00</w:t>
            </w:r>
          </w:p>
        </w:tc>
        <w:tc>
          <w:tcPr>
            <w:tcW w:w="2099"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widowControl/>
              <w:spacing w:line="240" w:lineRule="auto"/>
              <w:jc w:val="center"/>
              <w:rPr>
                <w:rFonts w:ascii="宋体" w:hAnsi="宋体" w:eastAsia="宋体" w:cs="宋体"/>
                <w:kern w:val="0"/>
                <w:szCs w:val="21"/>
              </w:rPr>
            </w:pPr>
          </w:p>
        </w:tc>
        <w:tc>
          <w:tcPr>
            <w:tcW w:w="1263" w:type="dxa"/>
            <w:vMerge w:val="continue"/>
            <w:vAlign w:val="center"/>
          </w:tcPr>
          <w:p>
            <w:pPr>
              <w:widowControl/>
              <w:spacing w:line="240" w:lineRule="auto"/>
              <w:jc w:val="center"/>
              <w:rPr>
                <w:rFonts w:ascii="宋体" w:hAnsi="宋体" w:eastAsia="宋体" w:cs="宋体"/>
                <w:kern w:val="0"/>
                <w:szCs w:val="21"/>
              </w:rPr>
            </w:pPr>
          </w:p>
        </w:tc>
        <w:tc>
          <w:tcPr>
            <w:tcW w:w="1960"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立项程序规范性</w:t>
            </w:r>
          </w:p>
        </w:tc>
        <w:tc>
          <w:tcPr>
            <w:tcW w:w="1123"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0.00</w:t>
            </w:r>
          </w:p>
        </w:tc>
        <w:tc>
          <w:tcPr>
            <w:tcW w:w="2099"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widowControl/>
              <w:spacing w:line="240" w:lineRule="auto"/>
              <w:jc w:val="center"/>
              <w:rPr>
                <w:rFonts w:ascii="宋体" w:hAnsi="宋体" w:eastAsia="宋体" w:cs="宋体"/>
                <w:kern w:val="0"/>
                <w:szCs w:val="21"/>
              </w:rPr>
            </w:pPr>
          </w:p>
        </w:tc>
        <w:tc>
          <w:tcPr>
            <w:tcW w:w="1263" w:type="dxa"/>
            <w:vMerge w:val="restart"/>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绩效目标</w:t>
            </w:r>
          </w:p>
        </w:tc>
        <w:tc>
          <w:tcPr>
            <w:tcW w:w="1960"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绩效目标（任务目标）合理性</w:t>
            </w:r>
          </w:p>
        </w:tc>
        <w:tc>
          <w:tcPr>
            <w:tcW w:w="1123"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noWrap/>
            <w:vAlign w:val="center"/>
          </w:tcPr>
          <w:p>
            <w:pPr>
              <w:widowControl/>
              <w:spacing w:line="240" w:lineRule="auto"/>
              <w:jc w:val="center"/>
              <w:rPr>
                <w:rFonts w:hint="eastAsia" w:ascii="宋体" w:hAnsi="宋体" w:eastAsia="宋体" w:cs="宋体"/>
                <w:kern w:val="0"/>
                <w:szCs w:val="21"/>
                <w:lang w:eastAsia="zh-CN"/>
              </w:rPr>
            </w:pPr>
            <w:r>
              <w:rPr>
                <w:rFonts w:hint="eastAsia" w:ascii="宋体" w:hAnsi="宋体" w:eastAsia="宋体" w:cs="宋体"/>
                <w:kern w:val="0"/>
                <w:szCs w:val="21"/>
                <w:lang w:val="en-US" w:eastAsia="zh-CN"/>
              </w:rPr>
              <w:t>2</w:t>
            </w:r>
          </w:p>
        </w:tc>
        <w:tc>
          <w:tcPr>
            <w:tcW w:w="2099"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lang w:val="en-US" w:eastAsia="zh-CN"/>
              </w:rPr>
              <w:t>100</w:t>
            </w:r>
            <w:r>
              <w:rPr>
                <w:rFonts w:hint="eastAsia" w:ascii="宋体" w:hAnsi="宋体" w:eastAsia="宋体" w:cs="宋体"/>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widowControl/>
              <w:spacing w:line="240" w:lineRule="auto"/>
              <w:jc w:val="center"/>
              <w:rPr>
                <w:rFonts w:ascii="宋体" w:hAnsi="宋体" w:eastAsia="宋体" w:cs="宋体"/>
                <w:kern w:val="0"/>
                <w:szCs w:val="21"/>
              </w:rPr>
            </w:pPr>
          </w:p>
        </w:tc>
        <w:tc>
          <w:tcPr>
            <w:tcW w:w="1263" w:type="dxa"/>
            <w:vMerge w:val="continue"/>
            <w:vAlign w:val="center"/>
          </w:tcPr>
          <w:p>
            <w:pPr>
              <w:widowControl/>
              <w:spacing w:line="240" w:lineRule="auto"/>
              <w:jc w:val="center"/>
              <w:rPr>
                <w:rFonts w:ascii="宋体" w:hAnsi="宋体" w:eastAsia="宋体" w:cs="宋体"/>
                <w:kern w:val="0"/>
                <w:szCs w:val="21"/>
              </w:rPr>
            </w:pPr>
          </w:p>
        </w:tc>
        <w:tc>
          <w:tcPr>
            <w:tcW w:w="1960"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绩效指标明确性</w:t>
            </w:r>
          </w:p>
        </w:tc>
        <w:tc>
          <w:tcPr>
            <w:tcW w:w="1123"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noWrap/>
            <w:vAlign w:val="center"/>
          </w:tcPr>
          <w:p>
            <w:pPr>
              <w:widowControl/>
              <w:spacing w:line="24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1.50</w:t>
            </w:r>
          </w:p>
        </w:tc>
        <w:tc>
          <w:tcPr>
            <w:tcW w:w="2099"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lang w:val="en-US" w:eastAsia="zh-CN"/>
              </w:rPr>
              <w:t>75</w:t>
            </w:r>
            <w:r>
              <w:rPr>
                <w:rFonts w:hint="eastAsia" w:ascii="宋体" w:hAnsi="宋体" w:eastAsia="宋体" w:cs="宋体"/>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widowControl/>
              <w:spacing w:line="240" w:lineRule="auto"/>
              <w:jc w:val="center"/>
              <w:rPr>
                <w:rFonts w:ascii="宋体" w:hAnsi="宋体" w:eastAsia="宋体" w:cs="宋体"/>
                <w:kern w:val="0"/>
                <w:szCs w:val="21"/>
              </w:rPr>
            </w:pPr>
          </w:p>
        </w:tc>
        <w:tc>
          <w:tcPr>
            <w:tcW w:w="1263" w:type="dxa"/>
            <w:vMerge w:val="restart"/>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资金投入</w:t>
            </w:r>
          </w:p>
        </w:tc>
        <w:tc>
          <w:tcPr>
            <w:tcW w:w="1960"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预算编制科学性</w:t>
            </w:r>
          </w:p>
        </w:tc>
        <w:tc>
          <w:tcPr>
            <w:tcW w:w="1123"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0</w:t>
            </w:r>
            <w:r>
              <w:rPr>
                <w:rFonts w:hint="eastAsia" w:ascii="宋体" w:hAnsi="宋体" w:eastAsia="宋体" w:cs="宋体"/>
                <w:kern w:val="0"/>
                <w:szCs w:val="21"/>
              </w:rPr>
              <w:t>0</w:t>
            </w:r>
          </w:p>
        </w:tc>
        <w:tc>
          <w:tcPr>
            <w:tcW w:w="2099"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lang w:val="en-US" w:eastAsia="zh-CN"/>
              </w:rPr>
              <w:t>50</w:t>
            </w:r>
            <w:r>
              <w:rPr>
                <w:rFonts w:hint="eastAsia" w:ascii="宋体" w:hAnsi="宋体" w:eastAsia="宋体" w:cs="宋体"/>
                <w:kern w:val="0"/>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53" w:type="dxa"/>
            <w:vMerge w:val="continue"/>
            <w:vAlign w:val="center"/>
          </w:tcPr>
          <w:p>
            <w:pPr>
              <w:widowControl/>
              <w:spacing w:line="240" w:lineRule="auto"/>
              <w:jc w:val="center"/>
              <w:rPr>
                <w:rFonts w:ascii="宋体" w:hAnsi="宋体" w:eastAsia="宋体" w:cs="宋体"/>
                <w:kern w:val="0"/>
                <w:szCs w:val="21"/>
              </w:rPr>
            </w:pPr>
          </w:p>
        </w:tc>
        <w:tc>
          <w:tcPr>
            <w:tcW w:w="1263" w:type="dxa"/>
            <w:vMerge w:val="continue"/>
            <w:vAlign w:val="center"/>
          </w:tcPr>
          <w:p>
            <w:pPr>
              <w:widowControl/>
              <w:spacing w:line="240" w:lineRule="auto"/>
              <w:jc w:val="center"/>
              <w:rPr>
                <w:rFonts w:ascii="宋体" w:hAnsi="宋体" w:eastAsia="宋体" w:cs="宋体"/>
                <w:kern w:val="0"/>
                <w:szCs w:val="21"/>
              </w:rPr>
            </w:pPr>
          </w:p>
        </w:tc>
        <w:tc>
          <w:tcPr>
            <w:tcW w:w="1960"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资金分配合理性</w:t>
            </w:r>
          </w:p>
        </w:tc>
        <w:tc>
          <w:tcPr>
            <w:tcW w:w="1123" w:type="dxa"/>
            <w:shd w:val="clear" w:color="auto" w:fill="auto"/>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2</w:t>
            </w:r>
          </w:p>
        </w:tc>
        <w:tc>
          <w:tcPr>
            <w:tcW w:w="1134"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2.00</w:t>
            </w:r>
          </w:p>
        </w:tc>
        <w:tc>
          <w:tcPr>
            <w:tcW w:w="2099" w:type="dxa"/>
            <w:shd w:val="clear" w:color="auto" w:fill="auto"/>
            <w:noWrap/>
            <w:vAlign w:val="center"/>
          </w:tcPr>
          <w:p>
            <w:pPr>
              <w:widowControl/>
              <w:spacing w:line="240" w:lineRule="auto"/>
              <w:jc w:val="center"/>
              <w:rPr>
                <w:rFonts w:ascii="宋体" w:hAnsi="宋体" w:eastAsia="宋体" w:cs="宋体"/>
                <w:kern w:val="0"/>
                <w:szCs w:val="21"/>
              </w:rPr>
            </w:pPr>
            <w:r>
              <w:rPr>
                <w:rFonts w:hint="eastAsia" w:ascii="宋体" w:hAnsi="宋体" w:eastAsia="宋体" w:cs="宋体"/>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6" w:type="dxa"/>
            <w:gridSpan w:val="3"/>
            <w:shd w:val="clear" w:color="auto" w:fill="auto"/>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1123" w:type="dxa"/>
            <w:shd w:val="clear" w:color="auto" w:fill="auto"/>
            <w:vAlign w:val="center"/>
          </w:tcPr>
          <w:p>
            <w:pPr>
              <w:widowControl/>
              <w:spacing w:line="240" w:lineRule="auto"/>
              <w:jc w:val="center"/>
              <w:rPr>
                <w:rFonts w:ascii="宋体" w:hAnsi="宋体" w:eastAsia="宋体" w:cs="宋体"/>
                <w:b/>
                <w:bCs/>
                <w:kern w:val="0"/>
                <w:szCs w:val="21"/>
              </w:rPr>
            </w:pPr>
            <w:r>
              <w:rPr>
                <w:rFonts w:hint="eastAsia" w:ascii="宋体" w:hAnsi="宋体" w:eastAsia="宋体" w:cs="宋体"/>
                <w:b/>
                <w:bCs/>
                <w:kern w:val="0"/>
                <w:szCs w:val="21"/>
              </w:rPr>
              <w:t>14</w:t>
            </w:r>
          </w:p>
        </w:tc>
        <w:tc>
          <w:tcPr>
            <w:tcW w:w="1134" w:type="dxa"/>
            <w:shd w:val="clear" w:color="auto" w:fill="auto"/>
            <w:noWrap/>
            <w:vAlign w:val="center"/>
          </w:tcPr>
          <w:p>
            <w:pPr>
              <w:widowControl/>
              <w:spacing w:line="240" w:lineRule="auto"/>
              <w:jc w:val="center"/>
              <w:rPr>
                <w:rFonts w:ascii="宋体" w:hAnsi="宋体" w:eastAsia="宋体" w:cs="宋体"/>
                <w:b/>
                <w:bCs/>
                <w:color w:val="000000"/>
                <w:kern w:val="0"/>
                <w:szCs w:val="21"/>
              </w:rPr>
            </w:pPr>
            <w:r>
              <w:rPr>
                <w:rFonts w:hint="eastAsia" w:ascii="宋体" w:hAnsi="宋体" w:eastAsia="宋体" w:cs="宋体"/>
                <w:b/>
                <w:bCs/>
                <w:color w:val="000000"/>
                <w:szCs w:val="21"/>
              </w:rPr>
              <w:t>10.50</w:t>
            </w:r>
          </w:p>
        </w:tc>
        <w:tc>
          <w:tcPr>
            <w:tcW w:w="2099" w:type="dxa"/>
            <w:shd w:val="clear" w:color="auto" w:fill="auto"/>
            <w:noWrap/>
            <w:vAlign w:val="center"/>
          </w:tcPr>
          <w:p>
            <w:pPr>
              <w:widowControl/>
              <w:spacing w:line="240" w:lineRule="auto"/>
              <w:jc w:val="center"/>
              <w:rPr>
                <w:rFonts w:ascii="宋体" w:hAnsi="宋体" w:eastAsia="宋体" w:cs="宋体"/>
                <w:color w:val="000000"/>
                <w:kern w:val="0"/>
                <w:szCs w:val="21"/>
              </w:rPr>
            </w:pPr>
            <w:r>
              <w:rPr>
                <w:rFonts w:hint="eastAsia" w:ascii="宋体" w:hAnsi="宋体" w:eastAsia="宋体" w:cs="宋体"/>
                <w:color w:val="000000"/>
                <w:szCs w:val="21"/>
              </w:rPr>
              <w:t>75.00%</w:t>
            </w:r>
          </w:p>
        </w:tc>
      </w:tr>
    </w:tbl>
    <w:p>
      <w:pPr>
        <w:adjustRightInd w:val="0"/>
        <w:snapToGrid w:val="0"/>
        <w:spacing w:line="560" w:lineRule="exact"/>
        <w:rPr>
          <w:rFonts w:ascii="Times New Roman" w:hAnsi="Times New Roman" w:eastAsia="仿宋_GB2312"/>
          <w:bCs/>
          <w:sz w:val="32"/>
          <w:szCs w:val="32"/>
        </w:rPr>
      </w:pPr>
    </w:p>
    <w:p>
      <w:pPr>
        <w:adjustRightInd w:val="0"/>
        <w:snapToGrid w:val="0"/>
        <w:spacing w:line="560" w:lineRule="exact"/>
        <w:ind w:firstLine="640" w:firstLineChars="200"/>
        <w:outlineLvl w:val="2"/>
        <w:rPr>
          <w:rFonts w:ascii="Times New Roman" w:hAnsi="Times New Roman" w:eastAsia="仿宋"/>
          <w:bCs/>
          <w:sz w:val="32"/>
          <w:szCs w:val="32"/>
        </w:rPr>
      </w:pPr>
      <w:bookmarkStart w:id="250" w:name="_Toc12400"/>
      <w:bookmarkStart w:id="251" w:name="_Toc67497091"/>
      <w:bookmarkStart w:id="252" w:name="_Toc18209"/>
      <w:bookmarkStart w:id="253" w:name="_Toc71573244"/>
      <w:bookmarkStart w:id="254" w:name="_Toc12967"/>
      <w:bookmarkStart w:id="255" w:name="_Toc21965"/>
      <w:bookmarkStart w:id="256" w:name="_Toc28568"/>
      <w:bookmarkStart w:id="257" w:name="_Toc26466"/>
      <w:bookmarkStart w:id="258" w:name="_Toc18379"/>
      <w:bookmarkStart w:id="259" w:name="_Toc71574220"/>
      <w:r>
        <w:rPr>
          <w:rFonts w:ascii="Times New Roman" w:hAnsi="Times New Roman" w:eastAsia="仿宋_GB2312"/>
          <w:bCs/>
          <w:sz w:val="32"/>
          <w:szCs w:val="32"/>
        </w:rPr>
        <w:t>1</w:t>
      </w:r>
      <w:r>
        <w:rPr>
          <w:rFonts w:ascii="Times New Roman" w:hAnsi="Times New Roman" w:eastAsia="仿宋"/>
          <w:bCs/>
          <w:sz w:val="32"/>
          <w:szCs w:val="32"/>
        </w:rPr>
        <w:t>.项目立项</w:t>
      </w:r>
      <w:bookmarkEnd w:id="250"/>
      <w:bookmarkEnd w:id="251"/>
      <w:bookmarkEnd w:id="252"/>
      <w:bookmarkEnd w:id="253"/>
      <w:bookmarkEnd w:id="254"/>
      <w:bookmarkEnd w:id="255"/>
      <w:bookmarkEnd w:id="256"/>
      <w:bookmarkEnd w:id="257"/>
      <w:bookmarkEnd w:id="258"/>
      <w:bookmarkEnd w:id="259"/>
    </w:p>
    <w:p>
      <w:pPr>
        <w:spacing w:line="560" w:lineRule="exact"/>
        <w:ind w:firstLine="640" w:firstLineChars="200"/>
        <w:jc w:val="left"/>
        <w:outlineLvl w:val="3"/>
        <w:rPr>
          <w:rFonts w:ascii="Times New Roman" w:hAnsi="Times New Roman" w:eastAsia="仿宋"/>
          <w:sz w:val="32"/>
          <w:szCs w:val="32"/>
        </w:rPr>
      </w:pPr>
      <w:r>
        <w:rPr>
          <w:rFonts w:ascii="Times New Roman" w:hAnsi="Times New Roman" w:eastAsia="仿宋"/>
          <w:sz w:val="32"/>
          <w:szCs w:val="32"/>
        </w:rPr>
        <w:t>（1）立项依据充分性</w:t>
      </w:r>
    </w:p>
    <w:p>
      <w:pPr>
        <w:pStyle w:val="36"/>
        <w:widowControl/>
        <w:shd w:val="clear" w:color="auto" w:fill="FFFFFF"/>
        <w:spacing w:line="560" w:lineRule="exact"/>
        <w:ind w:firstLine="643" w:firstLineChars="200"/>
        <w:jc w:val="both"/>
        <w:rPr>
          <w:rFonts w:hint="default" w:ascii="Times New Roman" w:hAnsi="Times New Roman" w:eastAsia="仿宋"/>
          <w:sz w:val="32"/>
          <w:szCs w:val="32"/>
        </w:rPr>
      </w:pPr>
      <w:r>
        <w:rPr>
          <w:rFonts w:hint="default" w:ascii="Times New Roman" w:hAnsi="Times New Roman" w:eastAsia="仿宋"/>
          <w:b/>
          <w:bCs/>
          <w:kern w:val="2"/>
          <w:sz w:val="32"/>
          <w:szCs w:val="32"/>
        </w:rPr>
        <w:t>项目立项依据充分。</w:t>
      </w:r>
      <w:r>
        <w:rPr>
          <w:rFonts w:hint="default" w:ascii="Times New Roman" w:hAnsi="Times New Roman" w:eastAsia="仿宋"/>
          <w:kern w:val="2"/>
          <w:sz w:val="32"/>
          <w:szCs w:val="32"/>
        </w:rPr>
        <w:t>枣庄市社会事务综合服务中心2021年残疾人康复专项经费项目立项符合国家法律法规、国民经济发展规划，同时符合残疾人康复适行业发展规划和政策要求，根据枣庄市第十六届人民代表大会第五次会议上的政府工作报告、《关于枣庄市残疾儿童康复救助实施办法的通知》《枣庄市创建白内障无障碍市实施方案的通知》《关于全面完成2021年年全市困难低保重度残疾人家庭无障碍改造任务的通知》《在脱贫攻坚中做好贫困重度残疾人照护</w:t>
      </w:r>
      <w:r>
        <w:rPr>
          <w:rFonts w:hint="default" w:ascii="Times New Roman" w:hAnsi="Times New Roman" w:eastAsia="仿宋"/>
          <w:sz w:val="32"/>
          <w:szCs w:val="32"/>
        </w:rPr>
        <w:t>服务工作的通知》《枣庄市市直定点机构残疾人康复项目管理及实施方案汇编》</w:t>
      </w:r>
      <w:r>
        <w:rPr>
          <w:rFonts w:hint="default" w:ascii="Times New Roman" w:hAnsi="Times New Roman" w:eastAsia="仿宋"/>
          <w:kern w:val="2"/>
          <w:sz w:val="32"/>
          <w:szCs w:val="32"/>
        </w:rPr>
        <w:t>等文件开展项目，</w:t>
      </w:r>
      <w:r>
        <w:rPr>
          <w:rFonts w:hint="default" w:ascii="Times New Roman" w:hAnsi="Times New Roman" w:eastAsia="仿宋"/>
          <w:sz w:val="32"/>
          <w:szCs w:val="32"/>
        </w:rPr>
        <w:t>项目内容基本与枣庄市综合事务服务中心“十四五”发展战略、工作要点相吻合。满分4分，得4分，得分率为100.00%。</w:t>
      </w:r>
    </w:p>
    <w:p>
      <w:pPr>
        <w:spacing w:line="560" w:lineRule="exact"/>
        <w:ind w:firstLine="640" w:firstLineChars="200"/>
        <w:jc w:val="left"/>
        <w:outlineLvl w:val="3"/>
        <w:rPr>
          <w:rFonts w:ascii="Times New Roman" w:hAnsi="Times New Roman" w:eastAsia="仿宋"/>
          <w:sz w:val="32"/>
          <w:szCs w:val="32"/>
        </w:rPr>
      </w:pPr>
      <w:r>
        <w:rPr>
          <w:rFonts w:ascii="Times New Roman" w:hAnsi="Times New Roman" w:eastAsia="仿宋"/>
          <w:sz w:val="32"/>
          <w:szCs w:val="32"/>
        </w:rPr>
        <w:t>（2）立项程序规范性</w:t>
      </w:r>
    </w:p>
    <w:p>
      <w:pPr>
        <w:spacing w:line="560" w:lineRule="exact"/>
        <w:ind w:firstLine="643" w:firstLineChars="200"/>
        <w:jc w:val="left"/>
        <w:rPr>
          <w:rFonts w:ascii="Times New Roman" w:hAnsi="Times New Roman" w:eastAsia="仿宋"/>
          <w:sz w:val="32"/>
          <w:szCs w:val="32"/>
        </w:rPr>
      </w:pPr>
      <w:bookmarkStart w:id="260" w:name="_Hlk35004988"/>
      <w:r>
        <w:rPr>
          <w:rFonts w:ascii="Times New Roman" w:hAnsi="Times New Roman" w:eastAsia="仿宋"/>
          <w:b/>
          <w:bCs/>
          <w:sz w:val="32"/>
          <w:szCs w:val="32"/>
        </w:rPr>
        <w:t>项目立项程序不规范。</w:t>
      </w:r>
      <w:r>
        <w:rPr>
          <w:rFonts w:ascii="Times New Roman" w:hAnsi="Times New Roman" w:eastAsia="仿宋"/>
          <w:sz w:val="32"/>
          <w:szCs w:val="32"/>
        </w:rPr>
        <w:t>枣庄市社会事务综合服务中心2021年残疾人康复专项经费项目，申报、批复程序不规范，缺乏相关的审批文件和申报材料，项目事前未经过必要的可行性研究、专家论证、风险评估、绩效评估、集体决策等，项目整体立项材料与程序不规范</w:t>
      </w:r>
      <w:bookmarkEnd w:id="260"/>
      <w:r>
        <w:rPr>
          <w:rFonts w:ascii="Times New Roman" w:hAnsi="Times New Roman" w:eastAsia="仿宋"/>
          <w:sz w:val="32"/>
          <w:szCs w:val="32"/>
        </w:rPr>
        <w:t>。满分2.00分，得0.00分，得分率为0.00%。</w:t>
      </w:r>
    </w:p>
    <w:p>
      <w:pPr>
        <w:adjustRightInd w:val="0"/>
        <w:snapToGrid w:val="0"/>
        <w:spacing w:line="560" w:lineRule="exact"/>
        <w:ind w:firstLine="640" w:firstLineChars="200"/>
        <w:outlineLvl w:val="2"/>
        <w:rPr>
          <w:rFonts w:ascii="Times New Roman" w:hAnsi="Times New Roman" w:eastAsia="仿宋"/>
          <w:bCs/>
          <w:sz w:val="32"/>
          <w:szCs w:val="32"/>
        </w:rPr>
      </w:pPr>
      <w:bookmarkStart w:id="261" w:name="_Toc71574221"/>
      <w:bookmarkStart w:id="262" w:name="_Toc71573245"/>
      <w:bookmarkStart w:id="263" w:name="_Toc11192"/>
      <w:bookmarkStart w:id="264" w:name="_Toc24404"/>
      <w:bookmarkStart w:id="265" w:name="_Toc31271"/>
      <w:bookmarkStart w:id="266" w:name="_Toc43"/>
      <w:bookmarkStart w:id="267" w:name="_Toc67497092"/>
      <w:bookmarkStart w:id="268" w:name="_Toc3910"/>
      <w:bookmarkStart w:id="269" w:name="_Toc2351"/>
      <w:bookmarkStart w:id="270" w:name="_Toc18698"/>
      <w:r>
        <w:rPr>
          <w:rFonts w:ascii="Times New Roman" w:hAnsi="Times New Roman" w:eastAsia="仿宋"/>
          <w:bCs/>
          <w:sz w:val="32"/>
          <w:szCs w:val="32"/>
        </w:rPr>
        <w:t>2.绩效目标</w:t>
      </w:r>
      <w:bookmarkEnd w:id="261"/>
      <w:bookmarkEnd w:id="262"/>
      <w:bookmarkEnd w:id="263"/>
      <w:bookmarkEnd w:id="264"/>
      <w:bookmarkEnd w:id="265"/>
      <w:bookmarkEnd w:id="266"/>
      <w:bookmarkEnd w:id="267"/>
      <w:bookmarkEnd w:id="268"/>
      <w:bookmarkEnd w:id="269"/>
      <w:bookmarkEnd w:id="270"/>
    </w:p>
    <w:p>
      <w:pPr>
        <w:pStyle w:val="6"/>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（1）绩效目标合理性</w:t>
      </w:r>
    </w:p>
    <w:p>
      <w:pPr>
        <w:widowControl/>
        <w:adjustRightInd w:val="0"/>
        <w:snapToGrid w:val="0"/>
        <w:spacing w:line="560" w:lineRule="exact"/>
        <w:ind w:firstLine="643" w:firstLineChars="200"/>
        <w:jc w:val="left"/>
        <w:rPr>
          <w:rFonts w:ascii="Times New Roman" w:hAnsi="Times New Roman" w:eastAsia="仿宋"/>
          <w:bCs/>
          <w:kern w:val="0"/>
          <w:sz w:val="32"/>
          <w:szCs w:val="32"/>
        </w:rPr>
      </w:pPr>
      <w:r>
        <w:rPr>
          <w:rFonts w:ascii="Times New Roman" w:hAnsi="Times New Roman" w:eastAsia="仿宋"/>
          <w:b/>
          <w:kern w:val="0"/>
          <w:sz w:val="32"/>
          <w:szCs w:val="32"/>
        </w:rPr>
        <w:t>项目绩效目标合理。</w:t>
      </w:r>
      <w:r>
        <w:rPr>
          <w:rFonts w:ascii="Times New Roman" w:hAnsi="Times New Roman" w:eastAsia="仿宋"/>
          <w:bCs/>
          <w:kern w:val="0"/>
          <w:sz w:val="32"/>
          <w:szCs w:val="32"/>
        </w:rPr>
        <w:t>枣庄市残疾人康复专项经费项目，项目单位制定了具体的绩效目标，且绩效目标与实际工作内容具有相关性，与预算确定的项目投资额或资金量相匹配。</w:t>
      </w:r>
      <w:r>
        <w:rPr>
          <w:rFonts w:ascii="Times New Roman" w:hAnsi="Times New Roman" w:eastAsia="仿宋"/>
          <w:sz w:val="32"/>
          <w:szCs w:val="32"/>
        </w:rPr>
        <w:t>满分2分，得2.00分，得分率为100.00%。</w:t>
      </w:r>
    </w:p>
    <w:p>
      <w:pPr>
        <w:pStyle w:val="6"/>
        <w:adjustRightInd w:val="0"/>
        <w:snapToGrid w:val="0"/>
        <w:spacing w:before="0" w:after="0" w:line="560" w:lineRule="exact"/>
        <w:ind w:firstLine="640" w:firstLineChars="200"/>
        <w:rPr>
          <w:rFonts w:ascii="Times New Roman" w:hAnsi="Times New Roman" w:eastAsia="仿宋"/>
          <w:bCs w:val="0"/>
          <w:kern w:val="0"/>
          <w:sz w:val="32"/>
          <w:szCs w:val="32"/>
        </w:rPr>
      </w:pPr>
      <w:r>
        <w:rPr>
          <w:rFonts w:ascii="Times New Roman" w:hAnsi="Times New Roman" w:eastAsia="仿宋"/>
          <w:b w:val="0"/>
          <w:sz w:val="32"/>
          <w:szCs w:val="32"/>
        </w:rPr>
        <w:t>（2）绩效指标明确性</w:t>
      </w:r>
    </w:p>
    <w:p>
      <w:pPr>
        <w:widowControl/>
        <w:adjustRightInd w:val="0"/>
        <w:snapToGrid w:val="0"/>
        <w:spacing w:line="560" w:lineRule="exact"/>
        <w:ind w:firstLine="643" w:firstLineChars="200"/>
        <w:jc w:val="left"/>
        <w:rPr>
          <w:rFonts w:ascii="Times New Roman" w:hAnsi="Times New Roman" w:eastAsia="仿宋"/>
          <w:bCs/>
          <w:kern w:val="0"/>
          <w:sz w:val="32"/>
          <w:szCs w:val="32"/>
        </w:rPr>
      </w:pPr>
      <w:r>
        <w:rPr>
          <w:rFonts w:ascii="Times New Roman" w:hAnsi="Times New Roman" w:eastAsia="仿宋"/>
          <w:b/>
          <w:kern w:val="0"/>
          <w:sz w:val="32"/>
          <w:szCs w:val="32"/>
        </w:rPr>
        <w:t>项目绩效指标不够清晰。</w:t>
      </w:r>
      <w:r>
        <w:rPr>
          <w:rFonts w:ascii="Times New Roman" w:hAnsi="Times New Roman" w:eastAsia="仿宋"/>
          <w:bCs/>
          <w:kern w:val="0"/>
          <w:sz w:val="32"/>
          <w:szCs w:val="32"/>
        </w:rPr>
        <w:t>枣庄市残疾人康复专项经费项目设定了相关绩效目标，但未根据绩效目标能够细化分解为具体的绩效指标，如其中一绩效目标为“如康家园建设用于残疾康复、手工培训、日间照料场所”未设定相关的绩效指标且未对指标进行细化、量化，如“开展手工培训多少场次，日间照料场所建设多少间”等，</w:t>
      </w:r>
      <w:r>
        <w:rPr>
          <w:rFonts w:ascii="Times New Roman" w:hAnsi="Times New Roman" w:eastAsia="仿宋"/>
          <w:color w:val="000000"/>
          <w:sz w:val="32"/>
          <w:szCs w:val="32"/>
        </w:rPr>
        <w:t>不利于项目后期绩效考核</w:t>
      </w:r>
      <w:r>
        <w:rPr>
          <w:rFonts w:ascii="Times New Roman" w:hAnsi="Times New Roman" w:eastAsia="仿宋"/>
          <w:bCs/>
          <w:kern w:val="0"/>
          <w:sz w:val="32"/>
          <w:szCs w:val="32"/>
        </w:rPr>
        <w:t>。</w:t>
      </w:r>
      <w:r>
        <w:rPr>
          <w:rFonts w:ascii="Times New Roman" w:hAnsi="Times New Roman" w:eastAsia="仿宋"/>
          <w:sz w:val="32"/>
          <w:szCs w:val="32"/>
        </w:rPr>
        <w:t>满分2分，得1.50分，得分率为75.00%。</w:t>
      </w:r>
    </w:p>
    <w:p>
      <w:pPr>
        <w:adjustRightInd w:val="0"/>
        <w:snapToGrid w:val="0"/>
        <w:spacing w:line="560" w:lineRule="exact"/>
        <w:ind w:firstLine="640" w:firstLineChars="200"/>
        <w:outlineLvl w:val="2"/>
        <w:rPr>
          <w:rFonts w:ascii="Times New Roman" w:hAnsi="Times New Roman" w:eastAsia="仿宋"/>
          <w:bCs/>
          <w:sz w:val="32"/>
          <w:szCs w:val="32"/>
        </w:rPr>
      </w:pPr>
      <w:bookmarkStart w:id="271" w:name="_Toc39"/>
      <w:bookmarkStart w:id="272" w:name="_Toc67497093"/>
      <w:bookmarkStart w:id="273" w:name="_Toc14327"/>
      <w:bookmarkStart w:id="274" w:name="_Toc71573246"/>
      <w:bookmarkStart w:id="275" w:name="_Toc5722"/>
      <w:bookmarkStart w:id="276" w:name="_Toc26539"/>
      <w:bookmarkStart w:id="277" w:name="_Toc71574222"/>
      <w:bookmarkStart w:id="278" w:name="_Toc3148"/>
      <w:bookmarkStart w:id="279" w:name="_Toc15421"/>
      <w:bookmarkStart w:id="280" w:name="_Toc32132"/>
      <w:r>
        <w:rPr>
          <w:rFonts w:ascii="Times New Roman" w:hAnsi="Times New Roman" w:eastAsia="仿宋"/>
          <w:bCs/>
          <w:sz w:val="32"/>
          <w:szCs w:val="32"/>
        </w:rPr>
        <w:t>3.资金投入</w:t>
      </w:r>
      <w:bookmarkEnd w:id="271"/>
      <w:bookmarkEnd w:id="272"/>
      <w:bookmarkEnd w:id="273"/>
      <w:bookmarkEnd w:id="274"/>
      <w:bookmarkEnd w:id="275"/>
      <w:bookmarkEnd w:id="276"/>
      <w:bookmarkEnd w:id="277"/>
      <w:bookmarkEnd w:id="278"/>
      <w:bookmarkEnd w:id="279"/>
      <w:bookmarkEnd w:id="280"/>
    </w:p>
    <w:p>
      <w:pPr>
        <w:pStyle w:val="6"/>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（1）预算编制科学性</w:t>
      </w:r>
    </w:p>
    <w:p>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预算编制不科学。</w:t>
      </w:r>
      <w:r>
        <w:rPr>
          <w:rFonts w:ascii="Times New Roman" w:hAnsi="Times New Roman" w:eastAsia="仿宋"/>
          <w:sz w:val="32"/>
          <w:szCs w:val="32"/>
        </w:rPr>
        <w:t>枣庄市残疾人康复专项经费项目，项目主管单位预算编制不科学，预算编制未经过科学论证、测算依据不充分，且预算确定的项目投资额或资金量与工作任务不相匹配，项目预算基金为120.00万元，实际支出资金为130.97万元，预算编制不科学有效。满分2.00分，得1.00分,得分率为50.00%。</w:t>
      </w:r>
    </w:p>
    <w:p>
      <w:pPr>
        <w:pStyle w:val="6"/>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（2）资金分配合理性</w:t>
      </w:r>
    </w:p>
    <w:p>
      <w:pPr>
        <w:pStyle w:val="59"/>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资金分配合理。</w:t>
      </w:r>
      <w:bookmarkStart w:id="281" w:name="_Toc34639221"/>
      <w:bookmarkStart w:id="282" w:name="_Toc54252558"/>
      <w:r>
        <w:rPr>
          <w:rFonts w:ascii="Times New Roman" w:hAnsi="Times New Roman" w:eastAsia="仿宋"/>
          <w:sz w:val="32"/>
          <w:szCs w:val="32"/>
        </w:rPr>
        <w:t>枣庄市残疾人康复专项项目,项目预算资金分配根据枣庄市《关于下达2021年残疾人事业发展补助等资金预算指标的通知》《关于全面完成2021年全市困难低保重度残疾人家庭无障碍改造任务的通知》等文件进行资金的分配，资金的分配与补助对象实际相适应。满分2.00分，得分2.00分，得分率为100.00%。</w:t>
      </w:r>
    </w:p>
    <w:p>
      <w:pPr>
        <w:adjustRightInd w:val="0"/>
        <w:snapToGrid w:val="0"/>
        <w:spacing w:line="560" w:lineRule="exact"/>
        <w:ind w:firstLine="640" w:firstLineChars="200"/>
        <w:jc w:val="left"/>
        <w:outlineLvl w:val="1"/>
        <w:rPr>
          <w:rFonts w:ascii="Times New Roman" w:hAnsi="Times New Roman" w:eastAsia="楷体"/>
          <w:sz w:val="32"/>
          <w:szCs w:val="32"/>
        </w:rPr>
      </w:pPr>
      <w:bookmarkStart w:id="283" w:name="_Toc25433"/>
      <w:bookmarkStart w:id="284" w:name="_Toc12949"/>
      <w:bookmarkStart w:id="285" w:name="_Toc13942"/>
      <w:bookmarkStart w:id="286" w:name="_Toc24887"/>
      <w:bookmarkStart w:id="287" w:name="_Toc71574223"/>
      <w:bookmarkStart w:id="288" w:name="_Toc26591"/>
      <w:bookmarkStart w:id="289" w:name="_Toc31932"/>
      <w:bookmarkStart w:id="290" w:name="_Toc17299"/>
      <w:r>
        <w:rPr>
          <w:rFonts w:ascii="Times New Roman" w:hAnsi="Times New Roman" w:eastAsia="楷体"/>
          <w:sz w:val="32"/>
          <w:szCs w:val="32"/>
        </w:rPr>
        <w:t>（二）</w:t>
      </w:r>
      <w:bookmarkEnd w:id="281"/>
      <w:r>
        <w:rPr>
          <w:rFonts w:ascii="Times New Roman" w:hAnsi="Times New Roman" w:eastAsia="楷体"/>
          <w:sz w:val="32"/>
          <w:szCs w:val="32"/>
        </w:rPr>
        <w:t>项目过程情况</w:t>
      </w:r>
      <w:bookmarkEnd w:id="282"/>
      <w:bookmarkEnd w:id="283"/>
      <w:bookmarkEnd w:id="284"/>
      <w:bookmarkEnd w:id="285"/>
      <w:bookmarkEnd w:id="286"/>
      <w:bookmarkEnd w:id="287"/>
      <w:bookmarkEnd w:id="288"/>
      <w:bookmarkEnd w:id="289"/>
      <w:bookmarkEnd w:id="290"/>
    </w:p>
    <w:p>
      <w:pPr>
        <w:adjustRightInd w:val="0"/>
        <w:snapToGrid w:val="0"/>
        <w:spacing w:line="560" w:lineRule="exact"/>
        <w:ind w:firstLine="640" w:firstLineChars="200"/>
        <w:jc w:val="left"/>
        <w:rPr>
          <w:rFonts w:ascii="Times New Roman" w:hAnsi="Times New Roman" w:eastAsia="黑体"/>
          <w:sz w:val="28"/>
          <w:szCs w:val="28"/>
        </w:rPr>
      </w:pPr>
      <w:r>
        <w:rPr>
          <w:rFonts w:ascii="Times New Roman" w:hAnsi="Times New Roman" w:eastAsia="仿宋"/>
          <w:sz w:val="32"/>
          <w:szCs w:val="32"/>
        </w:rPr>
        <w:t>该项目有一定可遵循的业务和财务管理制度，项目单位能够及时下拨资金，档案资料较齐全，项目执行期间，项目实施单位能够较好地按照财务管理制度要求及总体任务目标开展工作，相关管控措施及保障条件到位。但评价发现，社会事务综合服务中心未根据项目开展的具体实施办法及内容制定相关的实施方案用以反映和考核实施方案对项目顺利实施的保障情况，且未根据项目实施的内容进行宣传推广。过程指标分值16分，得分14.</w:t>
      </w:r>
      <w:r>
        <w:rPr>
          <w:rFonts w:hint="eastAsia" w:ascii="Times New Roman" w:hAnsi="Times New Roman" w:eastAsia="仿宋"/>
          <w:sz w:val="32"/>
          <w:szCs w:val="32"/>
          <w:lang w:val="en-US" w:eastAsia="zh-CN"/>
        </w:rPr>
        <w:t>0</w:t>
      </w:r>
      <w:r>
        <w:rPr>
          <w:rFonts w:ascii="Times New Roman" w:hAnsi="Times New Roman" w:eastAsia="仿宋"/>
          <w:sz w:val="32"/>
          <w:szCs w:val="32"/>
        </w:rPr>
        <w:t>0分，得分率</w:t>
      </w:r>
      <w:r>
        <w:rPr>
          <w:rFonts w:hint="eastAsia" w:ascii="Times New Roman" w:hAnsi="Times New Roman" w:eastAsia="仿宋"/>
          <w:sz w:val="32"/>
          <w:szCs w:val="32"/>
          <w:lang w:val="en-US" w:eastAsia="zh-CN"/>
        </w:rPr>
        <w:t>87.50</w:t>
      </w:r>
      <w:r>
        <w:rPr>
          <w:rFonts w:ascii="Times New Roman" w:hAnsi="Times New Roman" w:eastAsia="仿宋"/>
          <w:sz w:val="32"/>
          <w:szCs w:val="32"/>
        </w:rPr>
        <w:t>%（评分详见表4-2）。</w:t>
      </w:r>
    </w:p>
    <w:p>
      <w:pPr>
        <w:adjustRightInd w:val="0"/>
        <w:snapToGrid w:val="0"/>
        <w:spacing w:line="56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lang w:val="en-US" w:eastAsia="zh-CN"/>
        </w:rPr>
        <w:t>4</w:t>
      </w:r>
      <w:r>
        <w:rPr>
          <w:rFonts w:ascii="Times New Roman" w:hAnsi="Times New Roman" w:eastAsia="黑体"/>
          <w:sz w:val="28"/>
          <w:szCs w:val="28"/>
        </w:rPr>
        <w:t>-2</w:t>
      </w:r>
      <w:r>
        <w:rPr>
          <w:rFonts w:hint="eastAsia" w:ascii="Times New Roman" w:hAnsi="Times New Roman" w:eastAsia="黑体"/>
          <w:sz w:val="28"/>
          <w:szCs w:val="28"/>
          <w:lang w:val="en-US" w:eastAsia="zh-CN"/>
        </w:rPr>
        <w:t xml:space="preserve"> </w:t>
      </w:r>
      <w:r>
        <w:rPr>
          <w:rFonts w:ascii="Times New Roman" w:hAnsi="Times New Roman" w:eastAsia="黑体"/>
          <w:sz w:val="28"/>
          <w:szCs w:val="28"/>
        </w:rPr>
        <w:t>过程指标设定及评分情况表</w:t>
      </w:r>
    </w:p>
    <w:tbl>
      <w:tblPr>
        <w:tblStyle w:val="39"/>
        <w:tblW w:w="5000" w:type="pct"/>
        <w:jc w:val="center"/>
        <w:tblLayout w:type="autofit"/>
        <w:tblCellMar>
          <w:top w:w="0" w:type="dxa"/>
          <w:left w:w="28" w:type="dxa"/>
          <w:bottom w:w="0" w:type="dxa"/>
          <w:right w:w="28" w:type="dxa"/>
        </w:tblCellMar>
      </w:tblPr>
      <w:tblGrid>
        <w:gridCol w:w="1068"/>
        <w:gridCol w:w="1509"/>
        <w:gridCol w:w="1819"/>
        <w:gridCol w:w="1464"/>
        <w:gridCol w:w="1464"/>
        <w:gridCol w:w="1462"/>
      </w:tblGrid>
      <w:tr>
        <w:tblPrEx>
          <w:tblCellMar>
            <w:top w:w="0" w:type="dxa"/>
            <w:left w:w="28" w:type="dxa"/>
            <w:bottom w:w="0" w:type="dxa"/>
            <w:right w:w="28" w:type="dxa"/>
          </w:tblCellMar>
        </w:tblPrEx>
        <w:trPr>
          <w:trHeight w:val="397" w:hRule="atLeast"/>
          <w:jc w:val="center"/>
        </w:trPr>
        <w:tc>
          <w:tcPr>
            <w:tcW w:w="608"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859"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1035"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833"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833"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832"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CellMar>
            <w:top w:w="0" w:type="dxa"/>
            <w:left w:w="28" w:type="dxa"/>
            <w:bottom w:w="0" w:type="dxa"/>
            <w:right w:w="28" w:type="dxa"/>
          </w:tblCellMar>
        </w:tblPrEx>
        <w:trPr>
          <w:trHeight w:val="397" w:hRule="atLeast"/>
          <w:jc w:val="center"/>
        </w:trPr>
        <w:tc>
          <w:tcPr>
            <w:tcW w:w="608"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过程</w:t>
            </w:r>
          </w:p>
        </w:tc>
        <w:tc>
          <w:tcPr>
            <w:tcW w:w="85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资金管理</w:t>
            </w: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资金到位率</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4</w:t>
            </w:r>
          </w:p>
        </w:tc>
        <w:tc>
          <w:tcPr>
            <w:tcW w:w="83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4.00</w:t>
            </w:r>
          </w:p>
        </w:tc>
        <w:tc>
          <w:tcPr>
            <w:tcW w:w="83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100.00%</w:t>
            </w:r>
          </w:p>
        </w:tc>
      </w:tr>
      <w:tr>
        <w:tblPrEx>
          <w:tblCellMar>
            <w:top w:w="0" w:type="dxa"/>
            <w:left w:w="28" w:type="dxa"/>
            <w:bottom w:w="0" w:type="dxa"/>
            <w:right w:w="28" w:type="dxa"/>
          </w:tblCellMar>
        </w:tblPrEx>
        <w:trPr>
          <w:trHeight w:val="397" w:hRule="atLeast"/>
          <w:jc w:val="center"/>
        </w:trPr>
        <w:tc>
          <w:tcPr>
            <w:tcW w:w="60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宋体" w:hAnsi="宋体" w:eastAsia="宋体" w:cs="宋体"/>
                <w:kern w:val="0"/>
                <w:szCs w:val="21"/>
              </w:rPr>
            </w:pPr>
          </w:p>
        </w:tc>
        <w:tc>
          <w:tcPr>
            <w:tcW w:w="85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宋体" w:hAnsi="宋体" w:eastAsia="宋体" w:cs="宋体"/>
                <w:kern w:val="0"/>
                <w:szCs w:val="21"/>
              </w:rPr>
            </w:pP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预算执行率</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2.00</w:t>
            </w:r>
          </w:p>
        </w:tc>
        <w:tc>
          <w:tcPr>
            <w:tcW w:w="83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100.00%</w:t>
            </w:r>
          </w:p>
        </w:tc>
      </w:tr>
      <w:tr>
        <w:tblPrEx>
          <w:tblCellMar>
            <w:top w:w="0" w:type="dxa"/>
            <w:left w:w="28" w:type="dxa"/>
            <w:bottom w:w="0" w:type="dxa"/>
            <w:right w:w="28" w:type="dxa"/>
          </w:tblCellMar>
        </w:tblPrEx>
        <w:trPr>
          <w:trHeight w:val="397" w:hRule="atLeast"/>
          <w:jc w:val="center"/>
        </w:trPr>
        <w:tc>
          <w:tcPr>
            <w:tcW w:w="60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宋体" w:hAnsi="宋体" w:eastAsia="宋体" w:cs="宋体"/>
                <w:kern w:val="0"/>
                <w:szCs w:val="21"/>
              </w:rPr>
            </w:pPr>
          </w:p>
        </w:tc>
        <w:tc>
          <w:tcPr>
            <w:tcW w:w="85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宋体" w:hAnsi="宋体" w:eastAsia="宋体" w:cs="宋体"/>
                <w:kern w:val="0"/>
                <w:szCs w:val="21"/>
              </w:rPr>
            </w:pP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资金使用合规性</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2.00</w:t>
            </w:r>
          </w:p>
        </w:tc>
        <w:tc>
          <w:tcPr>
            <w:tcW w:w="83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100.00%</w:t>
            </w:r>
          </w:p>
        </w:tc>
      </w:tr>
      <w:tr>
        <w:tblPrEx>
          <w:tblCellMar>
            <w:top w:w="0" w:type="dxa"/>
            <w:left w:w="28" w:type="dxa"/>
            <w:bottom w:w="0" w:type="dxa"/>
            <w:right w:w="28" w:type="dxa"/>
          </w:tblCellMar>
        </w:tblPrEx>
        <w:trPr>
          <w:trHeight w:val="397" w:hRule="atLeast"/>
          <w:jc w:val="center"/>
        </w:trPr>
        <w:tc>
          <w:tcPr>
            <w:tcW w:w="60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宋体" w:hAnsi="宋体" w:eastAsia="宋体" w:cs="宋体"/>
                <w:kern w:val="0"/>
                <w:szCs w:val="21"/>
              </w:rPr>
            </w:pPr>
          </w:p>
        </w:tc>
        <w:tc>
          <w:tcPr>
            <w:tcW w:w="859" w:type="pct"/>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组织实施</w:t>
            </w: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管理制度健全性</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2</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1.00</w:t>
            </w:r>
          </w:p>
        </w:tc>
        <w:tc>
          <w:tcPr>
            <w:tcW w:w="83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50.00%</w:t>
            </w:r>
          </w:p>
        </w:tc>
      </w:tr>
      <w:tr>
        <w:tblPrEx>
          <w:tblCellMar>
            <w:top w:w="0" w:type="dxa"/>
            <w:left w:w="28" w:type="dxa"/>
            <w:bottom w:w="0" w:type="dxa"/>
            <w:right w:w="28" w:type="dxa"/>
          </w:tblCellMar>
        </w:tblPrEx>
        <w:trPr>
          <w:trHeight w:val="397" w:hRule="atLeast"/>
          <w:jc w:val="center"/>
        </w:trPr>
        <w:tc>
          <w:tcPr>
            <w:tcW w:w="608"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宋体" w:hAnsi="宋体" w:eastAsia="宋体" w:cs="宋体"/>
                <w:kern w:val="0"/>
                <w:szCs w:val="21"/>
              </w:rPr>
            </w:pPr>
          </w:p>
        </w:tc>
        <w:tc>
          <w:tcPr>
            <w:tcW w:w="859" w:type="pct"/>
            <w:vMerge w:val="continue"/>
            <w:tcBorders>
              <w:top w:val="nil"/>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宋体" w:hAnsi="宋体" w:eastAsia="宋体" w:cs="宋体"/>
                <w:kern w:val="0"/>
                <w:szCs w:val="21"/>
              </w:rPr>
            </w:pPr>
          </w:p>
        </w:tc>
        <w:tc>
          <w:tcPr>
            <w:tcW w:w="1035"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制度执行有效性</w:t>
            </w:r>
          </w:p>
        </w:tc>
        <w:tc>
          <w:tcPr>
            <w:tcW w:w="833" w:type="pc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6</w:t>
            </w:r>
          </w:p>
        </w:tc>
        <w:tc>
          <w:tcPr>
            <w:tcW w:w="83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cs="宋体"/>
                <w:kern w:val="0"/>
                <w:szCs w:val="21"/>
                <w:lang w:val="en-US" w:eastAsia="zh-CN"/>
              </w:rPr>
              <w:t>0</w:t>
            </w:r>
            <w:r>
              <w:rPr>
                <w:rFonts w:hint="eastAsia" w:ascii="宋体" w:hAnsi="宋体" w:eastAsia="宋体" w:cs="宋体"/>
                <w:kern w:val="0"/>
                <w:szCs w:val="21"/>
              </w:rPr>
              <w:t>0</w:t>
            </w:r>
          </w:p>
        </w:tc>
        <w:tc>
          <w:tcPr>
            <w:tcW w:w="83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kern w:val="0"/>
                <w:szCs w:val="21"/>
              </w:rPr>
            </w:pPr>
            <w:r>
              <w:rPr>
                <w:rFonts w:hint="eastAsia" w:ascii="宋体" w:hAnsi="宋体" w:eastAsia="宋体" w:cs="宋体"/>
                <w:kern w:val="0"/>
                <w:szCs w:val="21"/>
                <w:lang w:val="en-US" w:eastAsia="zh-CN"/>
              </w:rPr>
              <w:t>83.33</w:t>
            </w:r>
            <w:r>
              <w:rPr>
                <w:rFonts w:hint="eastAsia" w:ascii="宋体" w:hAnsi="宋体" w:eastAsia="宋体" w:cs="宋体"/>
                <w:kern w:val="0"/>
                <w:szCs w:val="21"/>
              </w:rPr>
              <w:t>%</w:t>
            </w:r>
          </w:p>
        </w:tc>
      </w:tr>
      <w:tr>
        <w:tblPrEx>
          <w:tblCellMar>
            <w:top w:w="0" w:type="dxa"/>
            <w:left w:w="28" w:type="dxa"/>
            <w:bottom w:w="0" w:type="dxa"/>
            <w:right w:w="28" w:type="dxa"/>
          </w:tblCellMar>
        </w:tblPrEx>
        <w:trPr>
          <w:trHeight w:val="397" w:hRule="atLeast"/>
          <w:jc w:val="center"/>
        </w:trPr>
        <w:tc>
          <w:tcPr>
            <w:tcW w:w="2502"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60" w:lineRule="exact"/>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560" w:lineRule="exact"/>
              <w:jc w:val="center"/>
              <w:rPr>
                <w:rFonts w:ascii="宋体" w:hAnsi="宋体" w:eastAsia="宋体" w:cs="宋体"/>
                <w:b/>
                <w:bCs/>
                <w:color w:val="000000"/>
                <w:szCs w:val="21"/>
              </w:rPr>
            </w:pPr>
            <w:r>
              <w:rPr>
                <w:rFonts w:hint="eastAsia" w:ascii="宋体" w:hAnsi="宋体" w:eastAsia="宋体" w:cs="宋体"/>
                <w:b/>
                <w:bCs/>
                <w:color w:val="000000"/>
                <w:szCs w:val="21"/>
              </w:rPr>
              <w:t>16</w:t>
            </w:r>
          </w:p>
        </w:tc>
        <w:tc>
          <w:tcPr>
            <w:tcW w:w="83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b/>
                <w:bCs/>
                <w:color w:val="000000"/>
                <w:szCs w:val="21"/>
              </w:rPr>
            </w:pPr>
            <w:r>
              <w:rPr>
                <w:rFonts w:hint="eastAsia" w:ascii="宋体" w:hAnsi="宋体" w:eastAsia="宋体" w:cs="宋体"/>
                <w:b/>
                <w:bCs/>
                <w:color w:val="000000"/>
                <w:szCs w:val="21"/>
              </w:rPr>
              <w:t>14.</w:t>
            </w:r>
            <w:r>
              <w:rPr>
                <w:rFonts w:hint="eastAsia" w:ascii="宋体" w:hAnsi="宋体" w:eastAsia="宋体" w:cs="宋体"/>
                <w:b/>
                <w:bCs/>
                <w:color w:val="000000"/>
                <w:szCs w:val="21"/>
                <w:lang w:val="en-US" w:eastAsia="zh-CN"/>
              </w:rPr>
              <w:t>0</w:t>
            </w:r>
            <w:r>
              <w:rPr>
                <w:rFonts w:hint="eastAsia" w:ascii="宋体" w:hAnsi="宋体" w:eastAsia="宋体" w:cs="宋体"/>
                <w:b/>
                <w:bCs/>
                <w:color w:val="000000"/>
                <w:szCs w:val="21"/>
              </w:rPr>
              <w:t>0</w:t>
            </w:r>
          </w:p>
        </w:tc>
        <w:tc>
          <w:tcPr>
            <w:tcW w:w="83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560" w:lineRule="exact"/>
              <w:jc w:val="center"/>
              <w:rPr>
                <w:rFonts w:ascii="宋体" w:hAnsi="宋体" w:eastAsia="宋体" w:cs="宋体"/>
                <w:b/>
                <w:bCs/>
                <w:color w:val="000000"/>
                <w:szCs w:val="21"/>
              </w:rPr>
            </w:pPr>
            <w:r>
              <w:rPr>
                <w:rFonts w:hint="eastAsia" w:ascii="宋体" w:hAnsi="宋体" w:eastAsia="宋体" w:cs="宋体"/>
                <w:b/>
                <w:bCs/>
                <w:color w:val="000000"/>
                <w:szCs w:val="21"/>
                <w:lang w:val="en-US" w:eastAsia="zh-CN"/>
              </w:rPr>
              <w:t>87.50</w:t>
            </w:r>
            <w:r>
              <w:rPr>
                <w:rFonts w:hint="eastAsia" w:ascii="宋体" w:hAnsi="宋体" w:eastAsia="宋体" w:cs="宋体"/>
                <w:b/>
                <w:bCs/>
                <w:color w:val="000000"/>
                <w:szCs w:val="21"/>
              </w:rPr>
              <w:t>%</w:t>
            </w:r>
          </w:p>
        </w:tc>
      </w:tr>
    </w:tbl>
    <w:p>
      <w:pPr>
        <w:adjustRightInd w:val="0"/>
        <w:snapToGrid w:val="0"/>
        <w:spacing w:line="560" w:lineRule="exact"/>
        <w:ind w:firstLine="640" w:firstLineChars="200"/>
        <w:rPr>
          <w:rFonts w:ascii="Times New Roman" w:hAnsi="Times New Roman" w:eastAsia="仿宋_GB2312"/>
          <w:bCs/>
          <w:sz w:val="32"/>
          <w:szCs w:val="32"/>
        </w:rPr>
      </w:pPr>
    </w:p>
    <w:p>
      <w:pPr>
        <w:adjustRightInd w:val="0"/>
        <w:snapToGrid w:val="0"/>
        <w:spacing w:line="560" w:lineRule="exact"/>
        <w:ind w:firstLine="640" w:firstLineChars="200"/>
        <w:outlineLvl w:val="2"/>
        <w:rPr>
          <w:rFonts w:ascii="Times New Roman" w:hAnsi="Times New Roman" w:eastAsia="仿宋"/>
          <w:bCs/>
          <w:sz w:val="32"/>
          <w:szCs w:val="32"/>
        </w:rPr>
      </w:pPr>
      <w:bookmarkStart w:id="291" w:name="_Toc27269"/>
      <w:bookmarkStart w:id="292" w:name="_Toc7338"/>
      <w:bookmarkStart w:id="293" w:name="_Toc6880"/>
      <w:bookmarkStart w:id="294" w:name="_Toc22292"/>
      <w:bookmarkStart w:id="295" w:name="_Toc67497095"/>
      <w:bookmarkStart w:id="296" w:name="_Toc20071"/>
      <w:bookmarkStart w:id="297" w:name="_Toc71574224"/>
      <w:bookmarkStart w:id="298" w:name="_Toc71573248"/>
      <w:bookmarkStart w:id="299" w:name="_Toc14512"/>
      <w:bookmarkStart w:id="300" w:name="_Toc5405"/>
      <w:r>
        <w:rPr>
          <w:rFonts w:ascii="Times New Roman" w:hAnsi="Times New Roman" w:eastAsia="仿宋"/>
          <w:bCs/>
          <w:sz w:val="32"/>
          <w:szCs w:val="32"/>
        </w:rPr>
        <w:t>1.资金管理</w:t>
      </w:r>
      <w:bookmarkEnd w:id="291"/>
      <w:bookmarkEnd w:id="292"/>
      <w:bookmarkEnd w:id="293"/>
      <w:bookmarkEnd w:id="294"/>
      <w:bookmarkEnd w:id="295"/>
      <w:bookmarkEnd w:id="296"/>
      <w:bookmarkEnd w:id="297"/>
      <w:bookmarkEnd w:id="298"/>
      <w:bookmarkEnd w:id="299"/>
      <w:bookmarkEnd w:id="300"/>
    </w:p>
    <w:p>
      <w:pPr>
        <w:pStyle w:val="6"/>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（1）资金到位率</w:t>
      </w:r>
    </w:p>
    <w:p>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项目资金到位及时。</w:t>
      </w:r>
      <w:r>
        <w:rPr>
          <w:rFonts w:ascii="Times New Roman" w:hAnsi="Times New Roman" w:eastAsia="仿宋"/>
          <w:sz w:val="32"/>
          <w:szCs w:val="32"/>
        </w:rPr>
        <w:t>枣庄市残疾人康复专项经费项目由枣庄市财政局以财政拨款的方式对项目资金进行拨付，共拨付财政资金100.00万元，</w:t>
      </w:r>
      <w:bookmarkStart w:id="301" w:name="_Hlk36798648"/>
      <w:r>
        <w:rPr>
          <w:rFonts w:ascii="Times New Roman" w:hAnsi="Times New Roman" w:eastAsia="仿宋"/>
          <w:sz w:val="32"/>
          <w:szCs w:val="32"/>
        </w:rPr>
        <w:t>资金足额拨付至社会事务综合服务中心。</w:t>
      </w:r>
      <w:bookmarkEnd w:id="301"/>
      <w:bookmarkStart w:id="302" w:name="_Hlk35428418"/>
      <w:r>
        <w:rPr>
          <w:rFonts w:ascii="Times New Roman" w:hAnsi="Times New Roman" w:eastAsia="仿宋"/>
          <w:sz w:val="32"/>
          <w:szCs w:val="32"/>
        </w:rPr>
        <w:t>项目资金到位及时，到位率100%。满分4.00分，得4.00分，得分率为100.00%。</w:t>
      </w:r>
    </w:p>
    <w:bookmarkEnd w:id="302"/>
    <w:p>
      <w:pPr>
        <w:pStyle w:val="6"/>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（2）预算执行率</w:t>
      </w:r>
    </w:p>
    <w:p>
      <w:pPr>
        <w:autoSpaceDE w:val="0"/>
        <w:autoSpaceDN w:val="0"/>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项目预算执行率100%。</w:t>
      </w:r>
      <w:r>
        <w:rPr>
          <w:rFonts w:ascii="Times New Roman" w:hAnsi="Times New Roman" w:eastAsia="仿宋"/>
          <w:sz w:val="32"/>
          <w:szCs w:val="32"/>
        </w:rPr>
        <w:t>截至2021年12月31日，残疾人康复专项经费项目资金支出为130.97万元，用于残疾人基本康复、残疾人大学生励志助学、重症精神患者兜底、采购办理残疾证、鉴定入户费用、白内障手术免费救助、辅助器器具配置和无障碍家园改造、专职干事补贴以及如康家园建设等内容。资金预算执行率为130.97%。满分2.00分，得2.00分，得分率为100.00%。</w:t>
      </w:r>
    </w:p>
    <w:p>
      <w:pPr>
        <w:pStyle w:val="6"/>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（3）资金使用合规性</w:t>
      </w:r>
    </w:p>
    <w:p>
      <w:pPr>
        <w:spacing w:line="560" w:lineRule="exact"/>
        <w:ind w:firstLine="643" w:firstLineChars="200"/>
        <w:rPr>
          <w:rFonts w:ascii="Times New Roman" w:hAnsi="Times New Roman" w:eastAsia="仿宋"/>
          <w:kern w:val="0"/>
          <w:sz w:val="32"/>
          <w:szCs w:val="32"/>
        </w:rPr>
      </w:pPr>
      <w:r>
        <w:rPr>
          <w:rFonts w:ascii="Times New Roman" w:hAnsi="Times New Roman" w:eastAsia="仿宋"/>
          <w:b/>
          <w:bCs/>
          <w:kern w:val="0"/>
          <w:sz w:val="32"/>
          <w:szCs w:val="32"/>
        </w:rPr>
        <w:t>项目资金使用较为合规。</w:t>
      </w:r>
      <w:r>
        <w:rPr>
          <w:rFonts w:ascii="Times New Roman" w:hAnsi="Times New Roman" w:eastAsia="仿宋"/>
          <w:kern w:val="0"/>
          <w:sz w:val="32"/>
          <w:szCs w:val="32"/>
        </w:rPr>
        <w:t>社会事务综合服务中心根据《</w:t>
      </w:r>
      <w:r>
        <w:rPr>
          <w:rFonts w:hint="eastAsia" w:ascii="Times New Roman" w:hAnsi="Times New Roman" w:eastAsia="仿宋"/>
          <w:kern w:val="0"/>
          <w:sz w:val="32"/>
          <w:szCs w:val="32"/>
        </w:rPr>
        <w:t>枣庄高新区</w:t>
      </w:r>
      <w:r>
        <w:rPr>
          <w:rFonts w:ascii="Times New Roman" w:hAnsi="Times New Roman" w:eastAsia="仿宋"/>
          <w:kern w:val="0"/>
          <w:sz w:val="32"/>
          <w:szCs w:val="32"/>
        </w:rPr>
        <w:t>社会事务综合服务中心财务管理规定（试行）》枣高社字〔2021〕 号等财务制度完成资金的支出与拨付，资金使用符合国家财经法规和财务管理制度以及有关专项资金管理办法的规定、项目预算批复或合同规定的用途。满分2.00分，得分2.00分，得分率为100.00%。</w:t>
      </w:r>
    </w:p>
    <w:p>
      <w:pPr>
        <w:adjustRightInd w:val="0"/>
        <w:snapToGrid w:val="0"/>
        <w:spacing w:line="560" w:lineRule="exact"/>
        <w:ind w:firstLine="640" w:firstLineChars="200"/>
        <w:outlineLvl w:val="2"/>
        <w:rPr>
          <w:rFonts w:ascii="Times New Roman" w:hAnsi="Times New Roman" w:eastAsia="仿宋"/>
          <w:bCs/>
          <w:sz w:val="32"/>
          <w:szCs w:val="32"/>
        </w:rPr>
      </w:pPr>
      <w:bookmarkStart w:id="303" w:name="_Toc3432"/>
      <w:bookmarkStart w:id="304" w:name="_Toc17118"/>
      <w:bookmarkStart w:id="305" w:name="_Toc17037"/>
      <w:bookmarkStart w:id="306" w:name="_Toc67497096"/>
      <w:bookmarkStart w:id="307" w:name="_Toc18325"/>
      <w:bookmarkStart w:id="308" w:name="_Toc71574225"/>
      <w:bookmarkStart w:id="309" w:name="_Toc20919"/>
      <w:bookmarkStart w:id="310" w:name="_Toc2764"/>
      <w:bookmarkStart w:id="311" w:name="_Toc12173"/>
      <w:bookmarkStart w:id="312" w:name="_Toc71573249"/>
      <w:r>
        <w:rPr>
          <w:rFonts w:ascii="Times New Roman" w:hAnsi="Times New Roman" w:eastAsia="仿宋"/>
          <w:bCs/>
          <w:sz w:val="32"/>
          <w:szCs w:val="32"/>
        </w:rPr>
        <w:t>2.组织实施</w:t>
      </w:r>
      <w:bookmarkEnd w:id="303"/>
      <w:bookmarkEnd w:id="304"/>
      <w:bookmarkEnd w:id="305"/>
      <w:bookmarkEnd w:id="306"/>
      <w:bookmarkEnd w:id="307"/>
      <w:bookmarkEnd w:id="308"/>
      <w:bookmarkEnd w:id="309"/>
      <w:bookmarkEnd w:id="310"/>
      <w:bookmarkEnd w:id="311"/>
      <w:bookmarkEnd w:id="312"/>
    </w:p>
    <w:p>
      <w:pPr>
        <w:pStyle w:val="6"/>
        <w:adjustRightInd w:val="0"/>
        <w:snapToGrid w:val="0"/>
        <w:spacing w:before="0" w:after="0" w:line="560" w:lineRule="exact"/>
        <w:ind w:firstLine="640" w:firstLineChars="200"/>
        <w:rPr>
          <w:rFonts w:ascii="Times New Roman" w:hAnsi="Times New Roman" w:eastAsia="仿宋"/>
          <w:b w:val="0"/>
          <w:sz w:val="32"/>
          <w:szCs w:val="32"/>
        </w:rPr>
      </w:pPr>
      <w:bookmarkStart w:id="313" w:name="_Hlk57299739"/>
      <w:r>
        <w:rPr>
          <w:rFonts w:ascii="Times New Roman" w:hAnsi="Times New Roman" w:eastAsia="仿宋"/>
          <w:b w:val="0"/>
          <w:sz w:val="32"/>
          <w:szCs w:val="32"/>
        </w:rPr>
        <w:t>（1）管理制度健全性</w:t>
      </w:r>
    </w:p>
    <w:p>
      <w:pPr>
        <w:adjustRightInd w:val="0"/>
        <w:snapToGrid w:val="0"/>
        <w:spacing w:line="56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枣庄高新区</w:t>
      </w:r>
      <w:r>
        <w:rPr>
          <w:rFonts w:ascii="Times New Roman" w:hAnsi="Times New Roman" w:eastAsia="仿宋"/>
          <w:b/>
          <w:bCs/>
          <w:sz w:val="32"/>
          <w:szCs w:val="32"/>
        </w:rPr>
        <w:t>社会事务服务中心整体制度较为健全，但存在未制定项目实施方案以及项目调整手续不完备的情况。</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实施方案健全性方面，社会事务服务中心针对残疾人康复专项经费项目未制定相关的项目实施方案，用于保障项目的顺利实施和执行，不利于项目的整体把控与统筹。满分1.00分，得分0.00分，得分率为0.00%。</w:t>
      </w:r>
    </w:p>
    <w:p>
      <w:pPr>
        <w:adjustRightInd w:val="0"/>
        <w:snapToGrid w:val="0"/>
        <w:spacing w:line="560" w:lineRule="exact"/>
        <w:ind w:firstLine="640" w:firstLineChars="200"/>
        <w:jc w:val="left"/>
        <w:rPr>
          <w:rFonts w:ascii="Times New Roman" w:hAnsi="Times New Roman" w:eastAsia="仿宋"/>
          <w:sz w:val="32"/>
          <w:szCs w:val="32"/>
        </w:rPr>
      </w:pPr>
      <w:r>
        <w:rPr>
          <w:rFonts w:ascii="Times New Roman" w:hAnsi="Times New Roman" w:eastAsia="仿宋"/>
          <w:sz w:val="32"/>
          <w:szCs w:val="32"/>
        </w:rPr>
        <w:t>管理制度健全性方面，社会事务服务中心财务和业务管理制度较为健全,制定了《</w:t>
      </w:r>
      <w:r>
        <w:rPr>
          <w:rFonts w:hint="eastAsia" w:ascii="Times New Roman" w:hAnsi="Times New Roman" w:eastAsia="仿宋"/>
          <w:sz w:val="32"/>
          <w:szCs w:val="32"/>
        </w:rPr>
        <w:t>枣庄高新区</w:t>
      </w:r>
      <w:r>
        <w:rPr>
          <w:rFonts w:ascii="Times New Roman" w:hAnsi="Times New Roman" w:eastAsia="仿宋"/>
          <w:sz w:val="32"/>
          <w:szCs w:val="32"/>
        </w:rPr>
        <w:t>社会事务综合服务中心财务管理规定（试行）》和《</w:t>
      </w:r>
      <w:r>
        <w:rPr>
          <w:rFonts w:hint="eastAsia" w:ascii="Times New Roman" w:hAnsi="Times New Roman" w:eastAsia="仿宋"/>
          <w:sz w:val="32"/>
          <w:szCs w:val="32"/>
        </w:rPr>
        <w:t>枣庄高新区</w:t>
      </w:r>
      <w:r>
        <w:rPr>
          <w:rFonts w:ascii="Times New Roman" w:hAnsi="Times New Roman" w:eastAsia="仿宋"/>
          <w:sz w:val="32"/>
          <w:szCs w:val="32"/>
        </w:rPr>
        <w:t>社会事务综合服务中心“三重一大”制度》用以反映和考核财务和业务管理制度对项目顺利实施的保障情况。满分1.00分，得分1.00分</w:t>
      </w:r>
      <w:r>
        <w:rPr>
          <w:rFonts w:hint="eastAsia" w:ascii="Times New Roman" w:hAnsi="Times New Roman" w:eastAsia="仿宋"/>
          <w:sz w:val="32"/>
          <w:szCs w:val="32"/>
          <w:lang w:eastAsia="zh-CN"/>
        </w:rPr>
        <w:t>，</w:t>
      </w:r>
      <w:r>
        <w:rPr>
          <w:rFonts w:ascii="Times New Roman" w:hAnsi="Times New Roman" w:eastAsia="仿宋"/>
          <w:sz w:val="32"/>
          <w:szCs w:val="32"/>
        </w:rPr>
        <w:t>得分率为100.00%。</w:t>
      </w:r>
    </w:p>
    <w:p>
      <w:pPr>
        <w:pStyle w:val="6"/>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（2）制度执行有效性</w:t>
      </w:r>
    </w:p>
    <w:p>
      <w:pPr>
        <w:adjustRightInd w:val="0"/>
        <w:snapToGrid w:val="0"/>
        <w:spacing w:line="560" w:lineRule="exact"/>
        <w:ind w:firstLine="643" w:firstLineChars="200"/>
        <w:rPr>
          <w:rFonts w:ascii="Times New Roman" w:hAnsi="Times New Roman" w:eastAsia="仿宋"/>
          <w:sz w:val="32"/>
          <w:szCs w:val="32"/>
        </w:rPr>
      </w:pPr>
      <w:bookmarkStart w:id="314" w:name="_Hlk35014388"/>
      <w:r>
        <w:rPr>
          <w:rFonts w:ascii="Times New Roman" w:hAnsi="Times New Roman" w:eastAsia="仿宋"/>
          <w:b/>
          <w:bCs/>
          <w:sz w:val="32"/>
          <w:szCs w:val="32"/>
        </w:rPr>
        <w:t>制度执行整体有效，对项目内容宣传推广力度需加强。</w:t>
      </w:r>
      <w:r>
        <w:rPr>
          <w:rFonts w:ascii="Times New Roman" w:hAnsi="Times New Roman" w:eastAsia="仿宋"/>
          <w:sz w:val="32"/>
          <w:szCs w:val="32"/>
        </w:rPr>
        <w:t>项目执行期间，各相关主体能够较好地按照制度要求及任务书约定开展工作，项目支出档案资料较完整，人员条件、场地设备、信息支撑工具等落实较到位。但仍存在项目内容宣传推广的力度需加强的情况，</w:t>
      </w:r>
      <w:bookmarkStart w:id="315" w:name="_Hlk70064033"/>
      <w:r>
        <w:rPr>
          <w:rFonts w:ascii="Times New Roman" w:hAnsi="Times New Roman" w:eastAsia="仿宋"/>
          <w:sz w:val="32"/>
          <w:szCs w:val="32"/>
        </w:rPr>
        <w:t>例如针对残疾人康复专项项目如康家园建设：用于残疾康复、手工培训、日间照料场所建设等缺乏对实施内容的宣传推广，让更多的残疾人了解知晓，保障残疾人的权益。满分</w:t>
      </w:r>
      <w:r>
        <w:rPr>
          <w:rFonts w:hint="eastAsia" w:ascii="Times New Roman" w:hAnsi="Times New Roman" w:eastAsia="仿宋"/>
          <w:sz w:val="32"/>
          <w:szCs w:val="32"/>
          <w:lang w:val="en-US" w:eastAsia="zh-CN"/>
        </w:rPr>
        <w:t>6</w:t>
      </w:r>
      <w:r>
        <w:rPr>
          <w:rFonts w:ascii="Times New Roman" w:hAnsi="Times New Roman" w:eastAsia="仿宋"/>
          <w:sz w:val="32"/>
          <w:szCs w:val="32"/>
        </w:rPr>
        <w:t>.00分，得分</w:t>
      </w:r>
      <w:r>
        <w:rPr>
          <w:rFonts w:hint="eastAsia" w:ascii="Times New Roman" w:hAnsi="Times New Roman" w:eastAsia="仿宋"/>
          <w:sz w:val="32"/>
          <w:szCs w:val="32"/>
          <w:lang w:val="en-US" w:eastAsia="zh-CN"/>
        </w:rPr>
        <w:t>5.0</w:t>
      </w:r>
      <w:r>
        <w:rPr>
          <w:rFonts w:ascii="Times New Roman" w:hAnsi="Times New Roman" w:eastAsia="仿宋"/>
          <w:sz w:val="32"/>
          <w:szCs w:val="32"/>
        </w:rPr>
        <w:t>0分，得分率为8</w:t>
      </w:r>
      <w:r>
        <w:rPr>
          <w:rFonts w:hint="eastAsia" w:ascii="Times New Roman" w:hAnsi="Times New Roman" w:eastAsia="仿宋"/>
          <w:sz w:val="32"/>
          <w:szCs w:val="32"/>
          <w:lang w:val="en-US" w:eastAsia="zh-CN"/>
        </w:rPr>
        <w:t>3</w:t>
      </w:r>
      <w:r>
        <w:rPr>
          <w:rFonts w:ascii="Times New Roman" w:hAnsi="Times New Roman" w:eastAsia="仿宋"/>
          <w:sz w:val="32"/>
          <w:szCs w:val="32"/>
        </w:rPr>
        <w:t>.</w:t>
      </w:r>
      <w:r>
        <w:rPr>
          <w:rFonts w:hint="eastAsia" w:ascii="Times New Roman" w:hAnsi="Times New Roman" w:eastAsia="仿宋"/>
          <w:sz w:val="32"/>
          <w:szCs w:val="32"/>
          <w:lang w:val="en-US" w:eastAsia="zh-CN"/>
        </w:rPr>
        <w:t>33</w:t>
      </w:r>
      <w:r>
        <w:rPr>
          <w:rFonts w:ascii="Times New Roman" w:hAnsi="Times New Roman" w:eastAsia="仿宋"/>
          <w:sz w:val="32"/>
          <w:szCs w:val="32"/>
        </w:rPr>
        <w:t>%。</w:t>
      </w:r>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制度执行规范性方面，</w:t>
      </w:r>
      <w:r>
        <w:rPr>
          <w:rFonts w:hint="eastAsia" w:ascii="Times New Roman" w:hAnsi="Times New Roman" w:eastAsia="仿宋"/>
          <w:sz w:val="32"/>
          <w:szCs w:val="32"/>
        </w:rPr>
        <w:t>枣庄高新区</w:t>
      </w:r>
      <w:r>
        <w:rPr>
          <w:rFonts w:ascii="Times New Roman" w:hAnsi="Times New Roman" w:eastAsia="仿宋"/>
          <w:sz w:val="32"/>
          <w:szCs w:val="32"/>
        </w:rPr>
        <w:t>社会事务服务中心机制度执行较为规范，项目组织实施按照相关通知实施意见进行执行，保障工作的顺利执行。满分3.00分，得分3.00分</w:t>
      </w:r>
      <w:r>
        <w:rPr>
          <w:rFonts w:hint="eastAsia" w:ascii="Times New Roman" w:hAnsi="Times New Roman" w:eastAsia="仿宋"/>
          <w:sz w:val="32"/>
          <w:szCs w:val="32"/>
          <w:lang w:eastAsia="zh-CN"/>
        </w:rPr>
        <w:t>，</w:t>
      </w:r>
      <w:r>
        <w:rPr>
          <w:rFonts w:ascii="Times New Roman" w:hAnsi="Times New Roman" w:eastAsia="仿宋"/>
          <w:sz w:val="32"/>
          <w:szCs w:val="32"/>
        </w:rPr>
        <w:t>得分</w:t>
      </w:r>
      <w:r>
        <w:rPr>
          <w:rFonts w:hint="eastAsia" w:ascii="Times New Roman" w:hAnsi="Times New Roman" w:eastAsia="仿宋"/>
          <w:sz w:val="32"/>
          <w:szCs w:val="32"/>
          <w:lang w:val="en-US" w:eastAsia="zh-CN"/>
        </w:rPr>
        <w:t>率</w:t>
      </w:r>
      <w:r>
        <w:rPr>
          <w:rFonts w:ascii="Times New Roman" w:hAnsi="Times New Roman" w:eastAsia="仿宋"/>
          <w:sz w:val="32"/>
          <w:szCs w:val="32"/>
        </w:rPr>
        <w:t>为100.00%</w:t>
      </w:r>
    </w:p>
    <w:p>
      <w:pPr>
        <w:pStyle w:val="17"/>
        <w:spacing w:line="560" w:lineRule="exact"/>
        <w:ind w:left="0" w:leftChars="0" w:firstLine="640" w:firstLineChars="200"/>
        <w:rPr>
          <w:rFonts w:ascii="Times New Roman" w:hAnsi="Times New Roman" w:eastAsia="仿宋"/>
          <w:sz w:val="32"/>
          <w:szCs w:val="32"/>
        </w:rPr>
      </w:pPr>
      <w:r>
        <w:rPr>
          <w:rFonts w:ascii="Times New Roman" w:hAnsi="Times New Roman" w:eastAsia="仿宋"/>
          <w:sz w:val="32"/>
          <w:szCs w:val="32"/>
        </w:rPr>
        <w:t>项目调整及调整手续完备性方面，项目内容调整及支出调整按照规定程序和权限进行，并履行相应手续。满分1.00分，得分1.00分</w:t>
      </w:r>
      <w:r>
        <w:rPr>
          <w:rFonts w:hint="eastAsia" w:ascii="Times New Roman" w:hAnsi="Times New Roman" w:eastAsia="仿宋"/>
          <w:sz w:val="32"/>
          <w:szCs w:val="32"/>
          <w:lang w:eastAsia="zh-CN"/>
        </w:rPr>
        <w:t>，</w:t>
      </w:r>
      <w:r>
        <w:rPr>
          <w:rFonts w:ascii="Times New Roman" w:hAnsi="Times New Roman" w:eastAsia="仿宋"/>
          <w:sz w:val="32"/>
          <w:szCs w:val="32"/>
        </w:rPr>
        <w:t>得分</w:t>
      </w:r>
      <w:r>
        <w:rPr>
          <w:rFonts w:hint="eastAsia" w:ascii="Times New Roman" w:hAnsi="Times New Roman" w:eastAsia="仿宋"/>
          <w:sz w:val="32"/>
          <w:szCs w:val="32"/>
          <w:lang w:val="en-US" w:eastAsia="zh-CN"/>
        </w:rPr>
        <w:t>率为</w:t>
      </w:r>
      <w:r>
        <w:rPr>
          <w:rFonts w:ascii="Times New Roman" w:hAnsi="Times New Roman" w:eastAsia="仿宋"/>
          <w:sz w:val="32"/>
          <w:szCs w:val="32"/>
        </w:rPr>
        <w:t>100.00%。</w:t>
      </w:r>
    </w:p>
    <w:p>
      <w:pPr>
        <w:pStyle w:val="17"/>
        <w:spacing w:line="560" w:lineRule="exact"/>
        <w:ind w:left="0" w:leftChars="0" w:firstLine="640" w:firstLineChars="200"/>
        <w:rPr>
          <w:rFonts w:ascii="Times New Roman" w:hAnsi="Times New Roman" w:eastAsia="仿宋" w:cs="Times New Roman"/>
          <w:sz w:val="32"/>
          <w:szCs w:val="32"/>
        </w:rPr>
      </w:pPr>
      <w:r>
        <w:rPr>
          <w:rFonts w:ascii="Times New Roman" w:hAnsi="Times New Roman" w:eastAsia="仿宋"/>
          <w:sz w:val="32"/>
          <w:szCs w:val="32"/>
        </w:rPr>
        <w:t>宣传推广方面，</w:t>
      </w:r>
      <w:r>
        <w:rPr>
          <w:rFonts w:hint="eastAsia" w:ascii="Times New Roman" w:hAnsi="Times New Roman" w:eastAsia="仿宋"/>
          <w:sz w:val="32"/>
          <w:szCs w:val="32"/>
          <w:lang w:val="en-US" w:eastAsia="zh-CN"/>
        </w:rPr>
        <w:t>项目主管单位未进行</w:t>
      </w:r>
      <w:r>
        <w:rPr>
          <w:rFonts w:ascii="Times New Roman" w:hAnsi="Times New Roman" w:eastAsia="仿宋"/>
          <w:sz w:val="32"/>
          <w:szCs w:val="32"/>
        </w:rPr>
        <w:t>项目内容宣传以保障残疾人知晓项目更多的权益，使项目达到预期的产出效果。满</w:t>
      </w:r>
      <w:r>
        <w:rPr>
          <w:rFonts w:ascii="Times New Roman" w:hAnsi="Times New Roman" w:eastAsia="仿宋" w:cs="Times New Roman"/>
          <w:sz w:val="32"/>
          <w:szCs w:val="32"/>
        </w:rPr>
        <w:t>分1.00分，得分0.</w:t>
      </w:r>
      <w:r>
        <w:rPr>
          <w:rFonts w:hint="default" w:ascii="Times New Roman" w:hAnsi="Times New Roman" w:eastAsia="仿宋" w:cs="Times New Roman"/>
          <w:sz w:val="32"/>
          <w:szCs w:val="32"/>
          <w:lang w:val="en-US" w:eastAsia="zh-CN"/>
        </w:rPr>
        <w:t>0</w:t>
      </w:r>
      <w:r>
        <w:rPr>
          <w:rFonts w:ascii="Times New Roman" w:hAnsi="Times New Roman" w:eastAsia="仿宋" w:cs="Times New Roman"/>
          <w:sz w:val="32"/>
          <w:szCs w:val="32"/>
        </w:rPr>
        <w:t>0分</w:t>
      </w:r>
      <w:r>
        <w:rPr>
          <w:rFonts w:hint="default" w:ascii="Times New Roman" w:hAnsi="Times New Roman" w:eastAsia="仿宋" w:cs="Times New Roman"/>
          <w:sz w:val="32"/>
          <w:szCs w:val="32"/>
          <w:lang w:eastAsia="zh-CN"/>
        </w:rPr>
        <w:t>，</w:t>
      </w:r>
      <w:r>
        <w:rPr>
          <w:rFonts w:ascii="Times New Roman" w:hAnsi="Times New Roman" w:eastAsia="仿宋" w:cs="Times New Roman"/>
          <w:sz w:val="32"/>
          <w:szCs w:val="32"/>
        </w:rPr>
        <w:t>得分</w:t>
      </w:r>
      <w:r>
        <w:rPr>
          <w:rFonts w:hint="default" w:ascii="Times New Roman" w:hAnsi="Times New Roman" w:eastAsia="仿宋" w:cs="Times New Roman"/>
          <w:sz w:val="32"/>
          <w:szCs w:val="32"/>
          <w:lang w:val="en-US" w:eastAsia="zh-CN"/>
        </w:rPr>
        <w:t>率为</w:t>
      </w:r>
      <w:r>
        <w:rPr>
          <w:rFonts w:ascii="Times New Roman" w:hAnsi="Times New Roman" w:eastAsia="仿宋" w:cs="Times New Roman"/>
          <w:sz w:val="32"/>
          <w:szCs w:val="32"/>
        </w:rPr>
        <w:t>0.00%。</w:t>
      </w:r>
    </w:p>
    <w:p>
      <w:pPr>
        <w:pStyle w:val="17"/>
        <w:adjustRightInd/>
        <w:snapToGrid/>
        <w:spacing w:line="560" w:lineRule="exact"/>
        <w:ind w:left="0" w:leftChars="0" w:firstLine="640" w:firstLineChars="200"/>
        <w:rPr>
          <w:rFonts w:ascii="Times New Roman" w:hAnsi="Times New Roman" w:eastAsia="楷体"/>
          <w:sz w:val="32"/>
          <w:szCs w:val="32"/>
        </w:rPr>
      </w:pPr>
      <w:r>
        <w:rPr>
          <w:rFonts w:ascii="Times New Roman" w:hAnsi="Times New Roman" w:eastAsia="仿宋" w:cs="Times New Roman"/>
          <w:sz w:val="32"/>
          <w:szCs w:val="32"/>
        </w:rPr>
        <w:t>档案管理方面，项目支出资金明细、材料采购合同等资料齐全并及时整理归档。满分1.00分，得分1.00分</w:t>
      </w:r>
      <w:r>
        <w:rPr>
          <w:rFonts w:hint="default" w:ascii="Times New Roman" w:hAnsi="Times New Roman" w:eastAsia="仿宋" w:cs="Times New Roman"/>
          <w:sz w:val="32"/>
          <w:szCs w:val="32"/>
          <w:lang w:eastAsia="zh-CN"/>
        </w:rPr>
        <w:t>，</w:t>
      </w:r>
      <w:r>
        <w:rPr>
          <w:rFonts w:ascii="Times New Roman" w:hAnsi="Times New Roman" w:eastAsia="仿宋" w:cs="Times New Roman"/>
          <w:sz w:val="32"/>
          <w:szCs w:val="32"/>
        </w:rPr>
        <w:t>得分</w:t>
      </w:r>
      <w:r>
        <w:rPr>
          <w:rFonts w:hint="default" w:ascii="Times New Roman" w:hAnsi="Times New Roman" w:eastAsia="仿宋" w:cs="Times New Roman"/>
          <w:sz w:val="32"/>
          <w:szCs w:val="32"/>
          <w:lang w:val="en-US" w:eastAsia="zh-CN"/>
        </w:rPr>
        <w:t>率为</w:t>
      </w:r>
      <w:r>
        <w:rPr>
          <w:rFonts w:ascii="Times New Roman" w:hAnsi="Times New Roman" w:eastAsia="仿宋" w:cs="Times New Roman"/>
          <w:sz w:val="32"/>
          <w:szCs w:val="32"/>
        </w:rPr>
        <w:t>100.00%。</w:t>
      </w:r>
      <w:bookmarkEnd w:id="313"/>
      <w:bookmarkEnd w:id="314"/>
      <w:bookmarkEnd w:id="315"/>
      <w:bookmarkStart w:id="316" w:name="_Toc34639222"/>
      <w:bookmarkStart w:id="317" w:name="_Toc54252559"/>
      <w:bookmarkStart w:id="318" w:name="_Toc25600"/>
      <w:bookmarkStart w:id="319" w:name="_Toc4202"/>
      <w:bookmarkStart w:id="320" w:name="_Toc16328"/>
      <w:bookmarkStart w:id="321" w:name="_Toc15968"/>
      <w:bookmarkStart w:id="322" w:name="_Toc71574226"/>
    </w:p>
    <w:p>
      <w:pPr>
        <w:adjustRightInd w:val="0"/>
        <w:snapToGrid w:val="0"/>
        <w:spacing w:line="560" w:lineRule="exact"/>
        <w:ind w:firstLine="640" w:firstLineChars="200"/>
        <w:outlineLvl w:val="1"/>
        <w:rPr>
          <w:rFonts w:ascii="Times New Roman" w:hAnsi="Times New Roman" w:eastAsia="楷体"/>
          <w:sz w:val="32"/>
          <w:szCs w:val="32"/>
        </w:rPr>
      </w:pPr>
      <w:bookmarkStart w:id="323" w:name="_Toc18904"/>
      <w:bookmarkStart w:id="324" w:name="_Toc29160"/>
      <w:bookmarkStart w:id="325" w:name="_Toc5699"/>
      <w:r>
        <w:rPr>
          <w:rFonts w:ascii="Times New Roman" w:hAnsi="Times New Roman" w:eastAsia="楷体"/>
          <w:sz w:val="32"/>
          <w:szCs w:val="32"/>
        </w:rPr>
        <w:t>（三）</w:t>
      </w:r>
      <w:bookmarkEnd w:id="316"/>
      <w:r>
        <w:rPr>
          <w:rFonts w:ascii="Times New Roman" w:hAnsi="Times New Roman" w:eastAsia="楷体"/>
          <w:sz w:val="32"/>
          <w:szCs w:val="32"/>
        </w:rPr>
        <w:t>项目产出情况</w:t>
      </w:r>
      <w:bookmarkEnd w:id="317"/>
      <w:bookmarkEnd w:id="318"/>
      <w:bookmarkEnd w:id="319"/>
      <w:bookmarkEnd w:id="320"/>
      <w:bookmarkEnd w:id="321"/>
      <w:bookmarkEnd w:id="322"/>
      <w:bookmarkEnd w:id="323"/>
      <w:bookmarkEnd w:id="324"/>
      <w:bookmarkEnd w:id="325"/>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截至评价时点，残疾儿童康复治疗，残疾人大学生励志助学、重症精神病患者政府兜底工作、残疾人辅助器械配置及残疾业务等相关支出工作均已完成。产出指标分值45.00分，得分</w:t>
      </w:r>
      <w:r>
        <w:rPr>
          <w:rFonts w:hint="eastAsia" w:ascii="Times New Roman" w:hAnsi="Times New Roman" w:eastAsia="仿宋"/>
          <w:sz w:val="32"/>
          <w:szCs w:val="32"/>
          <w:lang w:val="en-US" w:eastAsia="zh-CN"/>
        </w:rPr>
        <w:t>4</w:t>
      </w:r>
      <w:r>
        <w:rPr>
          <w:rFonts w:ascii="Times New Roman" w:hAnsi="Times New Roman" w:eastAsia="仿宋"/>
          <w:sz w:val="32"/>
          <w:szCs w:val="32"/>
        </w:rPr>
        <w:t>5.00分，得分率</w:t>
      </w:r>
      <w:r>
        <w:rPr>
          <w:rFonts w:hint="eastAsia" w:ascii="Times New Roman" w:hAnsi="Times New Roman" w:eastAsia="仿宋"/>
          <w:sz w:val="32"/>
          <w:szCs w:val="32"/>
          <w:lang w:val="en-US" w:eastAsia="zh-CN"/>
        </w:rPr>
        <w:t>100.00</w:t>
      </w:r>
      <w:r>
        <w:rPr>
          <w:rFonts w:ascii="Times New Roman" w:hAnsi="Times New Roman" w:eastAsia="仿宋"/>
          <w:sz w:val="32"/>
          <w:szCs w:val="32"/>
        </w:rPr>
        <w:t>%（评分详见表4-3）。</w:t>
      </w:r>
    </w:p>
    <w:p>
      <w:pPr>
        <w:adjustRightInd w:val="0"/>
        <w:snapToGrid w:val="0"/>
        <w:spacing w:line="560" w:lineRule="exact"/>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lang w:val="en-US" w:eastAsia="zh-CN"/>
        </w:rPr>
        <w:t>4</w:t>
      </w:r>
      <w:r>
        <w:rPr>
          <w:rFonts w:ascii="Times New Roman" w:hAnsi="Times New Roman" w:eastAsia="黑体"/>
          <w:sz w:val="28"/>
          <w:szCs w:val="28"/>
        </w:rPr>
        <w:t>-3</w:t>
      </w:r>
      <w:r>
        <w:rPr>
          <w:rFonts w:hint="eastAsia" w:ascii="Times New Roman" w:hAnsi="Times New Roman" w:eastAsia="黑体"/>
          <w:sz w:val="28"/>
          <w:szCs w:val="28"/>
          <w:lang w:val="en-US" w:eastAsia="zh-CN"/>
        </w:rPr>
        <w:t xml:space="preserve"> </w:t>
      </w:r>
      <w:r>
        <w:rPr>
          <w:rFonts w:ascii="Times New Roman" w:hAnsi="Times New Roman" w:eastAsia="黑体"/>
          <w:sz w:val="28"/>
          <w:szCs w:val="28"/>
        </w:rPr>
        <w:t>产出指标设定及评分情况表</w:t>
      </w:r>
    </w:p>
    <w:tbl>
      <w:tblPr>
        <w:tblStyle w:val="39"/>
        <w:tblW w:w="5130" w:type="pct"/>
        <w:jc w:val="center"/>
        <w:tblLayout w:type="autofit"/>
        <w:tblCellMar>
          <w:top w:w="0" w:type="dxa"/>
          <w:left w:w="28" w:type="dxa"/>
          <w:bottom w:w="0" w:type="dxa"/>
          <w:right w:w="28" w:type="dxa"/>
        </w:tblCellMar>
      </w:tblPr>
      <w:tblGrid>
        <w:gridCol w:w="1085"/>
        <w:gridCol w:w="1140"/>
        <w:gridCol w:w="3655"/>
        <w:gridCol w:w="597"/>
        <w:gridCol w:w="1071"/>
        <w:gridCol w:w="1466"/>
      </w:tblGrid>
      <w:tr>
        <w:tblPrEx>
          <w:tblCellMar>
            <w:top w:w="0" w:type="dxa"/>
            <w:left w:w="28" w:type="dxa"/>
            <w:bottom w:w="0" w:type="dxa"/>
            <w:right w:w="28" w:type="dxa"/>
          </w:tblCellMar>
        </w:tblPrEx>
        <w:trPr>
          <w:trHeight w:val="340" w:hRule="atLeast"/>
          <w:tblHeader/>
          <w:jc w:val="center"/>
        </w:trPr>
        <w:tc>
          <w:tcPr>
            <w:tcW w:w="602"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632"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2026"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331"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594"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813"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CellMar>
            <w:top w:w="0" w:type="dxa"/>
            <w:left w:w="28" w:type="dxa"/>
            <w:bottom w:w="0" w:type="dxa"/>
            <w:right w:w="28" w:type="dxa"/>
          </w:tblCellMar>
        </w:tblPrEx>
        <w:trPr>
          <w:trHeight w:val="340" w:hRule="atLeast"/>
          <w:jc w:val="center"/>
        </w:trPr>
        <w:tc>
          <w:tcPr>
            <w:tcW w:w="602" w:type="pct"/>
            <w:vMerge w:val="restart"/>
            <w:tcBorders>
              <w:top w:val="single" w:color="auto" w:sz="4" w:space="0"/>
              <w:left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产出</w:t>
            </w:r>
          </w:p>
        </w:tc>
        <w:tc>
          <w:tcPr>
            <w:tcW w:w="632" w:type="pct"/>
            <w:vMerge w:val="restart"/>
            <w:tcBorders>
              <w:top w:val="single" w:color="auto" w:sz="4" w:space="0"/>
              <w:left w:val="nil"/>
              <w:right w:val="single" w:color="auto" w:sz="4" w:space="0"/>
            </w:tcBorders>
            <w:shd w:val="clear" w:color="auto" w:fill="auto"/>
            <w:vAlign w:val="center"/>
          </w:tcPr>
          <w:p>
            <w:pPr>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产出数量</w:t>
            </w:r>
          </w:p>
        </w:tc>
        <w:tc>
          <w:tcPr>
            <w:tcW w:w="202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残疾人辅助器具适配完成率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5</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5.00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602"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632" w:type="pct"/>
            <w:vMerge w:val="continue"/>
            <w:tcBorders>
              <w:left w:val="nil"/>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202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残疾儿童康复救助完成率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color w:val="000000"/>
                <w:szCs w:val="21"/>
              </w:rPr>
            </w:pPr>
            <w:r>
              <w:rPr>
                <w:rFonts w:hint="eastAsia" w:ascii="宋体" w:hAnsi="宋体" w:eastAsia="宋体" w:cs="宋体"/>
                <w:szCs w:val="21"/>
              </w:rPr>
              <w:t>5.00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color w:val="00000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602"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632" w:type="pct"/>
            <w:vMerge w:val="continue"/>
            <w:tcBorders>
              <w:left w:val="nil"/>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202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扶残救助完成率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5</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5.00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602"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632" w:type="pct"/>
            <w:vMerge w:val="restart"/>
            <w:tcBorders>
              <w:top w:val="single" w:color="auto" w:sz="4" w:space="0"/>
              <w:left w:val="nil"/>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产出质量</w:t>
            </w:r>
          </w:p>
        </w:tc>
        <w:tc>
          <w:tcPr>
            <w:tcW w:w="202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残疾儿童康复出院率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color w:val="000000"/>
                <w:szCs w:val="21"/>
              </w:rPr>
            </w:pPr>
            <w:r>
              <w:rPr>
                <w:rFonts w:hint="eastAsia" w:ascii="宋体" w:hAnsi="宋体" w:eastAsia="宋体" w:cs="宋体"/>
                <w:szCs w:val="21"/>
              </w:rPr>
              <w:t>5.00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color w:val="00000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602"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632" w:type="pct"/>
            <w:vMerge w:val="continue"/>
            <w:tcBorders>
              <w:left w:val="nil"/>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202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残疾儿童救助保障合格率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5</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5.00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602"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632" w:type="pct"/>
            <w:vMerge w:val="continue"/>
            <w:tcBorders>
              <w:left w:val="nil"/>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202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扶残救助保障资金发放准确率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5</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5.00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602"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632" w:type="pct"/>
            <w:tcBorders>
              <w:top w:val="single" w:color="auto" w:sz="4" w:space="0"/>
              <w:left w:val="nil"/>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产出时效</w:t>
            </w:r>
          </w:p>
        </w:tc>
        <w:tc>
          <w:tcPr>
            <w:tcW w:w="202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项目完成及时性</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color w:val="000000"/>
                <w:szCs w:val="21"/>
              </w:rPr>
            </w:pPr>
            <w:r>
              <w:rPr>
                <w:rFonts w:hint="eastAsia" w:ascii="宋体" w:hAnsi="宋体" w:eastAsia="宋体" w:cs="宋体"/>
                <w:szCs w:val="21"/>
              </w:rPr>
              <w:t>5.00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color w:val="00000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340" w:hRule="atLeast"/>
          <w:jc w:val="center"/>
        </w:trPr>
        <w:tc>
          <w:tcPr>
            <w:tcW w:w="602" w:type="pct"/>
            <w:vMerge w:val="continue"/>
            <w:tcBorders>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632"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产出成本</w:t>
            </w:r>
          </w:p>
        </w:tc>
        <w:tc>
          <w:tcPr>
            <w:tcW w:w="2026"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成本节约率</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10</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color w:val="000000"/>
                <w:szCs w:val="21"/>
              </w:rPr>
            </w:pPr>
            <w:r>
              <w:rPr>
                <w:rFonts w:hint="eastAsia" w:ascii="宋体" w:hAnsi="宋体" w:eastAsia="宋体" w:cs="宋体"/>
                <w:szCs w:val="21"/>
                <w:lang w:val="en-US" w:eastAsia="zh-CN"/>
              </w:rPr>
              <w:t>1</w:t>
            </w:r>
            <w:r>
              <w:rPr>
                <w:rFonts w:hint="eastAsia" w:ascii="宋体" w:hAnsi="宋体" w:eastAsia="宋体" w:cs="宋体"/>
                <w:szCs w:val="21"/>
              </w:rPr>
              <w:t>0.00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color w:val="000000"/>
                <w:szCs w:val="21"/>
              </w:rPr>
            </w:pPr>
            <w:r>
              <w:rPr>
                <w:rFonts w:hint="eastAsia" w:ascii="宋体" w:hAnsi="宋体" w:eastAsia="宋体" w:cs="宋体"/>
                <w:szCs w:val="21"/>
                <w:lang w:val="en-US" w:eastAsia="zh-CN"/>
              </w:rPr>
              <w:t>10</w:t>
            </w:r>
            <w:r>
              <w:rPr>
                <w:rFonts w:hint="eastAsia" w:ascii="宋体" w:hAnsi="宋体" w:eastAsia="宋体" w:cs="宋体"/>
                <w:szCs w:val="21"/>
              </w:rPr>
              <w:t>0.00%</w:t>
            </w:r>
          </w:p>
        </w:tc>
      </w:tr>
      <w:tr>
        <w:tblPrEx>
          <w:tblCellMar>
            <w:top w:w="0" w:type="dxa"/>
            <w:left w:w="28" w:type="dxa"/>
            <w:bottom w:w="0" w:type="dxa"/>
            <w:right w:w="28" w:type="dxa"/>
          </w:tblCellMar>
        </w:tblPrEx>
        <w:trPr>
          <w:trHeight w:val="340" w:hRule="atLeast"/>
          <w:jc w:val="center"/>
        </w:trPr>
        <w:tc>
          <w:tcPr>
            <w:tcW w:w="3261" w:type="pct"/>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331" w:type="pct"/>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hint="eastAsia" w:ascii="宋体" w:hAnsi="宋体" w:eastAsia="等线" w:cs="宋体"/>
                <w:b/>
                <w:bCs/>
                <w:kern w:val="0"/>
                <w:szCs w:val="21"/>
                <w:lang w:eastAsia="zh-CN"/>
              </w:rPr>
            </w:pPr>
            <w:r>
              <w:rPr>
                <w:rFonts w:hint="eastAsia" w:ascii="宋体" w:hAnsi="宋体" w:eastAsia="宋体" w:cs="宋体"/>
                <w:b/>
                <w:bCs/>
                <w:kern w:val="0"/>
                <w:szCs w:val="21"/>
              </w:rPr>
              <w:t>4</w:t>
            </w:r>
            <w:r>
              <w:rPr>
                <w:rFonts w:hint="eastAsia" w:ascii="宋体" w:hAnsi="宋体" w:eastAsia="宋体" w:cs="宋体"/>
                <w:b/>
                <w:bCs/>
                <w:kern w:val="0"/>
                <w:szCs w:val="21"/>
                <w:lang w:val="en-US" w:eastAsia="zh-CN"/>
              </w:rPr>
              <w:t>5</w:t>
            </w:r>
          </w:p>
        </w:tc>
        <w:tc>
          <w:tcPr>
            <w:tcW w:w="594"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240" w:lineRule="auto"/>
              <w:jc w:val="center"/>
              <w:rPr>
                <w:rFonts w:ascii="宋体" w:hAnsi="宋体" w:eastAsia="宋体" w:cs="宋体"/>
                <w:b/>
                <w:bCs/>
                <w:color w:val="000000"/>
                <w:szCs w:val="21"/>
              </w:rPr>
            </w:pPr>
            <w:r>
              <w:rPr>
                <w:rFonts w:hint="eastAsia" w:ascii="宋体" w:hAnsi="宋体" w:eastAsia="宋体" w:cs="宋体"/>
                <w:b/>
                <w:bCs/>
                <w:color w:val="000000"/>
                <w:szCs w:val="21"/>
                <w:lang w:val="en-US" w:eastAsia="zh-CN"/>
              </w:rPr>
              <w:t>4</w:t>
            </w:r>
            <w:r>
              <w:rPr>
                <w:rFonts w:hint="eastAsia" w:ascii="宋体" w:hAnsi="宋体" w:eastAsia="宋体" w:cs="宋体"/>
                <w:b/>
                <w:bCs/>
                <w:color w:val="000000"/>
                <w:szCs w:val="21"/>
              </w:rPr>
              <w:t>5.00</w:t>
            </w:r>
          </w:p>
        </w:tc>
        <w:tc>
          <w:tcPr>
            <w:tcW w:w="813" w:type="pct"/>
            <w:tcBorders>
              <w:top w:val="single" w:color="auto" w:sz="4" w:space="0"/>
              <w:left w:val="nil"/>
              <w:bottom w:val="single" w:color="auto" w:sz="4" w:space="0"/>
              <w:right w:val="single" w:color="auto" w:sz="4" w:space="0"/>
            </w:tcBorders>
            <w:shd w:val="clear" w:color="auto" w:fill="auto"/>
            <w:noWrap/>
            <w:vAlign w:val="center"/>
          </w:tcPr>
          <w:p>
            <w:pPr>
              <w:adjustRightInd w:val="0"/>
              <w:snapToGrid w:val="0"/>
              <w:spacing w:line="240" w:lineRule="auto"/>
              <w:jc w:val="center"/>
              <w:rPr>
                <w:rFonts w:ascii="宋体" w:hAnsi="宋体" w:eastAsia="宋体" w:cs="宋体"/>
                <w:b/>
                <w:bCs/>
                <w:color w:val="000000"/>
                <w:szCs w:val="21"/>
              </w:rPr>
            </w:pPr>
            <w:r>
              <w:rPr>
                <w:rFonts w:hint="eastAsia" w:ascii="宋体" w:hAnsi="宋体" w:eastAsia="宋体" w:cs="宋体"/>
                <w:b/>
                <w:bCs/>
                <w:color w:val="000000"/>
                <w:szCs w:val="21"/>
                <w:lang w:val="en-US" w:eastAsia="zh-CN"/>
              </w:rPr>
              <w:t>100.00</w:t>
            </w:r>
            <w:r>
              <w:rPr>
                <w:rFonts w:hint="eastAsia" w:ascii="宋体" w:hAnsi="宋体" w:eastAsia="宋体" w:cs="宋体"/>
                <w:b/>
                <w:bCs/>
                <w:color w:val="000000"/>
                <w:szCs w:val="21"/>
              </w:rPr>
              <w:t>%</w:t>
            </w:r>
          </w:p>
        </w:tc>
      </w:tr>
    </w:tbl>
    <w:p>
      <w:pPr>
        <w:adjustRightInd w:val="0"/>
        <w:snapToGrid w:val="0"/>
        <w:spacing w:line="560" w:lineRule="exact"/>
        <w:ind w:firstLine="640" w:firstLineChars="200"/>
        <w:rPr>
          <w:rFonts w:ascii="Times New Roman" w:hAnsi="Times New Roman" w:eastAsia="仿宋_GB2312"/>
          <w:bCs/>
          <w:sz w:val="32"/>
          <w:szCs w:val="32"/>
        </w:rPr>
      </w:pPr>
      <w:bookmarkStart w:id="326" w:name="_Toc71574227"/>
      <w:bookmarkStart w:id="327" w:name="_Toc67497098"/>
      <w:bookmarkStart w:id="328" w:name="_Toc71573251"/>
    </w:p>
    <w:p>
      <w:pPr>
        <w:adjustRightInd w:val="0"/>
        <w:snapToGrid w:val="0"/>
        <w:spacing w:line="560" w:lineRule="exact"/>
        <w:ind w:firstLine="640" w:firstLineChars="200"/>
        <w:outlineLvl w:val="2"/>
        <w:rPr>
          <w:rFonts w:ascii="Times New Roman" w:hAnsi="Times New Roman" w:eastAsia="仿宋"/>
          <w:bCs/>
          <w:sz w:val="32"/>
          <w:szCs w:val="32"/>
        </w:rPr>
      </w:pPr>
      <w:bookmarkStart w:id="329" w:name="_Toc7791"/>
      <w:bookmarkStart w:id="330" w:name="_Toc30799"/>
      <w:bookmarkStart w:id="331" w:name="_Toc2278"/>
      <w:bookmarkStart w:id="332" w:name="_Toc30760"/>
      <w:bookmarkStart w:id="333" w:name="_Toc11642"/>
      <w:bookmarkStart w:id="334" w:name="_Toc21231"/>
      <w:bookmarkStart w:id="335" w:name="_Toc14600"/>
      <w:r>
        <w:rPr>
          <w:rFonts w:ascii="Times New Roman" w:hAnsi="Times New Roman" w:eastAsia="仿宋"/>
          <w:bCs/>
          <w:sz w:val="32"/>
          <w:szCs w:val="32"/>
        </w:rPr>
        <w:t>1.产出数量</w:t>
      </w:r>
      <w:bookmarkEnd w:id="326"/>
      <w:bookmarkEnd w:id="327"/>
      <w:bookmarkEnd w:id="328"/>
      <w:bookmarkEnd w:id="329"/>
      <w:bookmarkEnd w:id="330"/>
      <w:bookmarkEnd w:id="331"/>
      <w:bookmarkEnd w:id="332"/>
      <w:bookmarkEnd w:id="333"/>
      <w:bookmarkEnd w:id="334"/>
      <w:bookmarkEnd w:id="335"/>
    </w:p>
    <w:p>
      <w:pPr>
        <w:pStyle w:val="6"/>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（1）残疾人辅助器具适配完成率</w:t>
      </w:r>
    </w:p>
    <w:p>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残疾人辅助器具适配完成率较高。</w:t>
      </w:r>
      <w:r>
        <w:rPr>
          <w:rFonts w:hint="eastAsia" w:ascii="Times New Roman" w:hAnsi="Times New Roman" w:eastAsia="仿宋"/>
          <w:sz w:val="32"/>
          <w:szCs w:val="32"/>
        </w:rPr>
        <w:t>枣庄高新区</w:t>
      </w:r>
      <w:r>
        <w:rPr>
          <w:rFonts w:ascii="Times New Roman" w:hAnsi="Times New Roman" w:eastAsia="仿宋"/>
          <w:sz w:val="32"/>
          <w:szCs w:val="32"/>
        </w:rPr>
        <w:t>社会事务服务中心按照房城乡建设部标准定额司编制的《家庭无障碍建设指南》和中国残联、省残联相关要求，结合</w:t>
      </w:r>
      <w:r>
        <w:rPr>
          <w:rFonts w:hint="eastAsia" w:ascii="Times New Roman" w:hAnsi="Times New Roman" w:eastAsia="仿宋"/>
          <w:sz w:val="32"/>
          <w:szCs w:val="32"/>
        </w:rPr>
        <w:t>枣庄高新区</w:t>
      </w:r>
      <w:r>
        <w:rPr>
          <w:rFonts w:ascii="Times New Roman" w:hAnsi="Times New Roman" w:eastAsia="仿宋"/>
          <w:sz w:val="32"/>
          <w:szCs w:val="32"/>
        </w:rPr>
        <w:t>实际，科学评估确定综合性无障碍改造内容，全面提升残疾人生活质量，</w:t>
      </w:r>
      <w:r>
        <w:rPr>
          <w:rFonts w:ascii="Times New Roman" w:hAnsi="Times New Roman" w:eastAsia="仿宋"/>
          <w:kern w:val="0"/>
          <w:sz w:val="32"/>
          <w:szCs w:val="32"/>
        </w:rPr>
        <w:t>截至评价时点</w:t>
      </w:r>
      <w:r>
        <w:rPr>
          <w:rFonts w:ascii="Times New Roman" w:hAnsi="Times New Roman" w:eastAsia="仿宋"/>
          <w:sz w:val="32"/>
          <w:szCs w:val="32"/>
        </w:rPr>
        <w:t>，残疾人无障碍改造任务数均已完成，2021年</w:t>
      </w:r>
      <w:r>
        <w:rPr>
          <w:rFonts w:hint="eastAsia" w:ascii="Times New Roman" w:hAnsi="Times New Roman" w:eastAsia="仿宋"/>
          <w:sz w:val="32"/>
          <w:szCs w:val="32"/>
        </w:rPr>
        <w:t>枣庄高新区</w:t>
      </w:r>
      <w:r>
        <w:rPr>
          <w:rFonts w:ascii="Times New Roman" w:hAnsi="Times New Roman" w:eastAsia="仿宋"/>
          <w:sz w:val="32"/>
          <w:szCs w:val="32"/>
        </w:rPr>
        <w:t>困难低保重度残疾人家庭无障碍改造任务数为24人，实际改造人数为59人。满分5.00分，得分5.00分，得分率为100.00%。</w:t>
      </w:r>
    </w:p>
    <w:p>
      <w:pPr>
        <w:pStyle w:val="6"/>
        <w:adjustRightInd w:val="0"/>
        <w:snapToGrid w:val="0"/>
        <w:spacing w:before="0" w:after="0" w:line="560" w:lineRule="exact"/>
        <w:ind w:firstLine="640" w:firstLineChars="200"/>
        <w:rPr>
          <w:rFonts w:ascii="Times New Roman" w:hAnsi="Times New Roman" w:eastAsia="仿宋"/>
          <w:b w:val="0"/>
          <w:sz w:val="32"/>
          <w:szCs w:val="32"/>
        </w:rPr>
      </w:pPr>
      <w:bookmarkStart w:id="336" w:name="_Hlk57187512"/>
      <w:r>
        <w:rPr>
          <w:rFonts w:ascii="Times New Roman" w:hAnsi="Times New Roman" w:eastAsia="仿宋"/>
          <w:b w:val="0"/>
          <w:sz w:val="32"/>
          <w:szCs w:val="32"/>
        </w:rPr>
        <w:t>（2）残疾儿童康复救助完成率</w:t>
      </w:r>
    </w:p>
    <w:p>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sz w:val="32"/>
          <w:szCs w:val="32"/>
        </w:rPr>
        <w:t>残疾儿童康复救助完成率</w:t>
      </w:r>
      <w:r>
        <w:rPr>
          <w:rFonts w:ascii="Times New Roman" w:hAnsi="Times New Roman" w:eastAsia="仿宋"/>
          <w:b/>
          <w:bCs/>
          <w:sz w:val="32"/>
          <w:szCs w:val="32"/>
        </w:rPr>
        <w:t>较高。</w:t>
      </w:r>
      <w:r>
        <w:rPr>
          <w:rFonts w:hint="eastAsia" w:ascii="Times New Roman" w:hAnsi="Times New Roman" w:eastAsia="仿宋"/>
          <w:sz w:val="32"/>
          <w:szCs w:val="32"/>
        </w:rPr>
        <w:t>枣庄高新区</w:t>
      </w:r>
      <w:r>
        <w:rPr>
          <w:rFonts w:ascii="Times New Roman" w:hAnsi="Times New Roman" w:eastAsia="仿宋"/>
          <w:sz w:val="32"/>
          <w:szCs w:val="32"/>
        </w:rPr>
        <w:t>社会事务服务中心根据《枣庄市残疾儿童康复救助实施办法的通知》对高新区36名符合条件的视力、听力、言语、肢体、智力等残疾儿童和孤独症儿童进行康复救助，保障残疾儿童基本康复需求，截止评价时点，均已完成对36名残疾儿童的康复救助</w:t>
      </w:r>
      <w:r>
        <w:rPr>
          <w:rFonts w:hint="eastAsia" w:ascii="Times New Roman" w:hAnsi="Times New Roman" w:eastAsia="仿宋"/>
          <w:sz w:val="32"/>
          <w:szCs w:val="32"/>
          <w:lang w:eastAsia="zh-CN"/>
        </w:rPr>
        <w:t>。</w:t>
      </w:r>
      <w:r>
        <w:rPr>
          <w:rFonts w:ascii="Times New Roman" w:hAnsi="Times New Roman" w:eastAsia="仿宋"/>
          <w:sz w:val="32"/>
          <w:szCs w:val="32"/>
        </w:rPr>
        <w:t>满分5.00分，得分5.00分，得分率为100.00%。</w:t>
      </w:r>
    </w:p>
    <w:p>
      <w:pPr>
        <w:pStyle w:val="6"/>
        <w:adjustRightInd w:val="0"/>
        <w:snapToGrid w:val="0"/>
        <w:spacing w:before="0" w:after="0" w:line="560" w:lineRule="exact"/>
        <w:ind w:firstLine="640" w:firstLineChars="200"/>
        <w:rPr>
          <w:rFonts w:ascii="Times New Roman" w:hAnsi="Times New Roman" w:eastAsia="仿宋"/>
          <w:b w:val="0"/>
          <w:bCs w:val="0"/>
          <w:sz w:val="32"/>
          <w:szCs w:val="32"/>
        </w:rPr>
      </w:pPr>
      <w:r>
        <w:rPr>
          <w:rFonts w:ascii="Times New Roman" w:hAnsi="Times New Roman" w:eastAsia="仿宋"/>
          <w:b w:val="0"/>
          <w:sz w:val="32"/>
          <w:szCs w:val="32"/>
        </w:rPr>
        <w:t>（3）</w:t>
      </w:r>
      <w:r>
        <w:rPr>
          <w:rFonts w:ascii="Times New Roman" w:hAnsi="Times New Roman" w:eastAsia="仿宋"/>
          <w:b w:val="0"/>
          <w:bCs w:val="0"/>
          <w:sz w:val="32"/>
          <w:szCs w:val="32"/>
        </w:rPr>
        <w:t>扶残救助完成率</w:t>
      </w:r>
    </w:p>
    <w:p>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扶残救助完成率较高。</w:t>
      </w:r>
      <w:r>
        <w:rPr>
          <w:rFonts w:hint="eastAsia" w:ascii="Times New Roman" w:hAnsi="Times New Roman" w:eastAsia="仿宋"/>
          <w:sz w:val="32"/>
          <w:szCs w:val="32"/>
        </w:rPr>
        <w:t>枣庄高新区</w:t>
      </w:r>
      <w:r>
        <w:rPr>
          <w:rFonts w:ascii="Times New Roman" w:hAnsi="Times New Roman" w:eastAsia="仿宋"/>
          <w:sz w:val="32"/>
          <w:szCs w:val="32"/>
        </w:rPr>
        <w:t>社会事务服务中心根据《枣残联函〔2020〕38号关于做好2020年度扶残助学、励志助学项目工作的通知》文件的要求对高新区23名家庭及低保学生符合要求的残疾人进行补助，其中扶残助学项目对于新升入高中的残疾学生，按照1000</w:t>
      </w:r>
      <w:r>
        <w:rPr>
          <w:rFonts w:hint="eastAsia" w:ascii="Times New Roman" w:hAnsi="Times New Roman" w:eastAsia="仿宋"/>
          <w:sz w:val="32"/>
          <w:szCs w:val="32"/>
          <w:lang w:val="en-US" w:eastAsia="zh-CN"/>
        </w:rPr>
        <w:t>元</w:t>
      </w:r>
      <w:r>
        <w:rPr>
          <w:rFonts w:ascii="Times New Roman" w:hAnsi="Times New Roman" w:eastAsia="仿宋"/>
          <w:sz w:val="32"/>
          <w:szCs w:val="32"/>
        </w:rPr>
        <w:t>/人的标准发放助学金、新考入中专院校的残疾学生，按照2500</w:t>
      </w:r>
      <w:r>
        <w:rPr>
          <w:rFonts w:hint="eastAsia" w:ascii="Times New Roman" w:hAnsi="Times New Roman" w:eastAsia="仿宋"/>
          <w:sz w:val="32"/>
          <w:szCs w:val="32"/>
          <w:lang w:val="en-US" w:eastAsia="zh-CN"/>
        </w:rPr>
        <w:t>元</w:t>
      </w:r>
      <w:r>
        <w:rPr>
          <w:rFonts w:ascii="Times New Roman" w:hAnsi="Times New Roman" w:eastAsia="仿宋"/>
          <w:sz w:val="32"/>
          <w:szCs w:val="32"/>
        </w:rPr>
        <w:t>/人标准发放助学金、新考入中大专院校、家庭享受低保待遇、父母一方或双方为残疾人的学生按照1500</w:t>
      </w:r>
      <w:r>
        <w:rPr>
          <w:rFonts w:hint="eastAsia" w:ascii="Times New Roman" w:hAnsi="Times New Roman" w:eastAsia="仿宋"/>
          <w:sz w:val="32"/>
          <w:szCs w:val="32"/>
          <w:lang w:val="en-US" w:eastAsia="zh-CN"/>
        </w:rPr>
        <w:t>元</w:t>
      </w:r>
      <w:r>
        <w:rPr>
          <w:rFonts w:ascii="Times New Roman" w:hAnsi="Times New Roman" w:eastAsia="仿宋"/>
          <w:sz w:val="32"/>
          <w:szCs w:val="32"/>
        </w:rPr>
        <w:t>/人标准发放助学金；励志助学项目对于新考入大专及以上院校的残疾学生，按照大专4000元、本科6000元、硕士研究生8000元、博士10000元的标准发放补助金。截</w:t>
      </w:r>
      <w:r>
        <w:rPr>
          <w:rFonts w:hint="eastAsia" w:ascii="Times New Roman" w:hAnsi="Times New Roman" w:eastAsia="仿宋"/>
          <w:sz w:val="32"/>
          <w:szCs w:val="32"/>
          <w:lang w:eastAsia="zh-CN"/>
        </w:rPr>
        <w:t>至</w:t>
      </w:r>
      <w:r>
        <w:rPr>
          <w:rFonts w:ascii="Times New Roman" w:hAnsi="Times New Roman" w:eastAsia="仿宋"/>
          <w:sz w:val="32"/>
          <w:szCs w:val="32"/>
        </w:rPr>
        <w:t>评价时点，均已完成23名残疾人的助学补助。满分5.00分，得5.00分。得分率为100.00%。</w:t>
      </w:r>
    </w:p>
    <w:bookmarkEnd w:id="336"/>
    <w:p>
      <w:pPr>
        <w:adjustRightInd w:val="0"/>
        <w:snapToGrid w:val="0"/>
        <w:spacing w:line="560" w:lineRule="exact"/>
        <w:ind w:firstLine="640" w:firstLineChars="200"/>
        <w:outlineLvl w:val="2"/>
        <w:rPr>
          <w:rFonts w:ascii="Times New Roman" w:hAnsi="Times New Roman" w:eastAsia="仿宋"/>
          <w:bCs/>
          <w:sz w:val="32"/>
          <w:szCs w:val="32"/>
        </w:rPr>
      </w:pPr>
      <w:bookmarkStart w:id="337" w:name="_Toc67497099"/>
      <w:bookmarkStart w:id="338" w:name="_Toc17447"/>
      <w:bookmarkStart w:id="339" w:name="_Toc4956"/>
      <w:bookmarkStart w:id="340" w:name="_Toc13943"/>
      <w:bookmarkStart w:id="341" w:name="_Toc1910"/>
      <w:bookmarkStart w:id="342" w:name="_Toc71573252"/>
      <w:bookmarkStart w:id="343" w:name="_Toc18019"/>
      <w:bookmarkStart w:id="344" w:name="_Toc71574228"/>
      <w:bookmarkStart w:id="345" w:name="_Toc27416"/>
      <w:bookmarkStart w:id="346" w:name="_Toc18031"/>
      <w:r>
        <w:rPr>
          <w:rFonts w:ascii="Times New Roman" w:hAnsi="Times New Roman" w:eastAsia="仿宋"/>
          <w:bCs/>
          <w:sz w:val="32"/>
          <w:szCs w:val="32"/>
        </w:rPr>
        <w:t>2.产出质量</w:t>
      </w:r>
      <w:bookmarkEnd w:id="337"/>
      <w:bookmarkEnd w:id="338"/>
      <w:bookmarkEnd w:id="339"/>
      <w:bookmarkEnd w:id="340"/>
      <w:bookmarkEnd w:id="341"/>
      <w:bookmarkEnd w:id="342"/>
      <w:bookmarkEnd w:id="343"/>
      <w:bookmarkEnd w:id="344"/>
      <w:bookmarkEnd w:id="345"/>
      <w:bookmarkEnd w:id="346"/>
    </w:p>
    <w:p>
      <w:pPr>
        <w:pStyle w:val="6"/>
        <w:keepNext w:val="0"/>
        <w:keepLines w:val="0"/>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（1）残疾人家庭无障碍改造质量达标率</w:t>
      </w:r>
    </w:p>
    <w:p>
      <w:pPr>
        <w:adjustRightInd w:val="0"/>
        <w:snapToGrid w:val="0"/>
        <w:spacing w:line="560" w:lineRule="exact"/>
        <w:ind w:firstLine="643" w:firstLineChars="200"/>
        <w:rPr>
          <w:rFonts w:ascii="Times New Roman" w:hAnsi="Times New Roman" w:eastAsia="仿宋"/>
          <w:kern w:val="0"/>
          <w:sz w:val="32"/>
          <w:szCs w:val="32"/>
        </w:rPr>
      </w:pPr>
      <w:r>
        <w:rPr>
          <w:rFonts w:ascii="Times New Roman" w:hAnsi="Times New Roman" w:eastAsia="仿宋"/>
          <w:b/>
          <w:sz w:val="32"/>
          <w:szCs w:val="32"/>
        </w:rPr>
        <w:t>残疾人家庭无障碍改造质量达标率较高。</w:t>
      </w:r>
      <w:r>
        <w:rPr>
          <w:rFonts w:hint="eastAsia" w:ascii="Times New Roman" w:hAnsi="Times New Roman" w:eastAsia="仿宋"/>
          <w:bCs/>
          <w:sz w:val="32"/>
          <w:szCs w:val="32"/>
        </w:rPr>
        <w:t>枣庄高新区</w:t>
      </w:r>
      <w:r>
        <w:rPr>
          <w:rFonts w:ascii="Times New Roman" w:hAnsi="Times New Roman" w:eastAsia="仿宋"/>
          <w:bCs/>
          <w:sz w:val="32"/>
          <w:szCs w:val="32"/>
        </w:rPr>
        <w:t>社会事务服务中对残疾人家庭无障碍改造项目组织实施、确保质量，按照“一户一策”的原则，根据残疾人的实际需求，严格按照有关的规定组织有资质、信誉好的单位进行施工，对工程质量进行强化监督，及时解决施工中出现的情况和问题，确保工程质量。整体残疾人家庭无障碍改造质量达标率较高。满分5.00分，得分5.00分</w:t>
      </w:r>
      <w:r>
        <w:rPr>
          <w:rFonts w:hint="eastAsia" w:ascii="Times New Roman" w:hAnsi="Times New Roman" w:eastAsia="仿宋"/>
          <w:bCs/>
          <w:sz w:val="32"/>
          <w:szCs w:val="32"/>
          <w:lang w:eastAsia="zh-CN"/>
        </w:rPr>
        <w:t>，</w:t>
      </w:r>
      <w:r>
        <w:rPr>
          <w:rFonts w:ascii="Times New Roman" w:hAnsi="Times New Roman" w:eastAsia="仿宋"/>
          <w:bCs/>
          <w:sz w:val="32"/>
          <w:szCs w:val="32"/>
        </w:rPr>
        <w:t>得分率为100.00%。</w:t>
      </w:r>
    </w:p>
    <w:p>
      <w:pPr>
        <w:pStyle w:val="6"/>
        <w:keepNext w:val="0"/>
        <w:keepLines w:val="0"/>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（2）残疾儿童救助保障合格率</w:t>
      </w:r>
    </w:p>
    <w:p>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sz w:val="32"/>
          <w:szCs w:val="32"/>
        </w:rPr>
        <w:t>残疾儿童救助保障合格率较高。</w:t>
      </w:r>
      <w:bookmarkStart w:id="347" w:name="_Hlk71469138"/>
      <w:r>
        <w:rPr>
          <w:rFonts w:ascii="Times New Roman" w:hAnsi="Times New Roman" w:eastAsia="仿宋"/>
          <w:bCs/>
          <w:sz w:val="32"/>
          <w:szCs w:val="32"/>
        </w:rPr>
        <w:t>残疾儿童康复救助方式为对需要长期康复训练的残疾儿童根据不同类型采取机构内集中康复训练和“机构+社区+家庭”康复训练救助模式。听力、言语残疾儿童在机构内集中康复训练救助的时间原则上不超过2年。智力残疾、脑瘫和孤独症儿童在机构内集中康复救助的时间原则上不超过4年。对已经满机构内最长康复训练救助年限、经评估仍需康复的残疾儿童，采用“社区+机构+家庭”康复训练救助模式，保障康复效果</w:t>
      </w:r>
      <w:bookmarkEnd w:id="347"/>
      <w:r>
        <w:rPr>
          <w:rFonts w:ascii="Times New Roman" w:hAnsi="Times New Roman" w:eastAsia="仿宋"/>
          <w:kern w:val="0"/>
          <w:sz w:val="32"/>
          <w:szCs w:val="32"/>
        </w:rPr>
        <w:t>。满分5.00分，得5.00分</w:t>
      </w:r>
      <w:r>
        <w:rPr>
          <w:rFonts w:hint="eastAsia" w:ascii="Times New Roman" w:hAnsi="Times New Roman" w:eastAsia="仿宋"/>
          <w:sz w:val="32"/>
          <w:szCs w:val="32"/>
          <w:lang w:eastAsia="zh-CN"/>
        </w:rPr>
        <w:t>，</w:t>
      </w:r>
      <w:r>
        <w:rPr>
          <w:rFonts w:ascii="Times New Roman" w:hAnsi="Times New Roman" w:eastAsia="仿宋"/>
          <w:sz w:val="32"/>
          <w:szCs w:val="32"/>
        </w:rPr>
        <w:t>得分率为100.00%。</w:t>
      </w:r>
    </w:p>
    <w:p>
      <w:pPr>
        <w:pStyle w:val="6"/>
        <w:keepNext w:val="0"/>
        <w:keepLines w:val="0"/>
        <w:adjustRightInd w:val="0"/>
        <w:snapToGrid w:val="0"/>
        <w:spacing w:before="0" w:after="0" w:line="560" w:lineRule="exact"/>
        <w:ind w:firstLine="640" w:firstLineChars="200"/>
        <w:rPr>
          <w:rFonts w:ascii="Times New Roman" w:hAnsi="Times New Roman" w:eastAsia="仿宋"/>
          <w:b w:val="0"/>
          <w:sz w:val="32"/>
          <w:szCs w:val="32"/>
        </w:rPr>
      </w:pPr>
      <w:r>
        <w:rPr>
          <w:rFonts w:ascii="Times New Roman" w:hAnsi="Times New Roman" w:eastAsia="仿宋"/>
          <w:b w:val="0"/>
          <w:sz w:val="32"/>
          <w:szCs w:val="32"/>
        </w:rPr>
        <w:t>（3）扶残救助保障资金发放准确率</w:t>
      </w:r>
    </w:p>
    <w:p>
      <w:pPr>
        <w:adjustRightInd w:val="0"/>
        <w:snapToGrid w:val="0"/>
        <w:spacing w:line="560" w:lineRule="exact"/>
        <w:ind w:firstLine="643" w:firstLineChars="200"/>
        <w:rPr>
          <w:rFonts w:ascii="Times New Roman" w:hAnsi="Times New Roman" w:eastAsia="仿宋"/>
          <w:kern w:val="0"/>
          <w:sz w:val="32"/>
          <w:szCs w:val="32"/>
        </w:rPr>
      </w:pPr>
      <w:r>
        <w:rPr>
          <w:rFonts w:ascii="Times New Roman" w:hAnsi="Times New Roman" w:eastAsia="仿宋"/>
          <w:b/>
          <w:sz w:val="32"/>
          <w:szCs w:val="32"/>
        </w:rPr>
        <w:t>扶残救助保障资金发放准确率较高。</w:t>
      </w:r>
      <w:r>
        <w:rPr>
          <w:rFonts w:ascii="Times New Roman" w:hAnsi="Times New Roman" w:eastAsia="仿宋"/>
          <w:bCs/>
          <w:sz w:val="32"/>
          <w:szCs w:val="32"/>
        </w:rPr>
        <w:t>高新区社会事务服务中心对</w:t>
      </w:r>
      <w:r>
        <w:rPr>
          <w:rFonts w:ascii="Times New Roman" w:hAnsi="Times New Roman" w:eastAsia="仿宋"/>
          <w:kern w:val="0"/>
          <w:sz w:val="32"/>
          <w:szCs w:val="32"/>
        </w:rPr>
        <w:t>扶残助学、励志助学项目加强资金使用管理、确保资金转款专用，实名发放到人，进一步加强对已经救助的残疾学生的跟踪管理，并做好后续的服务工作，及时掌握毕业的残疾学生就业情况，建立并及时更新残疾大中专毕业生就业信息数据库。满分5.00分，得分5.00分</w:t>
      </w:r>
      <w:r>
        <w:rPr>
          <w:rFonts w:hint="eastAsia" w:ascii="Times New Roman" w:hAnsi="Times New Roman" w:eastAsia="仿宋"/>
          <w:kern w:val="0"/>
          <w:sz w:val="32"/>
          <w:szCs w:val="32"/>
          <w:lang w:eastAsia="zh-CN"/>
        </w:rPr>
        <w:t>，</w:t>
      </w:r>
      <w:r>
        <w:rPr>
          <w:rFonts w:ascii="Times New Roman" w:hAnsi="Times New Roman" w:eastAsia="仿宋"/>
          <w:kern w:val="0"/>
          <w:sz w:val="32"/>
          <w:szCs w:val="32"/>
        </w:rPr>
        <w:t>得分率为100.00%。</w:t>
      </w:r>
    </w:p>
    <w:p>
      <w:pPr>
        <w:adjustRightInd w:val="0"/>
        <w:snapToGrid w:val="0"/>
        <w:spacing w:line="560" w:lineRule="exact"/>
        <w:ind w:firstLine="640" w:firstLineChars="200"/>
        <w:outlineLvl w:val="2"/>
        <w:rPr>
          <w:rFonts w:ascii="Times New Roman" w:hAnsi="Times New Roman" w:eastAsia="仿宋"/>
          <w:bCs/>
          <w:sz w:val="32"/>
          <w:szCs w:val="32"/>
        </w:rPr>
      </w:pPr>
      <w:bookmarkStart w:id="348" w:name="_Toc8145"/>
      <w:bookmarkStart w:id="349" w:name="_Toc30906"/>
      <w:bookmarkStart w:id="350" w:name="_Toc10486"/>
      <w:bookmarkStart w:id="351" w:name="_Toc28812"/>
      <w:bookmarkStart w:id="352" w:name="_Toc71574229"/>
      <w:bookmarkStart w:id="353" w:name="_Toc20652"/>
      <w:bookmarkStart w:id="354" w:name="_Toc22193"/>
      <w:bookmarkStart w:id="355" w:name="_Toc67497100"/>
      <w:bookmarkStart w:id="356" w:name="_Toc71573253"/>
      <w:bookmarkStart w:id="357" w:name="_Toc28009"/>
      <w:r>
        <w:rPr>
          <w:rFonts w:ascii="Times New Roman" w:hAnsi="Times New Roman" w:eastAsia="仿宋"/>
          <w:bCs/>
          <w:sz w:val="32"/>
          <w:szCs w:val="32"/>
        </w:rPr>
        <w:t>3.产出时效</w:t>
      </w:r>
      <w:bookmarkEnd w:id="348"/>
      <w:bookmarkEnd w:id="349"/>
      <w:bookmarkEnd w:id="350"/>
      <w:bookmarkEnd w:id="351"/>
      <w:bookmarkEnd w:id="352"/>
      <w:bookmarkEnd w:id="353"/>
      <w:bookmarkEnd w:id="354"/>
      <w:bookmarkEnd w:id="355"/>
      <w:bookmarkEnd w:id="356"/>
      <w:bookmarkEnd w:id="357"/>
    </w:p>
    <w:p>
      <w:pPr>
        <w:adjustRightInd w:val="0"/>
        <w:snapToGrid w:val="0"/>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项目完成及时性较高。</w:t>
      </w:r>
      <w:r>
        <w:rPr>
          <w:rFonts w:ascii="Times New Roman" w:hAnsi="Times New Roman" w:eastAsia="仿宋"/>
          <w:sz w:val="32"/>
          <w:szCs w:val="32"/>
        </w:rPr>
        <w:t>截至评价时点，</w:t>
      </w:r>
      <w:r>
        <w:rPr>
          <w:rFonts w:hint="eastAsia" w:ascii="Times New Roman" w:hAnsi="Times New Roman" w:eastAsia="仿宋"/>
          <w:sz w:val="32"/>
          <w:szCs w:val="32"/>
        </w:rPr>
        <w:t>枣庄高新区</w:t>
      </w:r>
      <w:r>
        <w:rPr>
          <w:rFonts w:ascii="Times New Roman" w:hAnsi="Times New Roman" w:eastAsia="仿宋"/>
          <w:sz w:val="32"/>
          <w:szCs w:val="32"/>
        </w:rPr>
        <w:t>社会事业服务中心残疾人康复专项项目均已完成，项目实施内容包括：残疾儿童康复救助、扶残励志助学项目、重症精神病患者政府兜底、采购办理残疾证、白内障手术免费救治、辅助器具配置和无障碍改造以及如康家园建设等。满分5.00分，得分5.00分，得分率为100.00%。</w:t>
      </w:r>
    </w:p>
    <w:p>
      <w:pPr>
        <w:adjustRightInd w:val="0"/>
        <w:snapToGrid w:val="0"/>
        <w:spacing w:line="560" w:lineRule="exact"/>
        <w:ind w:firstLine="640" w:firstLineChars="200"/>
        <w:outlineLvl w:val="2"/>
        <w:rPr>
          <w:rFonts w:ascii="Times New Roman" w:hAnsi="Times New Roman" w:eastAsia="仿宋"/>
          <w:bCs/>
          <w:sz w:val="32"/>
          <w:szCs w:val="32"/>
        </w:rPr>
      </w:pPr>
      <w:bookmarkStart w:id="358" w:name="_Toc67497101"/>
      <w:bookmarkStart w:id="359" w:name="_Toc71573254"/>
      <w:bookmarkStart w:id="360" w:name="_Toc11766"/>
      <w:bookmarkStart w:id="361" w:name="_Toc16823"/>
      <w:bookmarkStart w:id="362" w:name="_Toc6502"/>
      <w:bookmarkStart w:id="363" w:name="_Toc21666"/>
      <w:bookmarkStart w:id="364" w:name="_Toc15677"/>
      <w:bookmarkStart w:id="365" w:name="_Toc71574230"/>
      <w:bookmarkStart w:id="366" w:name="_Toc22884"/>
      <w:bookmarkStart w:id="367" w:name="_Toc24694"/>
      <w:r>
        <w:rPr>
          <w:rFonts w:ascii="Times New Roman" w:hAnsi="Times New Roman" w:eastAsia="仿宋"/>
          <w:bCs/>
          <w:sz w:val="32"/>
          <w:szCs w:val="32"/>
        </w:rPr>
        <w:t>4.产出成本</w:t>
      </w:r>
      <w:bookmarkEnd w:id="358"/>
      <w:bookmarkEnd w:id="359"/>
      <w:bookmarkEnd w:id="360"/>
      <w:bookmarkEnd w:id="361"/>
      <w:bookmarkEnd w:id="362"/>
      <w:bookmarkEnd w:id="363"/>
      <w:bookmarkEnd w:id="364"/>
      <w:bookmarkEnd w:id="365"/>
      <w:bookmarkEnd w:id="366"/>
      <w:bookmarkEnd w:id="367"/>
    </w:p>
    <w:p>
      <w:pPr>
        <w:adjustRightInd w:val="0"/>
        <w:snapToGrid w:val="0"/>
        <w:spacing w:line="560" w:lineRule="exact"/>
        <w:ind w:firstLine="640" w:firstLineChars="200"/>
        <w:rPr>
          <w:rFonts w:ascii="Times New Roman" w:hAnsi="Times New Roman" w:eastAsia="仿宋"/>
          <w:sz w:val="32"/>
          <w:szCs w:val="32"/>
        </w:rPr>
      </w:pPr>
      <w:bookmarkStart w:id="368" w:name="_Toc34639223"/>
      <w:bookmarkStart w:id="369" w:name="_Toc54252560"/>
      <w:r>
        <w:rPr>
          <w:rFonts w:ascii="Times New Roman" w:hAnsi="Times New Roman" w:eastAsia="仿宋"/>
          <w:sz w:val="32"/>
          <w:szCs w:val="32"/>
        </w:rPr>
        <w:t>残疾人康复专项经费项目申报及执行过程中，项目层面均采取了系列措施控制成本，较好地节约了资金，部分资金超出预算资金，项目实际支出金额为</w:t>
      </w:r>
      <w:r>
        <w:rPr>
          <w:rFonts w:hint="eastAsia" w:ascii="Times New Roman" w:hAnsi="Times New Roman" w:eastAsia="仿宋"/>
          <w:sz w:val="32"/>
          <w:szCs w:val="32"/>
          <w:lang w:val="en-US" w:eastAsia="zh-CN"/>
        </w:rPr>
        <w:t>100.00</w:t>
      </w:r>
      <w:r>
        <w:rPr>
          <w:rFonts w:ascii="Times New Roman" w:hAnsi="Times New Roman" w:eastAsia="仿宋"/>
          <w:sz w:val="32"/>
          <w:szCs w:val="32"/>
        </w:rPr>
        <w:t>万元，预算资金为100.00万元。成本节约率为</w:t>
      </w:r>
      <w:r>
        <w:rPr>
          <w:rFonts w:hint="eastAsia" w:ascii="Times New Roman" w:hAnsi="Times New Roman" w:eastAsia="仿宋"/>
          <w:sz w:val="32"/>
          <w:szCs w:val="32"/>
          <w:lang w:val="en-US" w:eastAsia="zh-CN"/>
        </w:rPr>
        <w:t>100.00</w:t>
      </w:r>
      <w:r>
        <w:rPr>
          <w:rFonts w:ascii="Times New Roman" w:hAnsi="Times New Roman" w:eastAsia="仿宋"/>
          <w:sz w:val="32"/>
          <w:szCs w:val="32"/>
        </w:rPr>
        <w:t>%。满分10.00分，得</w:t>
      </w:r>
      <w:r>
        <w:rPr>
          <w:rFonts w:hint="eastAsia" w:ascii="Times New Roman" w:hAnsi="Times New Roman" w:eastAsia="仿宋"/>
          <w:sz w:val="32"/>
          <w:szCs w:val="32"/>
          <w:lang w:val="en-US" w:eastAsia="zh-CN"/>
        </w:rPr>
        <w:t>1</w:t>
      </w:r>
      <w:r>
        <w:rPr>
          <w:rFonts w:ascii="Times New Roman" w:hAnsi="Times New Roman" w:eastAsia="仿宋"/>
          <w:sz w:val="32"/>
          <w:szCs w:val="32"/>
        </w:rPr>
        <w:t>0.00分</w:t>
      </w:r>
      <w:r>
        <w:rPr>
          <w:rFonts w:hint="eastAsia" w:ascii="Times New Roman" w:hAnsi="Times New Roman" w:eastAsia="仿宋"/>
          <w:sz w:val="32"/>
          <w:szCs w:val="32"/>
          <w:lang w:eastAsia="zh-CN"/>
        </w:rPr>
        <w:t>，</w:t>
      </w:r>
      <w:r>
        <w:rPr>
          <w:rFonts w:ascii="Times New Roman" w:hAnsi="Times New Roman" w:eastAsia="仿宋"/>
          <w:sz w:val="32"/>
          <w:szCs w:val="32"/>
        </w:rPr>
        <w:t>得分率为</w:t>
      </w:r>
      <w:r>
        <w:rPr>
          <w:rFonts w:hint="eastAsia" w:ascii="Times New Roman" w:hAnsi="Times New Roman" w:eastAsia="仿宋"/>
          <w:sz w:val="32"/>
          <w:szCs w:val="32"/>
          <w:lang w:val="en-US" w:eastAsia="zh-CN"/>
        </w:rPr>
        <w:t>10</w:t>
      </w:r>
      <w:r>
        <w:rPr>
          <w:rFonts w:ascii="Times New Roman" w:hAnsi="Times New Roman" w:eastAsia="仿宋"/>
          <w:sz w:val="32"/>
          <w:szCs w:val="32"/>
        </w:rPr>
        <w:t>0.00%。</w:t>
      </w:r>
    </w:p>
    <w:p>
      <w:pPr>
        <w:adjustRightInd w:val="0"/>
        <w:snapToGrid w:val="0"/>
        <w:spacing w:line="560" w:lineRule="exact"/>
        <w:ind w:firstLine="640" w:firstLineChars="200"/>
        <w:outlineLvl w:val="1"/>
        <w:rPr>
          <w:rFonts w:ascii="Times New Roman" w:hAnsi="Times New Roman" w:eastAsia="楷体"/>
          <w:sz w:val="32"/>
          <w:szCs w:val="32"/>
        </w:rPr>
      </w:pPr>
      <w:bookmarkStart w:id="370" w:name="_Toc8542"/>
      <w:bookmarkStart w:id="371" w:name="_Toc22692"/>
      <w:bookmarkStart w:id="372" w:name="_Toc31026"/>
      <w:bookmarkStart w:id="373" w:name="_Toc919"/>
      <w:bookmarkStart w:id="374" w:name="_Toc28604"/>
      <w:bookmarkStart w:id="375" w:name="_Toc29928"/>
      <w:bookmarkStart w:id="376" w:name="_Toc71574231"/>
      <w:bookmarkStart w:id="377" w:name="_Toc21717"/>
      <w:r>
        <w:rPr>
          <w:rFonts w:ascii="Times New Roman" w:hAnsi="Times New Roman" w:eastAsia="楷体"/>
          <w:sz w:val="32"/>
          <w:szCs w:val="32"/>
        </w:rPr>
        <w:t>（四）</w:t>
      </w:r>
      <w:bookmarkEnd w:id="368"/>
      <w:r>
        <w:rPr>
          <w:rFonts w:ascii="Times New Roman" w:hAnsi="Times New Roman" w:eastAsia="楷体"/>
          <w:sz w:val="32"/>
          <w:szCs w:val="32"/>
        </w:rPr>
        <w:t>项目效益情况</w:t>
      </w:r>
      <w:bookmarkEnd w:id="369"/>
      <w:bookmarkEnd w:id="370"/>
      <w:bookmarkEnd w:id="371"/>
      <w:bookmarkEnd w:id="372"/>
      <w:bookmarkEnd w:id="373"/>
      <w:bookmarkEnd w:id="374"/>
      <w:bookmarkEnd w:id="375"/>
      <w:bookmarkEnd w:id="376"/>
      <w:bookmarkEnd w:id="377"/>
    </w:p>
    <w:p>
      <w:pPr>
        <w:adjustRightInd w:val="0"/>
        <w:snapToGrid w:val="0"/>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项目的实施，通过开展残疾人基本康复服务项目年度工作，为残疾人配置辅助器具，肢体、视力、精神、智力残疾人开展基本康复服务，极大的提高了残疾人的生活自理和社会参与能力，通过“如康家园”项目年度工作的实施，帮助残疾人得到了较好的托养照料等良好的效益。效益指标分值25.00分，得分2</w:t>
      </w:r>
      <w:r>
        <w:rPr>
          <w:rFonts w:hint="eastAsia" w:ascii="Times New Roman" w:hAnsi="Times New Roman" w:eastAsia="仿宋"/>
          <w:sz w:val="32"/>
          <w:szCs w:val="32"/>
          <w:lang w:val="en-US" w:eastAsia="zh-CN"/>
        </w:rPr>
        <w:t>0</w:t>
      </w:r>
      <w:r>
        <w:rPr>
          <w:rFonts w:ascii="Times New Roman" w:hAnsi="Times New Roman" w:eastAsia="仿宋"/>
          <w:sz w:val="32"/>
          <w:szCs w:val="32"/>
        </w:rPr>
        <w:t>.00分，得分率</w:t>
      </w:r>
      <w:r>
        <w:rPr>
          <w:rFonts w:hint="eastAsia" w:ascii="Times New Roman" w:hAnsi="Times New Roman" w:eastAsia="仿宋"/>
          <w:sz w:val="32"/>
          <w:szCs w:val="32"/>
          <w:lang w:val="en-US" w:eastAsia="zh-CN"/>
        </w:rPr>
        <w:t>80</w:t>
      </w:r>
      <w:r>
        <w:rPr>
          <w:rFonts w:ascii="Times New Roman" w:hAnsi="Times New Roman" w:eastAsia="仿宋"/>
          <w:sz w:val="32"/>
          <w:szCs w:val="32"/>
        </w:rPr>
        <w:t>.00%（评分详见下表）。</w:t>
      </w:r>
    </w:p>
    <w:p>
      <w:pPr>
        <w:adjustRightInd w:val="0"/>
        <w:snapToGrid w:val="0"/>
        <w:spacing w:line="560" w:lineRule="exact"/>
        <w:ind w:firstLine="560" w:firstLineChars="200"/>
        <w:jc w:val="center"/>
        <w:rPr>
          <w:rFonts w:ascii="Times New Roman" w:hAnsi="Times New Roman" w:eastAsia="黑体"/>
          <w:sz w:val="28"/>
          <w:szCs w:val="28"/>
        </w:rPr>
      </w:pPr>
      <w:r>
        <w:rPr>
          <w:rFonts w:ascii="Times New Roman" w:hAnsi="Times New Roman" w:eastAsia="黑体"/>
          <w:sz w:val="28"/>
          <w:szCs w:val="28"/>
        </w:rPr>
        <w:t>表</w:t>
      </w:r>
      <w:r>
        <w:rPr>
          <w:rFonts w:hint="eastAsia" w:ascii="Times New Roman" w:hAnsi="Times New Roman" w:eastAsia="黑体"/>
          <w:sz w:val="28"/>
          <w:szCs w:val="28"/>
          <w:lang w:val="en-US" w:eastAsia="zh-CN"/>
        </w:rPr>
        <w:t>4-4</w:t>
      </w:r>
      <w:r>
        <w:rPr>
          <w:rFonts w:ascii="Times New Roman" w:hAnsi="Times New Roman" w:eastAsia="黑体"/>
          <w:sz w:val="28"/>
          <w:szCs w:val="28"/>
        </w:rPr>
        <w:t>：效益指标设定及评分情况表</w:t>
      </w:r>
    </w:p>
    <w:tbl>
      <w:tblPr>
        <w:tblStyle w:val="39"/>
        <w:tblW w:w="4885" w:type="pct"/>
        <w:jc w:val="center"/>
        <w:tblLayout w:type="fixed"/>
        <w:tblCellMar>
          <w:top w:w="0" w:type="dxa"/>
          <w:left w:w="28" w:type="dxa"/>
          <w:bottom w:w="0" w:type="dxa"/>
          <w:right w:w="28" w:type="dxa"/>
        </w:tblCellMar>
      </w:tblPr>
      <w:tblGrid>
        <w:gridCol w:w="863"/>
        <w:gridCol w:w="1099"/>
        <w:gridCol w:w="4075"/>
        <w:gridCol w:w="680"/>
        <w:gridCol w:w="798"/>
        <w:gridCol w:w="1069"/>
      </w:tblGrid>
      <w:tr>
        <w:tblPrEx>
          <w:tblCellMar>
            <w:top w:w="0" w:type="dxa"/>
            <w:left w:w="28" w:type="dxa"/>
            <w:bottom w:w="0" w:type="dxa"/>
            <w:right w:w="28" w:type="dxa"/>
          </w:tblCellMar>
        </w:tblPrEx>
        <w:trPr>
          <w:trHeight w:val="454" w:hRule="atLeast"/>
          <w:tblHeader/>
          <w:jc w:val="center"/>
        </w:trPr>
        <w:tc>
          <w:tcPr>
            <w:tcW w:w="502" w:type="pct"/>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一级指标</w:t>
            </w:r>
          </w:p>
        </w:tc>
        <w:tc>
          <w:tcPr>
            <w:tcW w:w="640"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二级指标</w:t>
            </w:r>
          </w:p>
        </w:tc>
        <w:tc>
          <w:tcPr>
            <w:tcW w:w="2371"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三级指标</w:t>
            </w:r>
          </w:p>
        </w:tc>
        <w:tc>
          <w:tcPr>
            <w:tcW w:w="396"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分值</w:t>
            </w:r>
          </w:p>
        </w:tc>
        <w:tc>
          <w:tcPr>
            <w:tcW w:w="465"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w:t>
            </w:r>
          </w:p>
        </w:tc>
        <w:tc>
          <w:tcPr>
            <w:tcW w:w="623" w:type="pct"/>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得分率</w:t>
            </w:r>
          </w:p>
        </w:tc>
      </w:tr>
      <w:tr>
        <w:tblPrEx>
          <w:tblCellMar>
            <w:top w:w="0" w:type="dxa"/>
            <w:left w:w="28" w:type="dxa"/>
            <w:bottom w:w="0" w:type="dxa"/>
            <w:right w:w="28" w:type="dxa"/>
          </w:tblCellMar>
        </w:tblPrEx>
        <w:trPr>
          <w:trHeight w:val="454" w:hRule="atLeast"/>
          <w:jc w:val="center"/>
        </w:trPr>
        <w:tc>
          <w:tcPr>
            <w:tcW w:w="502" w:type="pct"/>
            <w:vMerge w:val="restart"/>
            <w:tcBorders>
              <w:top w:val="nil"/>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效益</w:t>
            </w:r>
          </w:p>
        </w:tc>
        <w:tc>
          <w:tcPr>
            <w:tcW w:w="640" w:type="pct"/>
            <w:vMerge w:val="restart"/>
            <w:tcBorders>
              <w:top w:val="nil"/>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项目效益</w:t>
            </w:r>
          </w:p>
        </w:tc>
        <w:tc>
          <w:tcPr>
            <w:tcW w:w="23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提高残疾人融入社会生活能力情况</w:t>
            </w:r>
          </w:p>
        </w:tc>
        <w:tc>
          <w:tcPr>
            <w:tcW w:w="396"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w:t>
            </w:r>
          </w:p>
        </w:tc>
        <w:tc>
          <w:tcPr>
            <w:tcW w:w="465"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5.00</w:t>
            </w:r>
          </w:p>
        </w:tc>
        <w:tc>
          <w:tcPr>
            <w:tcW w:w="6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502" w:type="pct"/>
            <w:vMerge w:val="continue"/>
            <w:tcBorders>
              <w:left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kern w:val="0"/>
                <w:szCs w:val="21"/>
              </w:rPr>
            </w:pPr>
          </w:p>
        </w:tc>
        <w:tc>
          <w:tcPr>
            <w:tcW w:w="640"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23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推动残疾儿童康复救助情况</w:t>
            </w:r>
          </w:p>
        </w:tc>
        <w:tc>
          <w:tcPr>
            <w:tcW w:w="396"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w:t>
            </w:r>
          </w:p>
        </w:tc>
        <w:tc>
          <w:tcPr>
            <w:tcW w:w="465"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5.00</w:t>
            </w:r>
          </w:p>
        </w:tc>
        <w:tc>
          <w:tcPr>
            <w:tcW w:w="6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502" w:type="pct"/>
            <w:vMerge w:val="continue"/>
            <w:tcBorders>
              <w:left w:val="single" w:color="auto" w:sz="4" w:space="0"/>
              <w:right w:val="single" w:color="auto" w:sz="4" w:space="0"/>
            </w:tcBorders>
            <w:shd w:val="clear" w:color="auto" w:fill="auto"/>
            <w:vAlign w:val="center"/>
          </w:tcPr>
          <w:p>
            <w:pPr>
              <w:adjustRightInd w:val="0"/>
              <w:snapToGrid w:val="0"/>
              <w:spacing w:line="240" w:lineRule="auto"/>
              <w:jc w:val="center"/>
              <w:rPr>
                <w:rFonts w:ascii="宋体" w:hAnsi="宋体" w:eastAsia="宋体" w:cs="宋体"/>
                <w:kern w:val="0"/>
                <w:szCs w:val="21"/>
              </w:rPr>
            </w:pPr>
          </w:p>
        </w:tc>
        <w:tc>
          <w:tcPr>
            <w:tcW w:w="640"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2371"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kern w:val="0"/>
                <w:szCs w:val="21"/>
              </w:rPr>
              <w:t>提高辅助器具、家庭无障碍改造服务管理服务水平</w:t>
            </w:r>
          </w:p>
        </w:tc>
        <w:tc>
          <w:tcPr>
            <w:tcW w:w="396" w:type="pct"/>
            <w:tcBorders>
              <w:top w:val="nil"/>
              <w:left w:val="nil"/>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w:t>
            </w:r>
          </w:p>
        </w:tc>
        <w:tc>
          <w:tcPr>
            <w:tcW w:w="465"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lang w:val="en-US" w:eastAsia="zh-CN"/>
              </w:rPr>
              <w:t>0</w:t>
            </w:r>
            <w:r>
              <w:rPr>
                <w:rFonts w:hint="eastAsia" w:ascii="宋体" w:hAnsi="宋体" w:eastAsia="宋体" w:cs="宋体"/>
                <w:szCs w:val="21"/>
              </w:rPr>
              <w:t>.00</w:t>
            </w:r>
          </w:p>
        </w:tc>
        <w:tc>
          <w:tcPr>
            <w:tcW w:w="623"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0.00%</w:t>
            </w:r>
          </w:p>
        </w:tc>
      </w:tr>
      <w:tr>
        <w:tblPrEx>
          <w:tblCellMar>
            <w:top w:w="0" w:type="dxa"/>
            <w:left w:w="28" w:type="dxa"/>
            <w:bottom w:w="0" w:type="dxa"/>
            <w:right w:w="28" w:type="dxa"/>
          </w:tblCellMar>
        </w:tblPrEx>
        <w:trPr>
          <w:trHeight w:val="454" w:hRule="atLeast"/>
          <w:jc w:val="center"/>
        </w:trPr>
        <w:tc>
          <w:tcPr>
            <w:tcW w:w="502"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640"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2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残疾人及其家属对残疾人康复的满意度</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5.00</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502"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640" w:type="pct"/>
            <w:vMerge w:val="continue"/>
            <w:tcBorders>
              <w:left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p>
        </w:tc>
        <w:tc>
          <w:tcPr>
            <w:tcW w:w="237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残疾接受技能培训满意度</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5.00</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kern w:val="0"/>
                <w:szCs w:val="21"/>
              </w:rPr>
            </w:pPr>
            <w:r>
              <w:rPr>
                <w:rFonts w:hint="eastAsia" w:ascii="宋体" w:hAnsi="宋体" w:eastAsia="宋体" w:cs="宋体"/>
                <w:szCs w:val="21"/>
              </w:rPr>
              <w:t>100.00%</w:t>
            </w:r>
          </w:p>
        </w:tc>
      </w:tr>
      <w:tr>
        <w:tblPrEx>
          <w:tblCellMar>
            <w:top w:w="0" w:type="dxa"/>
            <w:left w:w="28" w:type="dxa"/>
            <w:bottom w:w="0" w:type="dxa"/>
            <w:right w:w="28" w:type="dxa"/>
          </w:tblCellMar>
        </w:tblPrEx>
        <w:trPr>
          <w:trHeight w:val="454" w:hRule="atLeast"/>
          <w:jc w:val="center"/>
        </w:trPr>
        <w:tc>
          <w:tcPr>
            <w:tcW w:w="3514"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小计</w:t>
            </w:r>
          </w:p>
        </w:tc>
        <w:tc>
          <w:tcPr>
            <w:tcW w:w="39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25</w:t>
            </w:r>
          </w:p>
        </w:tc>
        <w:tc>
          <w:tcPr>
            <w:tcW w:w="46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rPr>
              <w:t>2</w:t>
            </w:r>
            <w:r>
              <w:rPr>
                <w:rFonts w:hint="eastAsia" w:ascii="宋体" w:hAnsi="宋体" w:eastAsia="宋体" w:cs="宋体"/>
                <w:b/>
                <w:bCs/>
                <w:kern w:val="0"/>
                <w:szCs w:val="21"/>
                <w:lang w:val="en-US" w:eastAsia="zh-CN"/>
              </w:rPr>
              <w:t>0</w:t>
            </w:r>
            <w:r>
              <w:rPr>
                <w:rFonts w:hint="eastAsia" w:ascii="宋体" w:hAnsi="宋体" w:eastAsia="宋体" w:cs="宋体"/>
                <w:b/>
                <w:bCs/>
                <w:kern w:val="0"/>
                <w:szCs w:val="21"/>
              </w:rPr>
              <w:t>.00</w:t>
            </w:r>
          </w:p>
        </w:tc>
        <w:tc>
          <w:tcPr>
            <w:tcW w:w="6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auto"/>
              <w:jc w:val="center"/>
              <w:rPr>
                <w:rFonts w:ascii="宋体" w:hAnsi="宋体" w:eastAsia="宋体" w:cs="宋体"/>
                <w:b/>
                <w:bCs/>
                <w:kern w:val="0"/>
                <w:szCs w:val="21"/>
              </w:rPr>
            </w:pPr>
            <w:r>
              <w:rPr>
                <w:rFonts w:hint="eastAsia" w:ascii="宋体" w:hAnsi="宋体" w:eastAsia="宋体" w:cs="宋体"/>
                <w:b/>
                <w:bCs/>
                <w:kern w:val="0"/>
                <w:szCs w:val="21"/>
                <w:lang w:val="en-US" w:eastAsia="zh-CN"/>
              </w:rPr>
              <w:t>80</w:t>
            </w:r>
            <w:r>
              <w:rPr>
                <w:rFonts w:hint="eastAsia" w:ascii="宋体" w:hAnsi="宋体" w:eastAsia="宋体" w:cs="宋体"/>
                <w:b/>
                <w:bCs/>
                <w:kern w:val="0"/>
                <w:szCs w:val="21"/>
              </w:rPr>
              <w:t>.00%</w:t>
            </w:r>
          </w:p>
        </w:tc>
      </w:tr>
    </w:tbl>
    <w:p>
      <w:pPr>
        <w:adjustRightInd w:val="0"/>
        <w:snapToGrid w:val="0"/>
        <w:spacing w:line="560" w:lineRule="exact"/>
        <w:ind w:firstLine="640" w:firstLineChars="200"/>
        <w:outlineLvl w:val="2"/>
        <w:rPr>
          <w:rFonts w:ascii="Times New Roman" w:hAnsi="Times New Roman" w:eastAsia="仿宋"/>
          <w:bCs/>
          <w:sz w:val="32"/>
          <w:szCs w:val="32"/>
        </w:rPr>
      </w:pPr>
      <w:bookmarkStart w:id="378" w:name="_Toc67497103"/>
      <w:bookmarkStart w:id="379" w:name="_Toc26524"/>
      <w:bookmarkStart w:id="380" w:name="_Toc71574232"/>
      <w:bookmarkStart w:id="381" w:name="_Toc71573256"/>
      <w:bookmarkStart w:id="382" w:name="_Toc10892"/>
      <w:bookmarkStart w:id="383" w:name="_Toc30749"/>
      <w:bookmarkStart w:id="384" w:name="_Toc23101"/>
      <w:bookmarkStart w:id="385" w:name="_Toc12648"/>
      <w:bookmarkStart w:id="386" w:name="_Toc11807"/>
      <w:bookmarkStart w:id="387" w:name="_Toc27637"/>
      <w:r>
        <w:rPr>
          <w:rFonts w:ascii="Times New Roman" w:hAnsi="Times New Roman" w:eastAsia="仿宋"/>
          <w:bCs/>
          <w:sz w:val="32"/>
          <w:szCs w:val="32"/>
        </w:rPr>
        <w:t>1.</w:t>
      </w:r>
      <w:bookmarkEnd w:id="378"/>
      <w:r>
        <w:rPr>
          <w:rFonts w:ascii="Times New Roman" w:hAnsi="Times New Roman" w:eastAsia="仿宋"/>
          <w:bCs/>
          <w:sz w:val="32"/>
          <w:szCs w:val="32"/>
        </w:rPr>
        <w:t>残疾人融入社会能力情况</w:t>
      </w:r>
      <w:bookmarkEnd w:id="379"/>
      <w:bookmarkEnd w:id="380"/>
      <w:bookmarkEnd w:id="381"/>
      <w:bookmarkEnd w:id="382"/>
      <w:bookmarkEnd w:id="383"/>
      <w:bookmarkEnd w:id="384"/>
      <w:bookmarkEnd w:id="385"/>
      <w:bookmarkEnd w:id="386"/>
      <w:bookmarkEnd w:id="387"/>
    </w:p>
    <w:p>
      <w:pPr>
        <w:adjustRightInd w:val="0"/>
        <w:snapToGrid w:val="0"/>
        <w:spacing w:line="560" w:lineRule="exact"/>
        <w:ind w:firstLine="643" w:firstLineChars="200"/>
        <w:rPr>
          <w:rFonts w:ascii="Times New Roman" w:hAnsi="Times New Roman" w:eastAsia="仿宋"/>
          <w:bCs/>
          <w:sz w:val="32"/>
          <w:szCs w:val="32"/>
        </w:rPr>
      </w:pPr>
      <w:r>
        <w:rPr>
          <w:rFonts w:ascii="Times New Roman" w:hAnsi="Times New Roman" w:eastAsia="仿宋"/>
          <w:b/>
          <w:sz w:val="32"/>
          <w:szCs w:val="32"/>
        </w:rPr>
        <w:t>残疾人融入社会能力显著。</w:t>
      </w:r>
      <w:r>
        <w:rPr>
          <w:rFonts w:ascii="Times New Roman" w:hAnsi="Times New Roman" w:eastAsia="仿宋"/>
          <w:bCs/>
          <w:sz w:val="32"/>
          <w:szCs w:val="32"/>
        </w:rPr>
        <w:t>枣庄高新区残疾人康复专项经费项目通过开展家庭无障碍设施改造以及“如康家园”残疾人之家等建设，极大</w:t>
      </w:r>
      <w:r>
        <w:rPr>
          <w:rFonts w:hint="eastAsia" w:ascii="Times New Roman" w:hAnsi="Times New Roman" w:eastAsia="仿宋"/>
          <w:bCs/>
          <w:sz w:val="32"/>
          <w:szCs w:val="32"/>
          <w:lang w:val="en-US" w:eastAsia="zh-CN"/>
        </w:rPr>
        <w:t>地</w:t>
      </w:r>
      <w:r>
        <w:rPr>
          <w:rFonts w:ascii="Times New Roman" w:hAnsi="Times New Roman" w:eastAsia="仿宋"/>
          <w:bCs/>
          <w:sz w:val="32"/>
          <w:szCs w:val="32"/>
        </w:rPr>
        <w:t>提高了残疾人融入社会的能力，如康家园的建设是为残疾人力据打造一个如健康人群一样融入社会、共享经济社会发展成果的家园，聚焦16周岁以上的困难且有智力、精神 和重度残疾人群体，通过基层公共服务建设集日间照料、辅助性就业、社区康复、文体活动、交流互助、志愿服务等多功能于一体的综合性服务机构，整合多方资源，为残疾人提供就近就便常态化的基本服务。满分5.00分，得分5.00分，得分率为100.00%。</w:t>
      </w:r>
    </w:p>
    <w:p>
      <w:pPr>
        <w:adjustRightInd w:val="0"/>
        <w:snapToGrid w:val="0"/>
        <w:spacing w:line="560" w:lineRule="exact"/>
        <w:ind w:firstLine="640" w:firstLineChars="200"/>
        <w:outlineLvl w:val="2"/>
        <w:rPr>
          <w:rFonts w:ascii="Times New Roman" w:hAnsi="Times New Roman" w:eastAsia="仿宋"/>
          <w:bCs/>
          <w:sz w:val="32"/>
          <w:szCs w:val="32"/>
        </w:rPr>
      </w:pPr>
      <w:bookmarkStart w:id="388" w:name="_Toc67497104"/>
      <w:bookmarkStart w:id="389" w:name="_Toc14300"/>
      <w:bookmarkStart w:id="390" w:name="_Toc18086"/>
      <w:bookmarkStart w:id="391" w:name="_Toc21809"/>
      <w:bookmarkStart w:id="392" w:name="_Toc71574233"/>
      <w:bookmarkStart w:id="393" w:name="_Toc7831"/>
      <w:bookmarkStart w:id="394" w:name="_Toc25811"/>
      <w:bookmarkStart w:id="395" w:name="_Toc12234"/>
      <w:bookmarkStart w:id="396" w:name="_Toc19602"/>
      <w:bookmarkStart w:id="397" w:name="_Toc71573257"/>
      <w:r>
        <w:rPr>
          <w:rFonts w:ascii="Times New Roman" w:hAnsi="Times New Roman" w:eastAsia="仿宋"/>
          <w:bCs/>
          <w:sz w:val="32"/>
          <w:szCs w:val="32"/>
        </w:rPr>
        <w:t>2.</w:t>
      </w:r>
      <w:bookmarkEnd w:id="388"/>
      <w:r>
        <w:rPr>
          <w:rFonts w:ascii="Times New Roman" w:hAnsi="Times New Roman" w:eastAsia="仿宋"/>
          <w:bCs/>
          <w:sz w:val="32"/>
          <w:szCs w:val="32"/>
        </w:rPr>
        <w:t>推动残疾儿童康复救助情况</w:t>
      </w:r>
      <w:bookmarkEnd w:id="389"/>
      <w:bookmarkEnd w:id="390"/>
      <w:bookmarkEnd w:id="391"/>
      <w:bookmarkEnd w:id="392"/>
      <w:bookmarkEnd w:id="393"/>
      <w:bookmarkEnd w:id="394"/>
      <w:bookmarkEnd w:id="395"/>
      <w:bookmarkEnd w:id="396"/>
      <w:bookmarkEnd w:id="397"/>
    </w:p>
    <w:p>
      <w:pPr>
        <w:adjustRightInd w:val="0"/>
        <w:snapToGrid w:val="0"/>
        <w:spacing w:line="560" w:lineRule="exact"/>
        <w:ind w:firstLine="643" w:firstLineChars="200"/>
        <w:rPr>
          <w:rFonts w:ascii="Times New Roman" w:hAnsi="Times New Roman" w:eastAsia="仿宋"/>
          <w:bCs/>
          <w:sz w:val="32"/>
          <w:szCs w:val="32"/>
        </w:rPr>
      </w:pPr>
      <w:r>
        <w:rPr>
          <w:rFonts w:ascii="Times New Roman" w:hAnsi="Times New Roman" w:eastAsia="仿宋"/>
          <w:b/>
          <w:sz w:val="32"/>
          <w:szCs w:val="32"/>
        </w:rPr>
        <w:t>推动残疾儿童康复救助情况较好。</w:t>
      </w:r>
      <w:r>
        <w:rPr>
          <w:rFonts w:ascii="Times New Roman" w:hAnsi="Times New Roman" w:eastAsia="仿宋"/>
          <w:bCs/>
          <w:sz w:val="32"/>
          <w:szCs w:val="32"/>
        </w:rPr>
        <w:t>截至评价时点，</w:t>
      </w:r>
      <w:r>
        <w:rPr>
          <w:rFonts w:hint="eastAsia" w:ascii="Times New Roman" w:hAnsi="Times New Roman" w:eastAsia="仿宋"/>
          <w:bCs/>
          <w:sz w:val="32"/>
          <w:szCs w:val="32"/>
        </w:rPr>
        <w:t>枣庄高新区</w:t>
      </w:r>
      <w:r>
        <w:rPr>
          <w:rFonts w:ascii="Times New Roman" w:hAnsi="Times New Roman" w:eastAsia="仿宋"/>
          <w:bCs/>
          <w:sz w:val="32"/>
          <w:szCs w:val="32"/>
        </w:rPr>
        <w:t>社会服务事务中心对2021年36名残疾儿童开展了康复救助，康复救助及时，整体康复救治效果较好，通过由残疾儿童监护人像残疾儿童户籍所在地区级残联提出申请，残联严格审查申请人提交的材料，经符合条件的残疾儿童，由其监护人按照就近就便原则自主选择康复机构接受救助。</w:t>
      </w:r>
      <w:r>
        <w:rPr>
          <w:rFonts w:ascii="Times New Roman" w:hAnsi="Times New Roman" w:eastAsia="仿宋"/>
          <w:sz w:val="32"/>
          <w:szCs w:val="32"/>
        </w:rPr>
        <w:t>满分5.00分，得5.00分</w:t>
      </w:r>
      <w:r>
        <w:rPr>
          <w:rFonts w:hint="eastAsia" w:ascii="Times New Roman" w:hAnsi="Times New Roman" w:eastAsia="仿宋"/>
          <w:sz w:val="32"/>
          <w:szCs w:val="32"/>
          <w:lang w:eastAsia="zh-CN"/>
        </w:rPr>
        <w:t>，</w:t>
      </w:r>
      <w:r>
        <w:rPr>
          <w:rFonts w:ascii="Times New Roman" w:hAnsi="Times New Roman" w:eastAsia="仿宋"/>
          <w:sz w:val="32"/>
          <w:szCs w:val="32"/>
        </w:rPr>
        <w:t>得分率为100.00%。</w:t>
      </w:r>
    </w:p>
    <w:p>
      <w:pPr>
        <w:adjustRightInd w:val="0"/>
        <w:snapToGrid w:val="0"/>
        <w:spacing w:line="560" w:lineRule="exact"/>
        <w:ind w:firstLine="640" w:firstLineChars="200"/>
        <w:outlineLvl w:val="2"/>
        <w:rPr>
          <w:rFonts w:ascii="Times New Roman" w:hAnsi="Times New Roman" w:eastAsia="仿宋"/>
          <w:bCs/>
          <w:sz w:val="32"/>
          <w:szCs w:val="32"/>
        </w:rPr>
      </w:pPr>
      <w:bookmarkStart w:id="398" w:name="_Toc67497105"/>
      <w:bookmarkStart w:id="399" w:name="_Toc71573258"/>
      <w:bookmarkStart w:id="400" w:name="_Toc28602"/>
      <w:bookmarkStart w:id="401" w:name="_Toc16098"/>
      <w:bookmarkStart w:id="402" w:name="_Toc20133"/>
      <w:bookmarkStart w:id="403" w:name="_Toc8537"/>
      <w:bookmarkStart w:id="404" w:name="_Toc22166"/>
      <w:bookmarkStart w:id="405" w:name="_Toc17772"/>
      <w:bookmarkStart w:id="406" w:name="_Toc31560"/>
      <w:bookmarkStart w:id="407" w:name="_Toc71574234"/>
      <w:r>
        <w:rPr>
          <w:rFonts w:ascii="Times New Roman" w:hAnsi="Times New Roman" w:eastAsia="仿宋"/>
          <w:bCs/>
          <w:sz w:val="32"/>
          <w:szCs w:val="32"/>
        </w:rPr>
        <w:t>3.</w:t>
      </w:r>
      <w:bookmarkEnd w:id="398"/>
      <w:r>
        <w:rPr>
          <w:rFonts w:ascii="Times New Roman" w:hAnsi="Times New Roman" w:eastAsia="仿宋"/>
          <w:bCs/>
          <w:sz w:val="32"/>
          <w:szCs w:val="32"/>
        </w:rPr>
        <w:t>提高辅助器具、家庭无障碍改造服务管理服务水平情况</w:t>
      </w:r>
      <w:bookmarkEnd w:id="399"/>
      <w:bookmarkEnd w:id="400"/>
      <w:bookmarkEnd w:id="401"/>
      <w:bookmarkEnd w:id="402"/>
      <w:bookmarkEnd w:id="403"/>
      <w:bookmarkEnd w:id="404"/>
      <w:bookmarkEnd w:id="405"/>
      <w:bookmarkEnd w:id="406"/>
      <w:bookmarkEnd w:id="407"/>
    </w:p>
    <w:p>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sz w:val="32"/>
          <w:szCs w:val="32"/>
        </w:rPr>
        <w:t>提高辅助器具、家庭无障碍改造服务管理服务水平情况有待提升。</w:t>
      </w:r>
      <w:r>
        <w:rPr>
          <w:rFonts w:hint="eastAsia" w:ascii="Times New Roman" w:hAnsi="Times New Roman" w:eastAsia="仿宋"/>
          <w:bCs/>
          <w:sz w:val="32"/>
          <w:szCs w:val="32"/>
        </w:rPr>
        <w:t>枣庄高新区</w:t>
      </w:r>
      <w:r>
        <w:rPr>
          <w:rFonts w:ascii="Times New Roman" w:hAnsi="Times New Roman" w:eastAsia="仿宋"/>
          <w:bCs/>
          <w:sz w:val="32"/>
          <w:szCs w:val="32"/>
        </w:rPr>
        <w:t>社会服务中心根据《全面完成2021年全市困难低保重度残疾人家庭无障碍改造任务的通知》文件的要求对符合要求要求的残疾人采购配置了轮椅、太阳能、助行车、电动轮椅车等辅助器具，但未制定相关辅助器具后续服务处理管理办法。</w:t>
      </w:r>
      <w:r>
        <w:rPr>
          <w:rFonts w:ascii="Times New Roman" w:hAnsi="Times New Roman" w:eastAsia="仿宋"/>
          <w:sz w:val="32"/>
          <w:szCs w:val="32"/>
        </w:rPr>
        <w:t>满分5.00分，得</w:t>
      </w:r>
      <w:r>
        <w:rPr>
          <w:rFonts w:hint="eastAsia" w:ascii="Times New Roman" w:hAnsi="Times New Roman" w:eastAsia="仿宋"/>
          <w:sz w:val="32"/>
          <w:szCs w:val="32"/>
          <w:lang w:val="en-US" w:eastAsia="zh-CN"/>
        </w:rPr>
        <w:t>0</w:t>
      </w:r>
      <w:r>
        <w:rPr>
          <w:rFonts w:ascii="Times New Roman" w:hAnsi="Times New Roman" w:eastAsia="仿宋"/>
          <w:sz w:val="32"/>
          <w:szCs w:val="32"/>
        </w:rPr>
        <w:t>.00分</w:t>
      </w:r>
      <w:r>
        <w:rPr>
          <w:rFonts w:hint="eastAsia" w:ascii="Times New Roman" w:hAnsi="Times New Roman" w:eastAsia="仿宋"/>
          <w:sz w:val="32"/>
          <w:szCs w:val="32"/>
          <w:lang w:eastAsia="zh-CN"/>
        </w:rPr>
        <w:t>，</w:t>
      </w:r>
      <w:r>
        <w:rPr>
          <w:rFonts w:ascii="Times New Roman" w:hAnsi="Times New Roman" w:eastAsia="仿宋"/>
          <w:sz w:val="32"/>
          <w:szCs w:val="32"/>
        </w:rPr>
        <w:t>得分率为0.00%。</w:t>
      </w:r>
    </w:p>
    <w:p>
      <w:pPr>
        <w:adjustRightInd w:val="0"/>
        <w:snapToGrid w:val="0"/>
        <w:spacing w:line="560" w:lineRule="exact"/>
        <w:ind w:firstLine="640" w:firstLineChars="200"/>
        <w:outlineLvl w:val="2"/>
        <w:rPr>
          <w:rFonts w:ascii="Times New Roman" w:hAnsi="Times New Roman" w:eastAsia="仿宋"/>
          <w:bCs/>
          <w:sz w:val="32"/>
          <w:szCs w:val="32"/>
        </w:rPr>
      </w:pPr>
      <w:bookmarkStart w:id="408" w:name="_Toc14840"/>
      <w:bookmarkStart w:id="409" w:name="_Toc7189"/>
      <w:bookmarkStart w:id="410" w:name="_Toc29265"/>
      <w:bookmarkStart w:id="411" w:name="_Toc32122"/>
      <w:bookmarkStart w:id="412" w:name="_Toc29621"/>
      <w:bookmarkStart w:id="413" w:name="_Toc12174"/>
      <w:bookmarkStart w:id="414" w:name="_Toc24710"/>
      <w:r>
        <w:rPr>
          <w:rFonts w:ascii="Times New Roman" w:hAnsi="Times New Roman" w:eastAsia="仿宋"/>
          <w:bCs/>
          <w:sz w:val="32"/>
          <w:szCs w:val="32"/>
        </w:rPr>
        <w:t>4.残疾人及其家属对扶残助学、励志助学的满意度</w:t>
      </w:r>
      <w:bookmarkEnd w:id="408"/>
      <w:bookmarkEnd w:id="409"/>
      <w:bookmarkEnd w:id="410"/>
      <w:bookmarkEnd w:id="411"/>
      <w:bookmarkEnd w:id="412"/>
      <w:bookmarkEnd w:id="413"/>
      <w:bookmarkEnd w:id="414"/>
    </w:p>
    <w:p>
      <w:pPr>
        <w:adjustRightInd w:val="0"/>
        <w:snapToGrid w:val="0"/>
        <w:spacing w:line="560" w:lineRule="exact"/>
        <w:ind w:firstLine="643" w:firstLineChars="200"/>
        <w:rPr>
          <w:rFonts w:ascii="Times New Roman" w:hAnsi="Times New Roman" w:eastAsia="仿宋"/>
          <w:bCs/>
          <w:sz w:val="32"/>
          <w:szCs w:val="32"/>
        </w:rPr>
      </w:pPr>
      <w:r>
        <w:rPr>
          <w:rFonts w:ascii="Times New Roman" w:hAnsi="Times New Roman" w:eastAsia="仿宋"/>
          <w:b/>
          <w:sz w:val="32"/>
          <w:szCs w:val="32"/>
        </w:rPr>
        <w:t>残疾人及其家属对扶残助学、励志助学的满意度较高。</w:t>
      </w:r>
      <w:r>
        <w:rPr>
          <w:rFonts w:hint="eastAsia" w:ascii="Times New Roman" w:hAnsi="Times New Roman" w:eastAsia="仿宋"/>
          <w:bCs/>
          <w:sz w:val="32"/>
          <w:szCs w:val="32"/>
        </w:rPr>
        <w:t>枣庄高新区</w:t>
      </w:r>
      <w:r>
        <w:rPr>
          <w:rFonts w:ascii="Times New Roman" w:hAnsi="Times New Roman" w:eastAsia="仿宋"/>
          <w:bCs/>
          <w:sz w:val="32"/>
          <w:szCs w:val="32"/>
        </w:rPr>
        <w:t>残疾人康复专项项目，残疾人及其家属对扶残助学、励志助学的帮扶非常满意，满意度为100.00%。极大的减轻了残疾人家庭的经济负担，保障残疾人顺利入学。满分5.00分，得分5.00分，得分率为100.00%。</w:t>
      </w:r>
    </w:p>
    <w:p>
      <w:pPr>
        <w:adjustRightInd w:val="0"/>
        <w:snapToGrid w:val="0"/>
        <w:spacing w:line="560" w:lineRule="exact"/>
        <w:ind w:firstLine="640" w:firstLineChars="200"/>
        <w:outlineLvl w:val="2"/>
        <w:rPr>
          <w:rFonts w:ascii="Times New Roman" w:hAnsi="Times New Roman" w:eastAsia="仿宋"/>
          <w:sz w:val="32"/>
          <w:szCs w:val="32"/>
        </w:rPr>
      </w:pPr>
      <w:bookmarkStart w:id="415" w:name="_Toc17698"/>
      <w:bookmarkStart w:id="416" w:name="_Toc23293"/>
      <w:bookmarkStart w:id="417" w:name="_Toc10783"/>
      <w:bookmarkStart w:id="418" w:name="_Toc30643"/>
      <w:bookmarkStart w:id="419" w:name="_Toc19940"/>
      <w:bookmarkStart w:id="420" w:name="_Toc3473"/>
      <w:bookmarkStart w:id="421" w:name="_Toc7001"/>
      <w:r>
        <w:rPr>
          <w:rFonts w:ascii="Times New Roman" w:hAnsi="Times New Roman" w:eastAsia="仿宋"/>
          <w:bCs/>
          <w:sz w:val="32"/>
          <w:szCs w:val="32"/>
        </w:rPr>
        <w:t>5.残疾人对参加技能培训满意度</w:t>
      </w:r>
      <w:bookmarkEnd w:id="415"/>
      <w:bookmarkEnd w:id="416"/>
      <w:bookmarkEnd w:id="417"/>
      <w:bookmarkEnd w:id="418"/>
      <w:bookmarkEnd w:id="419"/>
      <w:bookmarkEnd w:id="420"/>
      <w:bookmarkEnd w:id="421"/>
    </w:p>
    <w:p>
      <w:pPr>
        <w:adjustRightInd w:val="0"/>
        <w:snapToGrid w:val="0"/>
        <w:spacing w:line="560" w:lineRule="exact"/>
        <w:ind w:firstLine="643" w:firstLineChars="200"/>
        <w:rPr>
          <w:rFonts w:ascii="Times New Roman" w:hAnsi="Times New Roman" w:eastAsia="仿宋"/>
          <w:sz w:val="32"/>
          <w:szCs w:val="32"/>
        </w:rPr>
      </w:pPr>
      <w:r>
        <w:rPr>
          <w:rFonts w:ascii="Times New Roman" w:hAnsi="Times New Roman" w:eastAsia="仿宋"/>
          <w:b/>
          <w:sz w:val="32"/>
          <w:szCs w:val="32"/>
        </w:rPr>
        <w:t>残疾人对参加技能培训满意度较高。</w:t>
      </w:r>
      <w:r>
        <w:rPr>
          <w:rFonts w:hint="eastAsia" w:ascii="Times New Roman" w:hAnsi="Times New Roman" w:eastAsia="仿宋"/>
          <w:bCs/>
          <w:sz w:val="32"/>
          <w:szCs w:val="32"/>
        </w:rPr>
        <w:t>枣庄高新区</w:t>
      </w:r>
      <w:r>
        <w:rPr>
          <w:rFonts w:ascii="Times New Roman" w:hAnsi="Times New Roman" w:eastAsia="仿宋"/>
          <w:bCs/>
          <w:sz w:val="32"/>
          <w:szCs w:val="32"/>
        </w:rPr>
        <w:t>残疾人康复专项项目，残疾人参加技能培训，落实使用技术效果非常满意，满意度为100.00%。通过学习技能的理论知识以及实操技能极大的提升了残疾人生活质量。满分5.00分，得分5.00分，得分率为100.00%。</w:t>
      </w:r>
    </w:p>
    <w:p>
      <w:pPr>
        <w:pStyle w:val="59"/>
        <w:spacing w:line="560" w:lineRule="exact"/>
        <w:ind w:firstLine="640" w:firstLineChars="200"/>
        <w:outlineLvl w:val="0"/>
        <w:rPr>
          <w:rFonts w:ascii="Times New Roman" w:hAnsi="Times New Roman" w:eastAsia="黑体"/>
          <w:sz w:val="32"/>
          <w:szCs w:val="32"/>
        </w:rPr>
      </w:pPr>
      <w:bookmarkStart w:id="422" w:name="_Toc27085"/>
      <w:bookmarkStart w:id="423" w:name="_Toc28285"/>
      <w:bookmarkStart w:id="424" w:name="_Toc21065"/>
      <w:bookmarkStart w:id="425" w:name="_Toc16329"/>
      <w:bookmarkStart w:id="426" w:name="_Toc14184"/>
      <w:bookmarkStart w:id="427" w:name="_Toc71574241"/>
      <w:bookmarkStart w:id="428" w:name="_Toc71558962"/>
      <w:r>
        <w:rPr>
          <w:rFonts w:hint="eastAsia" w:ascii="Times New Roman" w:hAnsi="Times New Roman" w:eastAsia="黑体"/>
          <w:sz w:val="32"/>
          <w:szCs w:val="32"/>
        </w:rPr>
        <w:t>五</w:t>
      </w:r>
      <w:r>
        <w:rPr>
          <w:rFonts w:ascii="Times New Roman" w:hAnsi="Times New Roman" w:eastAsia="黑体"/>
          <w:sz w:val="32"/>
          <w:szCs w:val="32"/>
        </w:rPr>
        <w:t>、存在问题</w:t>
      </w:r>
      <w:r>
        <w:rPr>
          <w:rFonts w:hint="eastAsia" w:ascii="Times New Roman" w:hAnsi="Times New Roman" w:eastAsia="黑体"/>
          <w:sz w:val="32"/>
          <w:szCs w:val="32"/>
        </w:rPr>
        <w:t>及原因分析</w:t>
      </w:r>
      <w:bookmarkEnd w:id="422"/>
      <w:bookmarkEnd w:id="423"/>
      <w:bookmarkEnd w:id="424"/>
    </w:p>
    <w:p>
      <w:pPr>
        <w:adjustRightInd w:val="0"/>
        <w:snapToGrid w:val="0"/>
        <w:spacing w:line="560" w:lineRule="exact"/>
        <w:ind w:firstLine="640" w:firstLineChars="200"/>
        <w:outlineLvl w:val="1"/>
        <w:rPr>
          <w:rFonts w:ascii="Times New Roman" w:hAnsi="Times New Roman" w:eastAsia="楷体"/>
          <w:bCs/>
          <w:sz w:val="32"/>
          <w:szCs w:val="32"/>
        </w:rPr>
      </w:pPr>
      <w:bookmarkStart w:id="429" w:name="_Toc7809"/>
      <w:bookmarkStart w:id="430" w:name="_Toc21084"/>
      <w:bookmarkStart w:id="431" w:name="_Toc29466"/>
      <w:r>
        <w:rPr>
          <w:rFonts w:ascii="Times New Roman" w:hAnsi="Times New Roman" w:eastAsia="楷体"/>
          <w:bCs/>
          <w:sz w:val="32"/>
          <w:szCs w:val="32"/>
        </w:rPr>
        <w:t>（</w:t>
      </w:r>
      <w:r>
        <w:rPr>
          <w:rFonts w:hint="eastAsia" w:ascii="Times New Roman" w:hAnsi="Times New Roman" w:eastAsia="楷体"/>
          <w:bCs/>
          <w:sz w:val="32"/>
          <w:szCs w:val="32"/>
        </w:rPr>
        <w:t>一</w:t>
      </w:r>
      <w:r>
        <w:rPr>
          <w:rFonts w:ascii="Times New Roman" w:hAnsi="Times New Roman" w:eastAsia="楷体"/>
          <w:bCs/>
          <w:sz w:val="32"/>
          <w:szCs w:val="32"/>
        </w:rPr>
        <w:t>）</w:t>
      </w:r>
      <w:r>
        <w:rPr>
          <w:rFonts w:hint="eastAsia" w:ascii="Times New Roman" w:hAnsi="Times New Roman" w:eastAsia="楷体"/>
          <w:bCs/>
          <w:sz w:val="32"/>
          <w:szCs w:val="32"/>
        </w:rPr>
        <w:t>预算编制、</w:t>
      </w:r>
      <w:r>
        <w:rPr>
          <w:rFonts w:ascii="Times New Roman" w:hAnsi="Times New Roman" w:eastAsia="楷体"/>
          <w:bCs/>
          <w:sz w:val="32"/>
          <w:szCs w:val="32"/>
        </w:rPr>
        <w:t>绩效目标</w:t>
      </w:r>
      <w:r>
        <w:rPr>
          <w:rFonts w:hint="eastAsia" w:ascii="Times New Roman" w:hAnsi="Times New Roman" w:eastAsia="楷体"/>
          <w:bCs/>
          <w:sz w:val="32"/>
          <w:szCs w:val="32"/>
        </w:rPr>
        <w:t>及</w:t>
      </w:r>
      <w:r>
        <w:rPr>
          <w:rFonts w:ascii="Times New Roman" w:hAnsi="Times New Roman" w:eastAsia="楷体"/>
          <w:bCs/>
          <w:sz w:val="32"/>
          <w:szCs w:val="32"/>
        </w:rPr>
        <w:t>绩效指标</w:t>
      </w:r>
      <w:r>
        <w:rPr>
          <w:rFonts w:hint="eastAsia" w:ascii="Times New Roman" w:hAnsi="Times New Roman" w:eastAsia="楷体"/>
          <w:bCs/>
          <w:sz w:val="32"/>
          <w:szCs w:val="32"/>
        </w:rPr>
        <w:t>设置</w:t>
      </w:r>
      <w:r>
        <w:rPr>
          <w:rFonts w:ascii="Times New Roman" w:hAnsi="Times New Roman" w:eastAsia="楷体"/>
          <w:bCs/>
          <w:sz w:val="32"/>
          <w:szCs w:val="32"/>
        </w:rPr>
        <w:t>有待进一步完善</w:t>
      </w:r>
      <w:bookmarkEnd w:id="429"/>
      <w:bookmarkEnd w:id="430"/>
      <w:bookmarkEnd w:id="431"/>
    </w:p>
    <w:p>
      <w:pPr>
        <w:adjustRightInd w:val="0"/>
        <w:snapToGrid w:val="0"/>
        <w:spacing w:line="560" w:lineRule="exact"/>
        <w:ind w:firstLine="643" w:firstLineChars="200"/>
        <w:rPr>
          <w:rFonts w:ascii="Times New Roman" w:hAnsi="Times New Roman" w:eastAsia="仿宋"/>
          <w:b/>
          <w:sz w:val="32"/>
          <w:szCs w:val="32"/>
        </w:rPr>
      </w:pPr>
      <w:r>
        <w:rPr>
          <w:rFonts w:hint="eastAsia" w:ascii="Times New Roman" w:hAnsi="Times New Roman" w:eastAsia="仿宋"/>
          <w:b/>
          <w:sz w:val="32"/>
          <w:szCs w:val="32"/>
        </w:rPr>
        <w:t>一是</w:t>
      </w:r>
      <w:r>
        <w:rPr>
          <w:rFonts w:hint="eastAsia" w:ascii="Times New Roman" w:hAnsi="Times New Roman" w:eastAsia="仿宋"/>
          <w:bCs/>
          <w:sz w:val="32"/>
          <w:szCs w:val="32"/>
        </w:rPr>
        <w:t>项目主管单位未提供</w:t>
      </w:r>
      <w:r>
        <w:rPr>
          <w:rFonts w:hint="eastAsia" w:ascii="Times New Roman" w:hAnsi="Times New Roman" w:eastAsia="仿宋"/>
          <w:bCs/>
          <w:sz w:val="32"/>
          <w:szCs w:val="32"/>
          <w:lang w:val="en-US" w:eastAsia="zh-CN"/>
        </w:rPr>
        <w:t>2021</w:t>
      </w:r>
      <w:r>
        <w:rPr>
          <w:rFonts w:hint="eastAsia" w:ascii="Times New Roman" w:hAnsi="Times New Roman" w:eastAsia="仿宋"/>
          <w:bCs/>
          <w:sz w:val="32"/>
          <w:szCs w:val="32"/>
        </w:rPr>
        <w:t>年度进行预算申报资金的测算依据，项目预算资金为100.00万元，实际支出资金为130.97万元，实际支出金额与预算金额差距较大。</w:t>
      </w:r>
      <w:r>
        <w:rPr>
          <w:rFonts w:hint="eastAsia" w:ascii="Times New Roman" w:hAnsi="Times New Roman" w:eastAsia="仿宋"/>
          <w:b/>
          <w:sz w:val="32"/>
          <w:szCs w:val="32"/>
        </w:rPr>
        <w:t>二是</w:t>
      </w:r>
      <w:r>
        <w:rPr>
          <w:rFonts w:ascii="Times New Roman" w:hAnsi="Times New Roman" w:eastAsia="仿宋"/>
          <w:bCs/>
          <w:sz w:val="32"/>
          <w:szCs w:val="32"/>
        </w:rPr>
        <w:t>绩效目标设置不够明确，对于总体绩效目标中如康家园的建设，未说明如康家园具体建设内容，未对如康家园实施内容对残疾人带来哪些效益，进行说明，总体可衡量性较差。</w:t>
      </w:r>
      <w:r>
        <w:rPr>
          <w:rFonts w:hint="eastAsia" w:ascii="Times New Roman" w:hAnsi="Times New Roman" w:eastAsia="仿宋"/>
          <w:b/>
          <w:sz w:val="32"/>
          <w:szCs w:val="32"/>
        </w:rPr>
        <w:t>三</w:t>
      </w:r>
      <w:r>
        <w:rPr>
          <w:rFonts w:ascii="Times New Roman" w:hAnsi="Times New Roman" w:eastAsia="仿宋"/>
          <w:b/>
          <w:sz w:val="32"/>
          <w:szCs w:val="32"/>
        </w:rPr>
        <w:t>是</w:t>
      </w:r>
      <w:r>
        <w:rPr>
          <w:rFonts w:ascii="Times New Roman" w:hAnsi="Times New Roman" w:eastAsia="仿宋"/>
          <w:bCs/>
          <w:sz w:val="32"/>
          <w:szCs w:val="32"/>
        </w:rPr>
        <w:t>绩效指标合理性、完整性不足。2021年度绩效目标申报表中，绩效指标缺少如康家园建设数量指标、入户鉴定数量指标、专职干事补贴数量指标、重症精神病患者救助数量指标；2021年度绩效目标表中成本指标设置不规范，未根据项目建设内容具体细化成本指标，</w:t>
      </w:r>
      <w:r>
        <w:rPr>
          <w:rFonts w:hint="eastAsia" w:ascii="Times New Roman" w:hAnsi="Times New Roman" w:eastAsia="仿宋"/>
          <w:bCs/>
          <w:sz w:val="32"/>
          <w:szCs w:val="32"/>
          <w:lang w:val="en-US" w:eastAsia="zh-CN"/>
        </w:rPr>
        <w:t>如</w:t>
      </w:r>
      <w:r>
        <w:rPr>
          <w:rFonts w:ascii="Times New Roman" w:hAnsi="Times New Roman" w:eastAsia="仿宋"/>
          <w:bCs/>
          <w:sz w:val="32"/>
          <w:szCs w:val="32"/>
        </w:rPr>
        <w:t>“白内障手术救助标准”“专职干事补贴标准”等</w:t>
      </w:r>
      <w:r>
        <w:rPr>
          <w:rFonts w:ascii="Times New Roman" w:hAnsi="Times New Roman" w:eastAsia="仿宋_GB2312"/>
          <w:bCs/>
          <w:sz w:val="32"/>
          <w:szCs w:val="32"/>
        </w:rPr>
        <w:t>。</w:t>
      </w:r>
    </w:p>
    <w:p>
      <w:pPr>
        <w:adjustRightInd w:val="0"/>
        <w:snapToGrid w:val="0"/>
        <w:spacing w:line="560" w:lineRule="exact"/>
        <w:ind w:firstLine="640" w:firstLineChars="200"/>
        <w:outlineLvl w:val="1"/>
        <w:rPr>
          <w:rFonts w:ascii="Times New Roman" w:hAnsi="Times New Roman" w:eastAsia="楷体"/>
          <w:bCs/>
          <w:sz w:val="32"/>
          <w:szCs w:val="32"/>
        </w:rPr>
      </w:pPr>
      <w:bookmarkStart w:id="432" w:name="_Toc30859"/>
      <w:bookmarkStart w:id="433" w:name="_Toc15187"/>
      <w:bookmarkStart w:id="434" w:name="_Toc25098"/>
      <w:r>
        <w:rPr>
          <w:rFonts w:ascii="Times New Roman" w:hAnsi="Times New Roman" w:eastAsia="楷体"/>
          <w:bCs/>
          <w:sz w:val="32"/>
          <w:szCs w:val="32"/>
        </w:rPr>
        <w:t>（</w:t>
      </w:r>
      <w:r>
        <w:rPr>
          <w:rFonts w:hint="eastAsia" w:ascii="Times New Roman" w:hAnsi="Times New Roman" w:eastAsia="楷体"/>
          <w:bCs/>
          <w:sz w:val="32"/>
          <w:szCs w:val="32"/>
        </w:rPr>
        <w:t>二</w:t>
      </w:r>
      <w:r>
        <w:rPr>
          <w:rFonts w:ascii="Times New Roman" w:hAnsi="Times New Roman" w:eastAsia="楷体"/>
          <w:bCs/>
          <w:sz w:val="32"/>
          <w:szCs w:val="32"/>
        </w:rPr>
        <w:t>）如康家园宣传</w:t>
      </w:r>
      <w:r>
        <w:rPr>
          <w:rFonts w:hint="eastAsia" w:ascii="Times New Roman" w:hAnsi="Times New Roman" w:eastAsia="楷体"/>
          <w:bCs/>
          <w:sz w:val="32"/>
          <w:szCs w:val="32"/>
        </w:rPr>
        <w:t>机制、后期管理制度不够健全</w:t>
      </w:r>
      <w:bookmarkEnd w:id="432"/>
      <w:bookmarkEnd w:id="433"/>
      <w:bookmarkEnd w:id="434"/>
    </w:p>
    <w:p>
      <w:pPr>
        <w:adjustRightInd w:val="0"/>
        <w:snapToGrid w:val="0"/>
        <w:spacing w:line="560" w:lineRule="exact"/>
        <w:ind w:firstLine="643" w:firstLineChars="200"/>
        <w:rPr>
          <w:rStyle w:val="45"/>
          <w:rFonts w:ascii="Times New Roman" w:hAnsi="Times New Roman"/>
          <w:sz w:val="32"/>
          <w:szCs w:val="32"/>
        </w:rPr>
      </w:pPr>
      <w:r>
        <w:rPr>
          <w:rFonts w:hint="eastAsia" w:ascii="Times New Roman" w:hAnsi="Times New Roman" w:eastAsia="仿宋"/>
          <w:b/>
          <w:sz w:val="32"/>
          <w:szCs w:val="32"/>
        </w:rPr>
        <w:t>一是</w:t>
      </w:r>
      <w:r>
        <w:rPr>
          <w:rFonts w:ascii="Times New Roman" w:hAnsi="Times New Roman" w:eastAsia="仿宋"/>
          <w:bCs/>
          <w:sz w:val="32"/>
          <w:szCs w:val="32"/>
        </w:rPr>
        <w:t>如康家园主要</w:t>
      </w:r>
      <w:r>
        <w:rPr>
          <w:rFonts w:hint="eastAsia" w:ascii="Times New Roman" w:hAnsi="Times New Roman" w:eastAsia="仿宋"/>
          <w:bCs/>
          <w:sz w:val="32"/>
          <w:szCs w:val="32"/>
        </w:rPr>
        <w:t>服务内容是提供</w:t>
      </w:r>
      <w:r>
        <w:rPr>
          <w:rFonts w:ascii="Times New Roman" w:hAnsi="Times New Roman" w:eastAsia="仿宋"/>
          <w:bCs/>
          <w:sz w:val="32"/>
          <w:szCs w:val="32"/>
        </w:rPr>
        <w:t>辅助性就业、日间照料、社区康复、</w:t>
      </w:r>
      <w:r>
        <w:rPr>
          <w:rFonts w:hint="eastAsia" w:ascii="Times New Roman" w:hAnsi="Times New Roman" w:eastAsia="仿宋"/>
          <w:bCs/>
          <w:sz w:val="32"/>
          <w:szCs w:val="32"/>
        </w:rPr>
        <w:t>及</w:t>
      </w:r>
      <w:r>
        <w:rPr>
          <w:rFonts w:ascii="Times New Roman" w:hAnsi="Times New Roman" w:eastAsia="仿宋"/>
          <w:bCs/>
          <w:sz w:val="32"/>
          <w:szCs w:val="32"/>
        </w:rPr>
        <w:t>技能培训、文体活动、支援助残、交流互助等</w:t>
      </w:r>
      <w:r>
        <w:rPr>
          <w:rFonts w:hint="eastAsia" w:ascii="Times New Roman" w:hAnsi="Times New Roman" w:eastAsia="仿宋"/>
          <w:bCs/>
          <w:sz w:val="32"/>
          <w:szCs w:val="32"/>
        </w:rPr>
        <w:t>，项目</w:t>
      </w:r>
      <w:r>
        <w:rPr>
          <w:rFonts w:ascii="Times New Roman" w:hAnsi="Times New Roman" w:eastAsia="仿宋"/>
          <w:bCs/>
          <w:sz w:val="32"/>
          <w:szCs w:val="32"/>
        </w:rPr>
        <w:t>主管单位未根据</w:t>
      </w:r>
      <w:r>
        <w:rPr>
          <w:rFonts w:hint="eastAsia" w:ascii="Times New Roman" w:hAnsi="Times New Roman" w:eastAsia="仿宋"/>
          <w:bCs/>
          <w:sz w:val="32"/>
          <w:szCs w:val="32"/>
        </w:rPr>
        <w:t>服务目标制定</w:t>
      </w:r>
      <w:r>
        <w:rPr>
          <w:rFonts w:ascii="Times New Roman" w:hAnsi="Times New Roman" w:eastAsia="仿宋"/>
          <w:bCs/>
          <w:sz w:val="32"/>
          <w:szCs w:val="32"/>
        </w:rPr>
        <w:t>可行的宣传方案，项目</w:t>
      </w:r>
      <w:r>
        <w:rPr>
          <w:rFonts w:hint="eastAsia" w:ascii="Times New Roman" w:hAnsi="Times New Roman" w:eastAsia="仿宋"/>
          <w:bCs/>
          <w:sz w:val="32"/>
          <w:szCs w:val="32"/>
          <w:lang w:val="en-US" w:eastAsia="zh-CN"/>
        </w:rPr>
        <w:t>缺乏宣传机制</w:t>
      </w:r>
      <w:r>
        <w:rPr>
          <w:rFonts w:ascii="Times New Roman" w:hAnsi="Times New Roman" w:eastAsia="仿宋"/>
          <w:bCs/>
          <w:sz w:val="32"/>
          <w:szCs w:val="32"/>
        </w:rPr>
        <w:t>，</w:t>
      </w:r>
      <w:r>
        <w:rPr>
          <w:rFonts w:hint="eastAsia" w:ascii="Times New Roman" w:hAnsi="Times New Roman" w:eastAsia="仿宋"/>
          <w:bCs/>
          <w:sz w:val="32"/>
          <w:szCs w:val="32"/>
        </w:rPr>
        <w:t>受</w:t>
      </w:r>
      <w:r>
        <w:rPr>
          <w:rFonts w:ascii="Times New Roman" w:hAnsi="Times New Roman" w:eastAsia="仿宋"/>
          <w:bCs/>
          <w:sz w:val="32"/>
          <w:szCs w:val="32"/>
        </w:rPr>
        <w:t>益群众知晓面不</w:t>
      </w:r>
      <w:r>
        <w:rPr>
          <w:rFonts w:hint="eastAsia" w:ascii="Times New Roman" w:hAnsi="Times New Roman" w:eastAsia="仿宋"/>
          <w:bCs/>
          <w:sz w:val="32"/>
          <w:szCs w:val="32"/>
        </w:rPr>
        <w:t>够</w:t>
      </w:r>
      <w:r>
        <w:rPr>
          <w:rFonts w:ascii="Times New Roman" w:hAnsi="Times New Roman" w:eastAsia="仿宋"/>
          <w:bCs/>
          <w:sz w:val="32"/>
          <w:szCs w:val="32"/>
        </w:rPr>
        <w:t>广泛。</w:t>
      </w:r>
      <w:r>
        <w:rPr>
          <w:rFonts w:hint="eastAsia" w:ascii="Times New Roman" w:hAnsi="Times New Roman" w:eastAsia="仿宋"/>
          <w:b/>
          <w:sz w:val="32"/>
          <w:szCs w:val="32"/>
        </w:rPr>
        <w:t>二是</w:t>
      </w:r>
      <w:r>
        <w:rPr>
          <w:rFonts w:hint="eastAsia" w:ascii="Times New Roman" w:hAnsi="Times New Roman" w:eastAsia="仿宋"/>
          <w:bCs/>
          <w:sz w:val="32"/>
          <w:szCs w:val="32"/>
        </w:rPr>
        <w:t>项目单位未制定项目后期的管理制度，如辅助器具的维修与更换、如康家园人员管理等</w:t>
      </w:r>
      <w:r>
        <w:rPr>
          <w:rFonts w:hint="eastAsia" w:ascii="Times New Roman" w:hAnsi="Times New Roman" w:eastAsia="仿宋"/>
          <w:bCs/>
          <w:sz w:val="32"/>
          <w:szCs w:val="32"/>
          <w:lang w:val="en-US" w:eastAsia="zh-CN"/>
        </w:rPr>
        <w:t>相关</w:t>
      </w:r>
      <w:r>
        <w:rPr>
          <w:rFonts w:hint="eastAsia" w:ascii="Times New Roman" w:hAnsi="Times New Roman" w:eastAsia="仿宋"/>
          <w:bCs/>
          <w:sz w:val="32"/>
          <w:szCs w:val="32"/>
        </w:rPr>
        <w:t>管理制度。</w:t>
      </w:r>
    </w:p>
    <w:p>
      <w:pPr>
        <w:spacing w:line="560" w:lineRule="exact"/>
        <w:ind w:left="840"/>
        <w:jc w:val="left"/>
        <w:outlineLvl w:val="0"/>
        <w:rPr>
          <w:rFonts w:ascii="Times New Roman" w:hAnsi="Times New Roman" w:eastAsia="黑体"/>
          <w:sz w:val="32"/>
          <w:szCs w:val="32"/>
        </w:rPr>
      </w:pPr>
      <w:bookmarkStart w:id="435" w:name="_Toc25220"/>
      <w:bookmarkStart w:id="436" w:name="_Toc20764"/>
      <w:bookmarkStart w:id="437" w:name="_Toc12722"/>
      <w:r>
        <w:rPr>
          <w:rFonts w:ascii="Times New Roman" w:hAnsi="Times New Roman" w:eastAsia="黑体"/>
          <w:sz w:val="32"/>
          <w:szCs w:val="32"/>
        </w:rPr>
        <w:t>六、意见建议</w:t>
      </w:r>
      <w:bookmarkEnd w:id="435"/>
      <w:bookmarkEnd w:id="436"/>
      <w:bookmarkEnd w:id="437"/>
    </w:p>
    <w:p>
      <w:pPr>
        <w:adjustRightInd w:val="0"/>
        <w:snapToGrid w:val="0"/>
        <w:spacing w:line="560" w:lineRule="exact"/>
        <w:ind w:firstLine="640" w:firstLineChars="200"/>
        <w:outlineLvl w:val="1"/>
        <w:rPr>
          <w:rFonts w:ascii="Times New Roman" w:hAnsi="Times New Roman" w:eastAsia="楷体"/>
          <w:bCs/>
          <w:sz w:val="32"/>
          <w:szCs w:val="32"/>
        </w:rPr>
      </w:pPr>
      <w:bookmarkStart w:id="438" w:name="_Toc26107"/>
      <w:bookmarkStart w:id="439" w:name="_Toc11714"/>
      <w:bookmarkStart w:id="440" w:name="_Toc29926"/>
      <w:r>
        <w:rPr>
          <w:rFonts w:ascii="Times New Roman" w:hAnsi="Times New Roman" w:eastAsia="楷体"/>
          <w:bCs/>
          <w:sz w:val="32"/>
          <w:szCs w:val="32"/>
        </w:rPr>
        <w:t>（</w:t>
      </w:r>
      <w:r>
        <w:rPr>
          <w:rFonts w:hint="eastAsia" w:ascii="Times New Roman" w:hAnsi="Times New Roman" w:eastAsia="楷体"/>
          <w:bCs/>
          <w:sz w:val="32"/>
          <w:szCs w:val="32"/>
        </w:rPr>
        <w:t>一</w:t>
      </w:r>
      <w:r>
        <w:rPr>
          <w:rFonts w:ascii="Times New Roman" w:hAnsi="Times New Roman" w:eastAsia="楷体"/>
          <w:bCs/>
          <w:sz w:val="32"/>
          <w:szCs w:val="32"/>
        </w:rPr>
        <w:t>）</w:t>
      </w:r>
      <w:r>
        <w:rPr>
          <w:rFonts w:hint="eastAsia" w:ascii="Times New Roman" w:hAnsi="Times New Roman" w:eastAsia="楷体"/>
          <w:bCs/>
          <w:sz w:val="32"/>
          <w:szCs w:val="32"/>
        </w:rPr>
        <w:t>夯实财政收支预算编制基础，</w:t>
      </w:r>
      <w:r>
        <w:rPr>
          <w:rFonts w:ascii="Times New Roman" w:hAnsi="Times New Roman" w:eastAsia="楷体"/>
          <w:bCs/>
          <w:sz w:val="32"/>
          <w:szCs w:val="32"/>
        </w:rPr>
        <w:t>完善项目</w:t>
      </w:r>
      <w:r>
        <w:rPr>
          <w:rFonts w:hint="eastAsia" w:ascii="Times New Roman" w:hAnsi="Times New Roman" w:eastAsia="楷体"/>
          <w:bCs/>
          <w:sz w:val="32"/>
          <w:szCs w:val="32"/>
          <w:lang w:val="en-US" w:eastAsia="zh-CN"/>
        </w:rPr>
        <w:t>总体</w:t>
      </w:r>
      <w:r>
        <w:rPr>
          <w:rFonts w:ascii="Times New Roman" w:hAnsi="Times New Roman" w:eastAsia="楷体"/>
          <w:bCs/>
          <w:sz w:val="32"/>
          <w:szCs w:val="32"/>
        </w:rPr>
        <w:t>绩效目标，明确项目绩效指标</w:t>
      </w:r>
      <w:bookmarkEnd w:id="438"/>
      <w:bookmarkEnd w:id="439"/>
      <w:bookmarkEnd w:id="440"/>
    </w:p>
    <w:p>
      <w:pPr>
        <w:spacing w:line="580" w:lineRule="exact"/>
        <w:ind w:firstLine="643" w:firstLineChars="200"/>
        <w:rPr>
          <w:rFonts w:ascii="Times New Roman" w:hAnsi="Times New Roman" w:eastAsia="仿宋"/>
          <w:sz w:val="32"/>
          <w:szCs w:val="32"/>
        </w:rPr>
      </w:pPr>
      <w:r>
        <w:rPr>
          <w:rFonts w:hint="eastAsia" w:ascii="Times New Roman" w:hAnsi="Times New Roman" w:eastAsia="仿宋"/>
          <w:b/>
          <w:bCs/>
          <w:sz w:val="32"/>
          <w:szCs w:val="32"/>
        </w:rPr>
        <w:t>一是</w:t>
      </w:r>
      <w:r>
        <w:rPr>
          <w:rFonts w:hint="eastAsia" w:ascii="Times New Roman" w:hAnsi="Times New Roman" w:eastAsia="仿宋"/>
          <w:sz w:val="32"/>
          <w:szCs w:val="32"/>
        </w:rPr>
        <w:t>强化项目总预算编制前期工作，明确残疾人康复专项经费项目建设内容，就整体建设内容的业务板块进行科学合理的编制，包含建设的数量、面积以及金额等。明确年度工作重点及项目内容，细化预算成本构成，明确预算测算依据，全面评估年度预算项目的产出和效益，加强年度预算编制准确性。</w:t>
      </w:r>
      <w:r>
        <w:rPr>
          <w:rFonts w:hint="eastAsia" w:ascii="Times New Roman" w:hAnsi="Times New Roman" w:eastAsia="仿宋"/>
          <w:b/>
          <w:bCs/>
          <w:sz w:val="32"/>
          <w:szCs w:val="32"/>
        </w:rPr>
        <w:t>二是</w:t>
      </w:r>
      <w:r>
        <w:rPr>
          <w:rFonts w:ascii="Times New Roman" w:hAnsi="Times New Roman" w:eastAsia="仿宋"/>
          <w:bCs/>
          <w:sz w:val="32"/>
          <w:szCs w:val="32"/>
        </w:rPr>
        <w:t>制定明确的总体绩效目标，建议项目的各层级主体强化绩效目标管理理念，根据总体重点工作计划、主要工作内容、总体绩效目标制定年度子项目的绩效目标，为各子项目绩效目标的设定提供指导与依据。</w:t>
      </w:r>
      <w:r>
        <w:rPr>
          <w:rFonts w:hint="eastAsia" w:ascii="Times New Roman" w:hAnsi="Times New Roman" w:eastAsia="仿宋"/>
          <w:b/>
          <w:sz w:val="32"/>
          <w:szCs w:val="32"/>
        </w:rPr>
        <w:t>三</w:t>
      </w:r>
      <w:r>
        <w:rPr>
          <w:rFonts w:ascii="Times New Roman" w:hAnsi="Times New Roman" w:eastAsia="仿宋"/>
          <w:b/>
          <w:sz w:val="32"/>
          <w:szCs w:val="32"/>
        </w:rPr>
        <w:t>是</w:t>
      </w:r>
      <w:r>
        <w:rPr>
          <w:rFonts w:ascii="Times New Roman" w:hAnsi="Times New Roman" w:eastAsia="仿宋"/>
          <w:bCs/>
          <w:sz w:val="32"/>
          <w:szCs w:val="32"/>
        </w:rPr>
        <w:t>明确项目绩效指标，项目绩效指标的设定要</w:t>
      </w:r>
      <w:r>
        <w:rPr>
          <w:rFonts w:hint="eastAsia" w:ascii="Times New Roman" w:hAnsi="Times New Roman" w:eastAsia="仿宋"/>
          <w:bCs/>
          <w:sz w:val="32"/>
          <w:szCs w:val="32"/>
          <w:lang w:val="en-US" w:eastAsia="zh-CN"/>
        </w:rPr>
        <w:t>与</w:t>
      </w:r>
      <w:r>
        <w:rPr>
          <w:rFonts w:ascii="Times New Roman" w:hAnsi="Times New Roman" w:eastAsia="仿宋"/>
          <w:bCs/>
          <w:sz w:val="32"/>
          <w:szCs w:val="32"/>
        </w:rPr>
        <w:t>项目总体绩效目标的设定相关联，且能够细化分解为具体的绩效指标，指标值</w:t>
      </w:r>
      <w:r>
        <w:rPr>
          <w:rFonts w:hint="eastAsia" w:ascii="Times New Roman" w:hAnsi="Times New Roman" w:eastAsia="仿宋"/>
          <w:bCs/>
          <w:sz w:val="32"/>
          <w:szCs w:val="32"/>
          <w:lang w:val="en-US" w:eastAsia="zh-CN"/>
        </w:rPr>
        <w:t>要</w:t>
      </w:r>
      <w:r>
        <w:rPr>
          <w:rFonts w:ascii="Times New Roman" w:hAnsi="Times New Roman" w:eastAsia="仿宋"/>
          <w:bCs/>
          <w:sz w:val="32"/>
          <w:szCs w:val="32"/>
        </w:rPr>
        <w:t>清晰、可衡量，</w:t>
      </w:r>
      <w:r>
        <w:rPr>
          <w:rFonts w:hint="eastAsia" w:ascii="Times New Roman" w:hAnsi="Times New Roman" w:eastAsia="仿宋"/>
          <w:bCs/>
          <w:sz w:val="32"/>
          <w:szCs w:val="32"/>
          <w:lang w:val="en-US" w:eastAsia="zh-CN"/>
        </w:rPr>
        <w:t>同时要</w:t>
      </w:r>
      <w:r>
        <w:rPr>
          <w:rFonts w:ascii="Times New Roman" w:hAnsi="Times New Roman" w:eastAsia="仿宋"/>
          <w:bCs/>
          <w:sz w:val="32"/>
          <w:szCs w:val="32"/>
        </w:rPr>
        <w:t>与项目目标任务数或计划数相对应</w:t>
      </w:r>
      <w:r>
        <w:rPr>
          <w:rFonts w:hint="eastAsia" w:ascii="Times New Roman" w:hAnsi="Times New Roman" w:eastAsia="仿宋"/>
          <w:bCs/>
          <w:sz w:val="32"/>
          <w:szCs w:val="32"/>
          <w:lang w:eastAsia="zh-CN"/>
        </w:rPr>
        <w:t>，</w:t>
      </w:r>
      <w:r>
        <w:rPr>
          <w:rFonts w:ascii="Times New Roman" w:hAnsi="Times New Roman" w:eastAsia="仿宋"/>
          <w:bCs/>
          <w:sz w:val="32"/>
          <w:szCs w:val="32"/>
        </w:rPr>
        <w:t>指标值通常用相对数与绝对数表示，绩效标准可依据或者参考历史标准、行业标准、计划标准以及主管部门认可的其他标准进行。</w:t>
      </w:r>
    </w:p>
    <w:p>
      <w:pPr>
        <w:numPr>
          <w:ilvl w:val="255"/>
          <w:numId w:val="0"/>
        </w:numPr>
        <w:adjustRightInd w:val="0"/>
        <w:snapToGrid w:val="0"/>
        <w:spacing w:line="560" w:lineRule="exact"/>
        <w:ind w:firstLine="640" w:firstLineChars="200"/>
        <w:outlineLvl w:val="1"/>
        <w:rPr>
          <w:rFonts w:ascii="Times New Roman" w:hAnsi="Times New Roman" w:eastAsia="楷体"/>
          <w:bCs/>
          <w:sz w:val="32"/>
          <w:szCs w:val="32"/>
        </w:rPr>
      </w:pPr>
      <w:bookmarkStart w:id="441" w:name="_Toc3031"/>
      <w:bookmarkStart w:id="442" w:name="_Toc20291"/>
      <w:bookmarkStart w:id="443" w:name="_Toc2805"/>
      <w:r>
        <w:rPr>
          <w:rFonts w:ascii="Times New Roman" w:hAnsi="Times New Roman" w:eastAsia="楷体"/>
          <w:bCs/>
          <w:sz w:val="32"/>
          <w:szCs w:val="32"/>
        </w:rPr>
        <w:t>（</w:t>
      </w:r>
      <w:r>
        <w:rPr>
          <w:rFonts w:hint="eastAsia" w:ascii="Times New Roman" w:hAnsi="Times New Roman" w:eastAsia="楷体"/>
          <w:bCs/>
          <w:sz w:val="32"/>
          <w:szCs w:val="32"/>
        </w:rPr>
        <w:t>二</w:t>
      </w:r>
      <w:r>
        <w:rPr>
          <w:rFonts w:ascii="Times New Roman" w:hAnsi="Times New Roman" w:eastAsia="楷体"/>
          <w:bCs/>
          <w:sz w:val="32"/>
          <w:szCs w:val="32"/>
        </w:rPr>
        <w:t>）加强项目宣传力度，</w:t>
      </w:r>
      <w:r>
        <w:rPr>
          <w:rFonts w:hint="eastAsia" w:ascii="Times New Roman" w:hAnsi="Times New Roman" w:eastAsia="楷体"/>
          <w:bCs/>
          <w:sz w:val="32"/>
          <w:szCs w:val="32"/>
        </w:rPr>
        <w:t>构建长效管理机制</w:t>
      </w:r>
      <w:bookmarkEnd w:id="441"/>
      <w:bookmarkEnd w:id="442"/>
      <w:bookmarkEnd w:id="443"/>
    </w:p>
    <w:p>
      <w:pPr>
        <w:adjustRightInd w:val="0"/>
        <w:snapToGrid w:val="0"/>
        <w:spacing w:line="560" w:lineRule="exact"/>
        <w:ind w:firstLine="643" w:firstLineChars="200"/>
        <w:rPr>
          <w:rFonts w:ascii="Times New Roman" w:hAnsi="Times New Roman" w:eastAsia="黑体"/>
          <w:sz w:val="32"/>
          <w:szCs w:val="32"/>
        </w:rPr>
      </w:pPr>
      <w:r>
        <w:rPr>
          <w:rFonts w:ascii="Times New Roman" w:hAnsi="Times New Roman" w:eastAsia="仿宋"/>
          <w:b/>
          <w:sz w:val="32"/>
          <w:szCs w:val="32"/>
        </w:rPr>
        <w:t>一是</w:t>
      </w:r>
      <w:r>
        <w:rPr>
          <w:rFonts w:ascii="Times New Roman" w:hAnsi="Times New Roman" w:eastAsia="仿宋"/>
          <w:bCs/>
          <w:sz w:val="32"/>
          <w:szCs w:val="32"/>
        </w:rPr>
        <w:t>加强营造宣传氛围，围绕“残疾人希望了解的”和“需要残疾人了解的”这两个重点，及时宣传报道如康家园建设工作的重点建设内容</w:t>
      </w:r>
      <w:r>
        <w:rPr>
          <w:rFonts w:hint="eastAsia" w:ascii="Times New Roman" w:hAnsi="Times New Roman" w:eastAsia="仿宋"/>
          <w:bCs/>
          <w:sz w:val="32"/>
          <w:szCs w:val="32"/>
          <w:lang w:eastAsia="zh-CN"/>
        </w:rPr>
        <w:t>。</w:t>
      </w:r>
      <w:r>
        <w:rPr>
          <w:rFonts w:ascii="Times New Roman" w:hAnsi="Times New Roman" w:eastAsia="仿宋"/>
          <w:bCs/>
          <w:sz w:val="32"/>
          <w:szCs w:val="32"/>
        </w:rPr>
        <w:t>充分利用传统媒体和新媒体</w:t>
      </w:r>
      <w:r>
        <w:rPr>
          <w:rFonts w:hint="eastAsia" w:ascii="Times New Roman" w:hAnsi="Times New Roman" w:eastAsia="仿宋"/>
          <w:bCs/>
          <w:sz w:val="32"/>
          <w:szCs w:val="32"/>
          <w:lang w:eastAsia="zh-CN"/>
        </w:rPr>
        <w:t>，</w:t>
      </w:r>
      <w:r>
        <w:rPr>
          <w:rFonts w:ascii="Times New Roman" w:hAnsi="Times New Roman" w:eastAsia="仿宋"/>
          <w:bCs/>
          <w:sz w:val="32"/>
          <w:szCs w:val="32"/>
        </w:rPr>
        <w:t>总结挖掘先进经验做法，加强宣传其“服务一人、解放一家、稳定一方”的重要作用，在全社会营造支持“如康家园建设”的浓厚氛围，为更多的残疾人提供服务</w:t>
      </w:r>
      <w:r>
        <w:rPr>
          <w:rFonts w:hint="eastAsia" w:ascii="Times New Roman" w:hAnsi="Times New Roman" w:eastAsia="仿宋"/>
          <w:bCs/>
          <w:sz w:val="32"/>
          <w:szCs w:val="32"/>
          <w:lang w:eastAsia="zh-CN"/>
        </w:rPr>
        <w:t>；</w:t>
      </w:r>
      <w:r>
        <w:rPr>
          <w:rFonts w:hint="eastAsia" w:ascii="Times New Roman" w:hAnsi="Times New Roman" w:eastAsia="仿宋"/>
          <w:b/>
          <w:bCs w:val="0"/>
          <w:sz w:val="32"/>
          <w:szCs w:val="32"/>
          <w:lang w:val="en-US" w:eastAsia="zh-CN"/>
        </w:rPr>
        <w:t>二是</w:t>
      </w:r>
      <w:r>
        <w:rPr>
          <w:rFonts w:hint="eastAsia" w:ascii="Times New Roman" w:hAnsi="Times New Roman" w:eastAsia="仿宋"/>
          <w:bCs/>
          <w:sz w:val="32"/>
          <w:szCs w:val="32"/>
        </w:rPr>
        <w:t>项目完成后，</w:t>
      </w:r>
      <w:r>
        <w:rPr>
          <w:rFonts w:ascii="Times New Roman" w:hAnsi="Times New Roman" w:eastAsia="仿宋"/>
          <w:bCs/>
          <w:sz w:val="32"/>
          <w:szCs w:val="32"/>
        </w:rPr>
        <w:t>建立</w:t>
      </w:r>
      <w:r>
        <w:rPr>
          <w:rFonts w:hint="eastAsia" w:ascii="Times New Roman" w:hAnsi="Times New Roman" w:eastAsia="仿宋"/>
          <w:bCs/>
          <w:sz w:val="32"/>
          <w:szCs w:val="32"/>
          <w:lang w:val="en-US" w:eastAsia="zh-CN"/>
        </w:rPr>
        <w:t>残疾人辅助器具长效</w:t>
      </w:r>
      <w:r>
        <w:rPr>
          <w:rFonts w:ascii="Times New Roman" w:hAnsi="Times New Roman" w:eastAsia="仿宋"/>
          <w:bCs/>
          <w:sz w:val="32"/>
          <w:szCs w:val="32"/>
        </w:rPr>
        <w:t>管理与服务机制</w:t>
      </w:r>
      <w:r>
        <w:rPr>
          <w:rFonts w:hint="eastAsia" w:ascii="Times New Roman" w:hAnsi="Times New Roman" w:eastAsia="仿宋"/>
          <w:bCs/>
          <w:sz w:val="32"/>
          <w:szCs w:val="32"/>
        </w:rPr>
        <w:t>，为项目后续运行提供有效保障</w:t>
      </w:r>
      <w:r>
        <w:rPr>
          <w:rFonts w:hint="eastAsia" w:ascii="Times New Roman" w:hAnsi="Times New Roman" w:eastAsia="仿宋"/>
          <w:bCs/>
          <w:sz w:val="32"/>
          <w:szCs w:val="32"/>
          <w:lang w:eastAsia="zh-CN"/>
        </w:rPr>
        <w:t>，</w:t>
      </w:r>
      <w:r>
        <w:rPr>
          <w:rFonts w:hint="eastAsia" w:ascii="Times New Roman" w:hAnsi="Times New Roman" w:eastAsia="仿宋"/>
          <w:bCs/>
          <w:sz w:val="32"/>
          <w:szCs w:val="32"/>
          <w:lang w:val="en-US" w:eastAsia="zh-CN"/>
        </w:rPr>
        <w:t>更加有效地保障残疾人的效益</w:t>
      </w:r>
      <w:r>
        <w:rPr>
          <w:rFonts w:hint="eastAsia" w:ascii="Times New Roman" w:hAnsi="Times New Roman" w:eastAsia="仿宋"/>
          <w:bCs/>
          <w:sz w:val="32"/>
          <w:szCs w:val="32"/>
        </w:rPr>
        <w:t>。</w:t>
      </w:r>
      <w:bookmarkEnd w:id="425"/>
    </w:p>
    <w:p>
      <w:pPr>
        <w:adjustRightInd w:val="0"/>
        <w:snapToGrid w:val="0"/>
        <w:spacing w:line="560" w:lineRule="exact"/>
        <w:outlineLvl w:val="0"/>
        <w:rPr>
          <w:rFonts w:ascii="Times New Roman" w:hAnsi="Times New Roman" w:eastAsia="黑体"/>
          <w:sz w:val="32"/>
          <w:szCs w:val="32"/>
        </w:rPr>
      </w:pPr>
    </w:p>
    <w:bookmarkEnd w:id="426"/>
    <w:p>
      <w:pPr>
        <w:adjustRightInd w:val="0"/>
        <w:snapToGrid w:val="0"/>
        <w:spacing w:line="560" w:lineRule="exact"/>
        <w:ind w:left="960" w:hanging="960" w:hangingChars="300"/>
        <w:rPr>
          <w:rFonts w:hint="eastAsia" w:ascii="Times New Roman" w:hAnsi="Times New Roman" w:eastAsia="仿宋"/>
          <w:sz w:val="32"/>
          <w:szCs w:val="32"/>
        </w:rPr>
      </w:pPr>
      <w:r>
        <w:rPr>
          <w:rFonts w:hint="eastAsia" w:ascii="Times New Roman" w:hAnsi="Times New Roman" w:eastAsia="仿宋"/>
          <w:sz w:val="32"/>
          <w:szCs w:val="32"/>
        </w:rPr>
        <w:t>附件：</w:t>
      </w:r>
    </w:p>
    <w:p>
      <w:pPr>
        <w:adjustRightInd w:val="0"/>
        <w:snapToGrid w:val="0"/>
        <w:spacing w:line="560" w:lineRule="exact"/>
        <w:ind w:left="638" w:leftChars="304" w:firstLine="0" w:firstLineChars="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2021年度枣庄高新区残疾人康复专项经费项目</w:t>
      </w:r>
      <w:r>
        <w:rPr>
          <w:rFonts w:ascii="Times New Roman" w:hAnsi="Times New Roman" w:eastAsia="仿宋" w:cs="Times New Roman"/>
          <w:sz w:val="32"/>
          <w:szCs w:val="32"/>
        </w:rPr>
        <w:t>绩效评价</w:t>
      </w:r>
      <w:r>
        <w:rPr>
          <w:rFonts w:hint="default" w:ascii="Times New Roman" w:hAnsi="Times New Roman" w:eastAsia="仿宋" w:cs="Times New Roman"/>
          <w:sz w:val="32"/>
          <w:szCs w:val="32"/>
          <w:lang w:val="en-US" w:eastAsia="zh-CN"/>
        </w:rPr>
        <w:t>指标体系</w:t>
      </w:r>
    </w:p>
    <w:p>
      <w:pPr>
        <w:adjustRightInd w:val="0"/>
        <w:snapToGrid w:val="0"/>
        <w:spacing w:line="560" w:lineRule="exact"/>
        <w:ind w:left="638" w:leftChars="304" w:firstLine="0" w:firstLineChars="0"/>
        <w:rPr>
          <w:rFonts w:ascii="Times New Roman" w:hAnsi="Times New Roman" w:eastAsia="仿宋"/>
          <w:sz w:val="32"/>
          <w:szCs w:val="32"/>
        </w:rPr>
      </w:pPr>
      <w:r>
        <w:rPr>
          <w:rFonts w:ascii="Times New Roman" w:hAnsi="Times New Roman" w:eastAsia="仿宋"/>
          <w:sz w:val="32"/>
          <w:szCs w:val="32"/>
        </w:rPr>
        <w:t>2</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2021年度枣庄高新区残疾人康复专项经费项目</w:t>
      </w:r>
      <w:r>
        <w:rPr>
          <w:rFonts w:ascii="Times New Roman" w:hAnsi="Times New Roman" w:eastAsia="仿宋"/>
          <w:sz w:val="32"/>
          <w:szCs w:val="32"/>
        </w:rPr>
        <w:t>绩效评价打分表</w:t>
      </w:r>
    </w:p>
    <w:p>
      <w:pPr>
        <w:adjustRightInd w:val="0"/>
        <w:snapToGrid w:val="0"/>
        <w:spacing w:line="560" w:lineRule="exact"/>
        <w:ind w:left="638" w:leftChars="304"/>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2021年度枣庄高新区残疾人康复专项经费项目</w:t>
      </w:r>
      <w:r>
        <w:rPr>
          <w:rFonts w:ascii="Times New Roman" w:hAnsi="Times New Roman" w:eastAsia="仿宋"/>
          <w:sz w:val="32"/>
          <w:szCs w:val="32"/>
        </w:rPr>
        <w:t>绩效评价问题清单</w:t>
      </w:r>
    </w:p>
    <w:p>
      <w:pPr>
        <w:adjustRightInd w:val="0"/>
        <w:snapToGrid w:val="0"/>
        <w:spacing w:line="560" w:lineRule="exact"/>
        <w:ind w:left="638" w:leftChars="304"/>
        <w:rPr>
          <w:rFonts w:ascii="Times New Roman" w:hAnsi="Times New Roman" w:eastAsia="仿宋_GB2312"/>
          <w:sz w:val="32"/>
          <w:szCs w:val="32"/>
        </w:rPr>
      </w:pPr>
      <w:r>
        <w:rPr>
          <w:rFonts w:ascii="Times New Roman" w:hAnsi="Times New Roman" w:eastAsia="仿宋"/>
          <w:sz w:val="32"/>
          <w:szCs w:val="32"/>
        </w:rPr>
        <w:t>4</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2021年度枣庄高新区残疾人康复专项经费项目</w:t>
      </w:r>
      <w:r>
        <w:rPr>
          <w:rFonts w:ascii="Times New Roman" w:hAnsi="Times New Roman" w:eastAsia="仿宋"/>
          <w:sz w:val="32"/>
          <w:szCs w:val="32"/>
        </w:rPr>
        <w:t>绩效评价满意度汇总</w:t>
      </w:r>
      <w:r>
        <w:rPr>
          <w:rFonts w:hint="eastAsia" w:ascii="Times New Roman" w:hAnsi="Times New Roman" w:eastAsia="仿宋_GB2312"/>
          <w:sz w:val="32"/>
          <w:szCs w:val="32"/>
        </w:rPr>
        <w:t>表</w:t>
      </w:r>
    </w:p>
    <w:p>
      <w:pPr>
        <w:pStyle w:val="17"/>
        <w:spacing w:line="560" w:lineRule="exact"/>
        <w:ind w:left="1260"/>
        <w:rPr>
          <w:rFonts w:ascii="Times New Roman" w:hAnsi="Times New Roman"/>
          <w:sz w:val="32"/>
          <w:szCs w:val="32"/>
        </w:rPr>
      </w:pPr>
    </w:p>
    <w:bookmarkEnd w:id="427"/>
    <w:bookmarkEnd w:id="428"/>
    <w:p>
      <w:pPr>
        <w:pStyle w:val="17"/>
        <w:spacing w:line="560" w:lineRule="exact"/>
        <w:ind w:left="0" w:leftChars="0" w:firstLine="640" w:firstLineChars="200"/>
        <w:rPr>
          <w:rFonts w:ascii="Times New Roman" w:hAnsi="Times New Roman"/>
          <w:sz w:val="32"/>
          <w:szCs w:val="32"/>
        </w:rPr>
      </w:pPr>
      <w:bookmarkStart w:id="444" w:name="_Hlk57307731"/>
    </w:p>
    <w:bookmarkEnd w:id="444"/>
    <w:p>
      <w:pPr>
        <w:spacing w:line="560" w:lineRule="exact"/>
        <w:ind w:firstLine="640" w:firstLineChars="200"/>
        <w:rPr>
          <w:rFonts w:ascii="Times New Roman" w:hAnsi="Times New Roman" w:eastAsia="仿宋_GB2312"/>
          <w:sz w:val="32"/>
          <w:szCs w:val="32"/>
        </w:rPr>
      </w:pPr>
    </w:p>
    <w:sectPr>
      <w:footerReference r:id="rId6" w:type="default"/>
      <w:pgSz w:w="11906" w:h="16838"/>
      <w:pgMar w:top="1701" w:right="1588" w:bottom="1701" w:left="1588" w:header="851" w:footer="992" w:gutter="0"/>
      <w:pgNumType w:fmt="decimal"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文星简黑体">
    <w:altName w:val="黑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4MzNjYTU5YmVhZTZlYjRjMTEwZDI1YzQxMGQ5MmMifQ=="/>
  </w:docVars>
  <w:rsids>
    <w:rsidRoot w:val="00C7608A"/>
    <w:rsid w:val="000039CD"/>
    <w:rsid w:val="00005B98"/>
    <w:rsid w:val="00006312"/>
    <w:rsid w:val="00006634"/>
    <w:rsid w:val="00007475"/>
    <w:rsid w:val="00010C9F"/>
    <w:rsid w:val="00010D70"/>
    <w:rsid w:val="00015469"/>
    <w:rsid w:val="000155DA"/>
    <w:rsid w:val="00016383"/>
    <w:rsid w:val="0001791B"/>
    <w:rsid w:val="00027599"/>
    <w:rsid w:val="000312F4"/>
    <w:rsid w:val="00042B00"/>
    <w:rsid w:val="00044B5F"/>
    <w:rsid w:val="00066764"/>
    <w:rsid w:val="00074E70"/>
    <w:rsid w:val="00075144"/>
    <w:rsid w:val="00076033"/>
    <w:rsid w:val="00076C72"/>
    <w:rsid w:val="00084B44"/>
    <w:rsid w:val="000874FC"/>
    <w:rsid w:val="000940FC"/>
    <w:rsid w:val="000B20FF"/>
    <w:rsid w:val="000B5C89"/>
    <w:rsid w:val="000C13EA"/>
    <w:rsid w:val="000D0937"/>
    <w:rsid w:val="000D64C7"/>
    <w:rsid w:val="000D7E0F"/>
    <w:rsid w:val="000E4D70"/>
    <w:rsid w:val="000E6392"/>
    <w:rsid w:val="000E7018"/>
    <w:rsid w:val="000E7C4E"/>
    <w:rsid w:val="000F2BC4"/>
    <w:rsid w:val="000F3FCE"/>
    <w:rsid w:val="000F462C"/>
    <w:rsid w:val="00120075"/>
    <w:rsid w:val="00125C7F"/>
    <w:rsid w:val="0012663B"/>
    <w:rsid w:val="00130B1A"/>
    <w:rsid w:val="00135813"/>
    <w:rsid w:val="00137268"/>
    <w:rsid w:val="001469FE"/>
    <w:rsid w:val="00151506"/>
    <w:rsid w:val="00152CDC"/>
    <w:rsid w:val="0016516D"/>
    <w:rsid w:val="00173822"/>
    <w:rsid w:val="001807BE"/>
    <w:rsid w:val="0018091A"/>
    <w:rsid w:val="001813C7"/>
    <w:rsid w:val="00182A36"/>
    <w:rsid w:val="001848C0"/>
    <w:rsid w:val="00187E66"/>
    <w:rsid w:val="0019259A"/>
    <w:rsid w:val="00194F61"/>
    <w:rsid w:val="001A24A9"/>
    <w:rsid w:val="001A6C9A"/>
    <w:rsid w:val="001A7477"/>
    <w:rsid w:val="001B3A07"/>
    <w:rsid w:val="001B464A"/>
    <w:rsid w:val="001B729D"/>
    <w:rsid w:val="001C10EB"/>
    <w:rsid w:val="001D126C"/>
    <w:rsid w:val="001D4B0E"/>
    <w:rsid w:val="001E2666"/>
    <w:rsid w:val="001E4679"/>
    <w:rsid w:val="001F07E1"/>
    <w:rsid w:val="001F29A4"/>
    <w:rsid w:val="00202370"/>
    <w:rsid w:val="00202F5E"/>
    <w:rsid w:val="00205A14"/>
    <w:rsid w:val="00211594"/>
    <w:rsid w:val="00214C01"/>
    <w:rsid w:val="00214FE6"/>
    <w:rsid w:val="00215077"/>
    <w:rsid w:val="00216767"/>
    <w:rsid w:val="0021785B"/>
    <w:rsid w:val="00223AB2"/>
    <w:rsid w:val="0023107D"/>
    <w:rsid w:val="00236C02"/>
    <w:rsid w:val="002446CD"/>
    <w:rsid w:val="002453A4"/>
    <w:rsid w:val="0025418B"/>
    <w:rsid w:val="002623CA"/>
    <w:rsid w:val="00262444"/>
    <w:rsid w:val="00263BEB"/>
    <w:rsid w:val="002668E8"/>
    <w:rsid w:val="00273DA5"/>
    <w:rsid w:val="00276C14"/>
    <w:rsid w:val="00284C4A"/>
    <w:rsid w:val="0028798F"/>
    <w:rsid w:val="002A211C"/>
    <w:rsid w:val="002A38FF"/>
    <w:rsid w:val="002A4345"/>
    <w:rsid w:val="002A5765"/>
    <w:rsid w:val="002B027B"/>
    <w:rsid w:val="002B4ABB"/>
    <w:rsid w:val="002C0DA0"/>
    <w:rsid w:val="002C1692"/>
    <w:rsid w:val="002C2E50"/>
    <w:rsid w:val="002D5522"/>
    <w:rsid w:val="002D7BB3"/>
    <w:rsid w:val="002E4E9C"/>
    <w:rsid w:val="002E795F"/>
    <w:rsid w:val="002F1BD0"/>
    <w:rsid w:val="002F39E3"/>
    <w:rsid w:val="002F6560"/>
    <w:rsid w:val="00314B1F"/>
    <w:rsid w:val="0031772C"/>
    <w:rsid w:val="00320299"/>
    <w:rsid w:val="00324615"/>
    <w:rsid w:val="00331600"/>
    <w:rsid w:val="00332033"/>
    <w:rsid w:val="0033383B"/>
    <w:rsid w:val="003350DC"/>
    <w:rsid w:val="00337D24"/>
    <w:rsid w:val="003409E4"/>
    <w:rsid w:val="00353AE9"/>
    <w:rsid w:val="00355F71"/>
    <w:rsid w:val="00360CF5"/>
    <w:rsid w:val="00372ECE"/>
    <w:rsid w:val="00374808"/>
    <w:rsid w:val="00375F0E"/>
    <w:rsid w:val="003801FB"/>
    <w:rsid w:val="00382DBC"/>
    <w:rsid w:val="00383027"/>
    <w:rsid w:val="00383AB1"/>
    <w:rsid w:val="00384B9C"/>
    <w:rsid w:val="00385A5C"/>
    <w:rsid w:val="00386E2F"/>
    <w:rsid w:val="00391576"/>
    <w:rsid w:val="00391625"/>
    <w:rsid w:val="00392EA9"/>
    <w:rsid w:val="003955B4"/>
    <w:rsid w:val="003A1B10"/>
    <w:rsid w:val="003A4B15"/>
    <w:rsid w:val="003C1F9B"/>
    <w:rsid w:val="003C69F8"/>
    <w:rsid w:val="003D0510"/>
    <w:rsid w:val="003D700E"/>
    <w:rsid w:val="003E0394"/>
    <w:rsid w:val="003E1549"/>
    <w:rsid w:val="003E25B9"/>
    <w:rsid w:val="003E3E2D"/>
    <w:rsid w:val="003E4DFF"/>
    <w:rsid w:val="003E62A6"/>
    <w:rsid w:val="003E7348"/>
    <w:rsid w:val="003E7DEF"/>
    <w:rsid w:val="003F2C47"/>
    <w:rsid w:val="003F56B0"/>
    <w:rsid w:val="00416269"/>
    <w:rsid w:val="00417E2E"/>
    <w:rsid w:val="00421659"/>
    <w:rsid w:val="00421700"/>
    <w:rsid w:val="00425435"/>
    <w:rsid w:val="00426001"/>
    <w:rsid w:val="00433CD7"/>
    <w:rsid w:val="00434601"/>
    <w:rsid w:val="00446904"/>
    <w:rsid w:val="00451124"/>
    <w:rsid w:val="00454841"/>
    <w:rsid w:val="00454FBB"/>
    <w:rsid w:val="0046077B"/>
    <w:rsid w:val="00460FE2"/>
    <w:rsid w:val="00465CF5"/>
    <w:rsid w:val="004741F7"/>
    <w:rsid w:val="00476261"/>
    <w:rsid w:val="004762D6"/>
    <w:rsid w:val="00480FDD"/>
    <w:rsid w:val="00494C98"/>
    <w:rsid w:val="004A3FD3"/>
    <w:rsid w:val="004B6403"/>
    <w:rsid w:val="004B7BA0"/>
    <w:rsid w:val="004C0D7E"/>
    <w:rsid w:val="004C1015"/>
    <w:rsid w:val="004C3794"/>
    <w:rsid w:val="004C4812"/>
    <w:rsid w:val="004C55F6"/>
    <w:rsid w:val="004C7E70"/>
    <w:rsid w:val="004D01D3"/>
    <w:rsid w:val="004D3228"/>
    <w:rsid w:val="004D4B29"/>
    <w:rsid w:val="004E1CE5"/>
    <w:rsid w:val="004E52E0"/>
    <w:rsid w:val="004E78E8"/>
    <w:rsid w:val="004E7D07"/>
    <w:rsid w:val="004F7ADC"/>
    <w:rsid w:val="00501B73"/>
    <w:rsid w:val="00504338"/>
    <w:rsid w:val="0050475B"/>
    <w:rsid w:val="00510254"/>
    <w:rsid w:val="005105FB"/>
    <w:rsid w:val="00512C7B"/>
    <w:rsid w:val="00513686"/>
    <w:rsid w:val="00521B95"/>
    <w:rsid w:val="00522FAA"/>
    <w:rsid w:val="00523621"/>
    <w:rsid w:val="0052498A"/>
    <w:rsid w:val="005257AA"/>
    <w:rsid w:val="005262C8"/>
    <w:rsid w:val="0053062B"/>
    <w:rsid w:val="00530BAC"/>
    <w:rsid w:val="00537D5D"/>
    <w:rsid w:val="00547FE9"/>
    <w:rsid w:val="005535A4"/>
    <w:rsid w:val="00554B4F"/>
    <w:rsid w:val="00555177"/>
    <w:rsid w:val="0056607C"/>
    <w:rsid w:val="005669F4"/>
    <w:rsid w:val="0057520B"/>
    <w:rsid w:val="00575E33"/>
    <w:rsid w:val="0057780D"/>
    <w:rsid w:val="00580671"/>
    <w:rsid w:val="00580926"/>
    <w:rsid w:val="00580AE9"/>
    <w:rsid w:val="00581327"/>
    <w:rsid w:val="0058375C"/>
    <w:rsid w:val="00593692"/>
    <w:rsid w:val="0059651C"/>
    <w:rsid w:val="005974F1"/>
    <w:rsid w:val="005A6D31"/>
    <w:rsid w:val="005A7DA5"/>
    <w:rsid w:val="005B0EF3"/>
    <w:rsid w:val="005B502C"/>
    <w:rsid w:val="005C3EE4"/>
    <w:rsid w:val="005D01CD"/>
    <w:rsid w:val="005D38FA"/>
    <w:rsid w:val="005D45A5"/>
    <w:rsid w:val="005D4B9C"/>
    <w:rsid w:val="0060003D"/>
    <w:rsid w:val="00601414"/>
    <w:rsid w:val="006020B0"/>
    <w:rsid w:val="00607566"/>
    <w:rsid w:val="0061166B"/>
    <w:rsid w:val="00615AB6"/>
    <w:rsid w:val="00616B87"/>
    <w:rsid w:val="006225B0"/>
    <w:rsid w:val="0062280B"/>
    <w:rsid w:val="00631652"/>
    <w:rsid w:val="00633EF6"/>
    <w:rsid w:val="00636604"/>
    <w:rsid w:val="006426AB"/>
    <w:rsid w:val="00642CAC"/>
    <w:rsid w:val="00644449"/>
    <w:rsid w:val="00644837"/>
    <w:rsid w:val="00644CCF"/>
    <w:rsid w:val="006503B7"/>
    <w:rsid w:val="00650FFA"/>
    <w:rsid w:val="00652293"/>
    <w:rsid w:val="00663BAD"/>
    <w:rsid w:val="00665ED1"/>
    <w:rsid w:val="00666E0E"/>
    <w:rsid w:val="006676A1"/>
    <w:rsid w:val="0067741D"/>
    <w:rsid w:val="0068111C"/>
    <w:rsid w:val="006819AB"/>
    <w:rsid w:val="00682AEB"/>
    <w:rsid w:val="0068592A"/>
    <w:rsid w:val="006904AC"/>
    <w:rsid w:val="006924EE"/>
    <w:rsid w:val="0069672A"/>
    <w:rsid w:val="006A35D5"/>
    <w:rsid w:val="006A3D11"/>
    <w:rsid w:val="006A6700"/>
    <w:rsid w:val="006A69DC"/>
    <w:rsid w:val="006A7547"/>
    <w:rsid w:val="006A7F77"/>
    <w:rsid w:val="006B0579"/>
    <w:rsid w:val="006C1532"/>
    <w:rsid w:val="006C20A6"/>
    <w:rsid w:val="006C4617"/>
    <w:rsid w:val="006C5CC4"/>
    <w:rsid w:val="006D0EBA"/>
    <w:rsid w:val="006D1CEB"/>
    <w:rsid w:val="006D5EF6"/>
    <w:rsid w:val="006E3F40"/>
    <w:rsid w:val="006F4F5D"/>
    <w:rsid w:val="006F6F63"/>
    <w:rsid w:val="00704795"/>
    <w:rsid w:val="0070625B"/>
    <w:rsid w:val="0070746C"/>
    <w:rsid w:val="0071024F"/>
    <w:rsid w:val="00714980"/>
    <w:rsid w:val="00720FF1"/>
    <w:rsid w:val="0072350F"/>
    <w:rsid w:val="00723F72"/>
    <w:rsid w:val="0072506C"/>
    <w:rsid w:val="00725BA3"/>
    <w:rsid w:val="00737881"/>
    <w:rsid w:val="007429AF"/>
    <w:rsid w:val="00747A85"/>
    <w:rsid w:val="00751929"/>
    <w:rsid w:val="007554EC"/>
    <w:rsid w:val="00763E72"/>
    <w:rsid w:val="0077142A"/>
    <w:rsid w:val="007730EE"/>
    <w:rsid w:val="0077395C"/>
    <w:rsid w:val="007743FE"/>
    <w:rsid w:val="00787097"/>
    <w:rsid w:val="00787CFA"/>
    <w:rsid w:val="00791B2D"/>
    <w:rsid w:val="007927CD"/>
    <w:rsid w:val="00793E86"/>
    <w:rsid w:val="00795187"/>
    <w:rsid w:val="00796217"/>
    <w:rsid w:val="00797853"/>
    <w:rsid w:val="00797BF5"/>
    <w:rsid w:val="007A154D"/>
    <w:rsid w:val="007A1B34"/>
    <w:rsid w:val="007B19EB"/>
    <w:rsid w:val="007B3215"/>
    <w:rsid w:val="007B3897"/>
    <w:rsid w:val="007B399D"/>
    <w:rsid w:val="007B5C84"/>
    <w:rsid w:val="007C0483"/>
    <w:rsid w:val="007C0556"/>
    <w:rsid w:val="007C4084"/>
    <w:rsid w:val="007E53F9"/>
    <w:rsid w:val="007E5684"/>
    <w:rsid w:val="007E64EC"/>
    <w:rsid w:val="007F02B1"/>
    <w:rsid w:val="007F3F52"/>
    <w:rsid w:val="00806637"/>
    <w:rsid w:val="00810A79"/>
    <w:rsid w:val="00815842"/>
    <w:rsid w:val="008212C4"/>
    <w:rsid w:val="00830F32"/>
    <w:rsid w:val="00845FA7"/>
    <w:rsid w:val="00850A9A"/>
    <w:rsid w:val="00854054"/>
    <w:rsid w:val="00856FF4"/>
    <w:rsid w:val="008619EC"/>
    <w:rsid w:val="008647C7"/>
    <w:rsid w:val="00867A0B"/>
    <w:rsid w:val="008702E3"/>
    <w:rsid w:val="00875C8C"/>
    <w:rsid w:val="008836BD"/>
    <w:rsid w:val="00887FA7"/>
    <w:rsid w:val="008911A8"/>
    <w:rsid w:val="00892219"/>
    <w:rsid w:val="008942AC"/>
    <w:rsid w:val="00894DC8"/>
    <w:rsid w:val="00894E53"/>
    <w:rsid w:val="00897071"/>
    <w:rsid w:val="008A213B"/>
    <w:rsid w:val="008A4468"/>
    <w:rsid w:val="008B0E20"/>
    <w:rsid w:val="008B198A"/>
    <w:rsid w:val="008B1ADE"/>
    <w:rsid w:val="008B2A11"/>
    <w:rsid w:val="008B478E"/>
    <w:rsid w:val="008B7290"/>
    <w:rsid w:val="008B78CA"/>
    <w:rsid w:val="008E18FB"/>
    <w:rsid w:val="008E79AB"/>
    <w:rsid w:val="008F4FD8"/>
    <w:rsid w:val="008F6480"/>
    <w:rsid w:val="0090061D"/>
    <w:rsid w:val="00901B61"/>
    <w:rsid w:val="00903A5B"/>
    <w:rsid w:val="00910072"/>
    <w:rsid w:val="00915AC9"/>
    <w:rsid w:val="00915E40"/>
    <w:rsid w:val="00917A95"/>
    <w:rsid w:val="00924CB9"/>
    <w:rsid w:val="00925CF8"/>
    <w:rsid w:val="00931746"/>
    <w:rsid w:val="00935448"/>
    <w:rsid w:val="00935C9A"/>
    <w:rsid w:val="00941957"/>
    <w:rsid w:val="00944FF0"/>
    <w:rsid w:val="00950E4A"/>
    <w:rsid w:val="00955509"/>
    <w:rsid w:val="00956976"/>
    <w:rsid w:val="009615EE"/>
    <w:rsid w:val="009646DF"/>
    <w:rsid w:val="0096727B"/>
    <w:rsid w:val="0096789D"/>
    <w:rsid w:val="00974FED"/>
    <w:rsid w:val="00980EBE"/>
    <w:rsid w:val="00983807"/>
    <w:rsid w:val="00983C1C"/>
    <w:rsid w:val="00985609"/>
    <w:rsid w:val="009872F6"/>
    <w:rsid w:val="0099157E"/>
    <w:rsid w:val="009A1990"/>
    <w:rsid w:val="009A335D"/>
    <w:rsid w:val="009A6619"/>
    <w:rsid w:val="009A6DA0"/>
    <w:rsid w:val="009B1047"/>
    <w:rsid w:val="009B5770"/>
    <w:rsid w:val="009C0842"/>
    <w:rsid w:val="009C1053"/>
    <w:rsid w:val="009C1438"/>
    <w:rsid w:val="009C1B23"/>
    <w:rsid w:val="009C55A6"/>
    <w:rsid w:val="009D3EC7"/>
    <w:rsid w:val="009E14D6"/>
    <w:rsid w:val="009E3177"/>
    <w:rsid w:val="009E482B"/>
    <w:rsid w:val="009E48A2"/>
    <w:rsid w:val="009F10EF"/>
    <w:rsid w:val="009F2BE4"/>
    <w:rsid w:val="009F35E4"/>
    <w:rsid w:val="009F3FDF"/>
    <w:rsid w:val="009F5CBC"/>
    <w:rsid w:val="009F7A07"/>
    <w:rsid w:val="009F7B37"/>
    <w:rsid w:val="00A022E6"/>
    <w:rsid w:val="00A02EF9"/>
    <w:rsid w:val="00A038A6"/>
    <w:rsid w:val="00A05387"/>
    <w:rsid w:val="00A11F25"/>
    <w:rsid w:val="00A135C5"/>
    <w:rsid w:val="00A1405A"/>
    <w:rsid w:val="00A14B85"/>
    <w:rsid w:val="00A14EA6"/>
    <w:rsid w:val="00A21870"/>
    <w:rsid w:val="00A25650"/>
    <w:rsid w:val="00A403A8"/>
    <w:rsid w:val="00A43035"/>
    <w:rsid w:val="00A44FA3"/>
    <w:rsid w:val="00A46F90"/>
    <w:rsid w:val="00A4721D"/>
    <w:rsid w:val="00A4735A"/>
    <w:rsid w:val="00A50DB4"/>
    <w:rsid w:val="00A53277"/>
    <w:rsid w:val="00A55546"/>
    <w:rsid w:val="00A612EE"/>
    <w:rsid w:val="00A64224"/>
    <w:rsid w:val="00A66493"/>
    <w:rsid w:val="00A67035"/>
    <w:rsid w:val="00A724E3"/>
    <w:rsid w:val="00A7297B"/>
    <w:rsid w:val="00A7603A"/>
    <w:rsid w:val="00A920BA"/>
    <w:rsid w:val="00A928E9"/>
    <w:rsid w:val="00A93720"/>
    <w:rsid w:val="00A9403A"/>
    <w:rsid w:val="00A94B29"/>
    <w:rsid w:val="00A97D54"/>
    <w:rsid w:val="00AA484C"/>
    <w:rsid w:val="00AA7D23"/>
    <w:rsid w:val="00AB083A"/>
    <w:rsid w:val="00AB1137"/>
    <w:rsid w:val="00AB1359"/>
    <w:rsid w:val="00AB514A"/>
    <w:rsid w:val="00AC243A"/>
    <w:rsid w:val="00AD6630"/>
    <w:rsid w:val="00AE02D2"/>
    <w:rsid w:val="00AE56D5"/>
    <w:rsid w:val="00AE70D8"/>
    <w:rsid w:val="00AE79B0"/>
    <w:rsid w:val="00AF243F"/>
    <w:rsid w:val="00AF2695"/>
    <w:rsid w:val="00AF605A"/>
    <w:rsid w:val="00B00723"/>
    <w:rsid w:val="00B018EF"/>
    <w:rsid w:val="00B06586"/>
    <w:rsid w:val="00B101C4"/>
    <w:rsid w:val="00B15676"/>
    <w:rsid w:val="00B158D6"/>
    <w:rsid w:val="00B16F8B"/>
    <w:rsid w:val="00B172B0"/>
    <w:rsid w:val="00B21B5A"/>
    <w:rsid w:val="00B2457E"/>
    <w:rsid w:val="00B2466F"/>
    <w:rsid w:val="00B25F36"/>
    <w:rsid w:val="00B27A95"/>
    <w:rsid w:val="00B355F5"/>
    <w:rsid w:val="00B44752"/>
    <w:rsid w:val="00B452B3"/>
    <w:rsid w:val="00B500B6"/>
    <w:rsid w:val="00B50A14"/>
    <w:rsid w:val="00B529CF"/>
    <w:rsid w:val="00B60327"/>
    <w:rsid w:val="00B70AF1"/>
    <w:rsid w:val="00B76118"/>
    <w:rsid w:val="00B8398E"/>
    <w:rsid w:val="00B849FB"/>
    <w:rsid w:val="00B85D9D"/>
    <w:rsid w:val="00B92C94"/>
    <w:rsid w:val="00B92E7F"/>
    <w:rsid w:val="00B97B36"/>
    <w:rsid w:val="00BA50EE"/>
    <w:rsid w:val="00BB2106"/>
    <w:rsid w:val="00BC0FAB"/>
    <w:rsid w:val="00BC7017"/>
    <w:rsid w:val="00BD419C"/>
    <w:rsid w:val="00BD5CD1"/>
    <w:rsid w:val="00BD6B4E"/>
    <w:rsid w:val="00BE0EA1"/>
    <w:rsid w:val="00BE21F0"/>
    <w:rsid w:val="00BE3CAB"/>
    <w:rsid w:val="00BE429F"/>
    <w:rsid w:val="00BE64FC"/>
    <w:rsid w:val="00BE7236"/>
    <w:rsid w:val="00BF35D5"/>
    <w:rsid w:val="00BF617A"/>
    <w:rsid w:val="00C021C8"/>
    <w:rsid w:val="00C0300F"/>
    <w:rsid w:val="00C0536B"/>
    <w:rsid w:val="00C06142"/>
    <w:rsid w:val="00C061CE"/>
    <w:rsid w:val="00C065D8"/>
    <w:rsid w:val="00C07E0E"/>
    <w:rsid w:val="00C1073D"/>
    <w:rsid w:val="00C107CE"/>
    <w:rsid w:val="00C10968"/>
    <w:rsid w:val="00C16DA4"/>
    <w:rsid w:val="00C17ACD"/>
    <w:rsid w:val="00C21190"/>
    <w:rsid w:val="00C3383D"/>
    <w:rsid w:val="00C3391D"/>
    <w:rsid w:val="00C4552E"/>
    <w:rsid w:val="00C4647D"/>
    <w:rsid w:val="00C52066"/>
    <w:rsid w:val="00C53924"/>
    <w:rsid w:val="00C64A75"/>
    <w:rsid w:val="00C7608A"/>
    <w:rsid w:val="00C856E7"/>
    <w:rsid w:val="00C86DB1"/>
    <w:rsid w:val="00C90D0A"/>
    <w:rsid w:val="00CA3BFF"/>
    <w:rsid w:val="00CB1DA3"/>
    <w:rsid w:val="00CB5ACD"/>
    <w:rsid w:val="00CB754B"/>
    <w:rsid w:val="00CC146E"/>
    <w:rsid w:val="00CC69C2"/>
    <w:rsid w:val="00CC7ED2"/>
    <w:rsid w:val="00CD53AE"/>
    <w:rsid w:val="00CE001B"/>
    <w:rsid w:val="00CE244E"/>
    <w:rsid w:val="00CE763F"/>
    <w:rsid w:val="00CF1103"/>
    <w:rsid w:val="00CF27D0"/>
    <w:rsid w:val="00CF3404"/>
    <w:rsid w:val="00CF54E2"/>
    <w:rsid w:val="00CF5D04"/>
    <w:rsid w:val="00D017BD"/>
    <w:rsid w:val="00D07849"/>
    <w:rsid w:val="00D12801"/>
    <w:rsid w:val="00D160F3"/>
    <w:rsid w:val="00D1656D"/>
    <w:rsid w:val="00D165D0"/>
    <w:rsid w:val="00D1747E"/>
    <w:rsid w:val="00D17AC8"/>
    <w:rsid w:val="00D21177"/>
    <w:rsid w:val="00D22203"/>
    <w:rsid w:val="00D2432D"/>
    <w:rsid w:val="00D24482"/>
    <w:rsid w:val="00D27471"/>
    <w:rsid w:val="00D30EAE"/>
    <w:rsid w:val="00D32C9D"/>
    <w:rsid w:val="00D33C9E"/>
    <w:rsid w:val="00D444B6"/>
    <w:rsid w:val="00D63C87"/>
    <w:rsid w:val="00D64281"/>
    <w:rsid w:val="00D72702"/>
    <w:rsid w:val="00D7750C"/>
    <w:rsid w:val="00D77EAE"/>
    <w:rsid w:val="00D80D42"/>
    <w:rsid w:val="00D813A5"/>
    <w:rsid w:val="00D832E5"/>
    <w:rsid w:val="00D862EB"/>
    <w:rsid w:val="00D86A37"/>
    <w:rsid w:val="00D875FC"/>
    <w:rsid w:val="00D923E8"/>
    <w:rsid w:val="00DA23D8"/>
    <w:rsid w:val="00DA4B76"/>
    <w:rsid w:val="00DA66C7"/>
    <w:rsid w:val="00DB1AA5"/>
    <w:rsid w:val="00DB7B7C"/>
    <w:rsid w:val="00DC08F2"/>
    <w:rsid w:val="00DC2157"/>
    <w:rsid w:val="00DD06D6"/>
    <w:rsid w:val="00DE0B1A"/>
    <w:rsid w:val="00DE24E5"/>
    <w:rsid w:val="00DE6BBC"/>
    <w:rsid w:val="00DF02CA"/>
    <w:rsid w:val="00DF14AD"/>
    <w:rsid w:val="00E03D27"/>
    <w:rsid w:val="00E076C1"/>
    <w:rsid w:val="00E14B7E"/>
    <w:rsid w:val="00E16363"/>
    <w:rsid w:val="00E16681"/>
    <w:rsid w:val="00E21539"/>
    <w:rsid w:val="00E221BB"/>
    <w:rsid w:val="00E23791"/>
    <w:rsid w:val="00E24541"/>
    <w:rsid w:val="00E27AE5"/>
    <w:rsid w:val="00E3703F"/>
    <w:rsid w:val="00E44B4A"/>
    <w:rsid w:val="00E47216"/>
    <w:rsid w:val="00E47F4D"/>
    <w:rsid w:val="00E540D6"/>
    <w:rsid w:val="00E54851"/>
    <w:rsid w:val="00E54A5F"/>
    <w:rsid w:val="00E5656D"/>
    <w:rsid w:val="00E63655"/>
    <w:rsid w:val="00E64B30"/>
    <w:rsid w:val="00E76177"/>
    <w:rsid w:val="00E77C3D"/>
    <w:rsid w:val="00E8248C"/>
    <w:rsid w:val="00E8393E"/>
    <w:rsid w:val="00E8491F"/>
    <w:rsid w:val="00E86A7C"/>
    <w:rsid w:val="00E8753C"/>
    <w:rsid w:val="00E97A15"/>
    <w:rsid w:val="00EA0A14"/>
    <w:rsid w:val="00EA3088"/>
    <w:rsid w:val="00EA60D3"/>
    <w:rsid w:val="00EB0167"/>
    <w:rsid w:val="00EB2CFE"/>
    <w:rsid w:val="00EB4533"/>
    <w:rsid w:val="00EB4E9A"/>
    <w:rsid w:val="00EB787D"/>
    <w:rsid w:val="00EB7D8A"/>
    <w:rsid w:val="00EB7E0A"/>
    <w:rsid w:val="00EC746E"/>
    <w:rsid w:val="00ED0440"/>
    <w:rsid w:val="00ED0F5B"/>
    <w:rsid w:val="00ED1654"/>
    <w:rsid w:val="00ED65F7"/>
    <w:rsid w:val="00EE6752"/>
    <w:rsid w:val="00EF1F9C"/>
    <w:rsid w:val="00EF3804"/>
    <w:rsid w:val="00EF58DF"/>
    <w:rsid w:val="00F0030D"/>
    <w:rsid w:val="00F01080"/>
    <w:rsid w:val="00F01103"/>
    <w:rsid w:val="00F01F6A"/>
    <w:rsid w:val="00F07829"/>
    <w:rsid w:val="00F12705"/>
    <w:rsid w:val="00F15358"/>
    <w:rsid w:val="00F17D0E"/>
    <w:rsid w:val="00F23F25"/>
    <w:rsid w:val="00F245FE"/>
    <w:rsid w:val="00F26458"/>
    <w:rsid w:val="00F30FF1"/>
    <w:rsid w:val="00F34CB0"/>
    <w:rsid w:val="00F41FC2"/>
    <w:rsid w:val="00F43147"/>
    <w:rsid w:val="00F5001A"/>
    <w:rsid w:val="00F52437"/>
    <w:rsid w:val="00F5290E"/>
    <w:rsid w:val="00F5354C"/>
    <w:rsid w:val="00F62C27"/>
    <w:rsid w:val="00F6314A"/>
    <w:rsid w:val="00F6521F"/>
    <w:rsid w:val="00F655B6"/>
    <w:rsid w:val="00F7226B"/>
    <w:rsid w:val="00F72ABC"/>
    <w:rsid w:val="00F72FBE"/>
    <w:rsid w:val="00F87298"/>
    <w:rsid w:val="00F93AEE"/>
    <w:rsid w:val="00F94B20"/>
    <w:rsid w:val="00F95274"/>
    <w:rsid w:val="00F97070"/>
    <w:rsid w:val="00FA2571"/>
    <w:rsid w:val="00FA3BDF"/>
    <w:rsid w:val="00FA46DC"/>
    <w:rsid w:val="00FA4FD7"/>
    <w:rsid w:val="00FA6510"/>
    <w:rsid w:val="00FA7CB3"/>
    <w:rsid w:val="00FA7EF9"/>
    <w:rsid w:val="00FB3BEC"/>
    <w:rsid w:val="00FB459A"/>
    <w:rsid w:val="00FB4BB7"/>
    <w:rsid w:val="00FB6CA3"/>
    <w:rsid w:val="00FC2A0D"/>
    <w:rsid w:val="00FD1A08"/>
    <w:rsid w:val="00FD1E74"/>
    <w:rsid w:val="00FD2DAA"/>
    <w:rsid w:val="00FD7B45"/>
    <w:rsid w:val="00FE7140"/>
    <w:rsid w:val="01042A8A"/>
    <w:rsid w:val="01455C19"/>
    <w:rsid w:val="01782D86"/>
    <w:rsid w:val="018915CB"/>
    <w:rsid w:val="01A907C2"/>
    <w:rsid w:val="01AF6411"/>
    <w:rsid w:val="01D029AF"/>
    <w:rsid w:val="023A2E4D"/>
    <w:rsid w:val="025B4F77"/>
    <w:rsid w:val="02B13FA4"/>
    <w:rsid w:val="02BB0D60"/>
    <w:rsid w:val="03305094"/>
    <w:rsid w:val="033C2BF5"/>
    <w:rsid w:val="03451AAA"/>
    <w:rsid w:val="037E4966"/>
    <w:rsid w:val="03C33F93"/>
    <w:rsid w:val="040E0BEE"/>
    <w:rsid w:val="045F4DED"/>
    <w:rsid w:val="048E269E"/>
    <w:rsid w:val="04CB2483"/>
    <w:rsid w:val="05D844DA"/>
    <w:rsid w:val="05E97E04"/>
    <w:rsid w:val="063668F6"/>
    <w:rsid w:val="065827F4"/>
    <w:rsid w:val="06742194"/>
    <w:rsid w:val="06EE423C"/>
    <w:rsid w:val="0742532D"/>
    <w:rsid w:val="074327A4"/>
    <w:rsid w:val="07610C70"/>
    <w:rsid w:val="07AA45D1"/>
    <w:rsid w:val="07B93E4E"/>
    <w:rsid w:val="07BC00A1"/>
    <w:rsid w:val="07E6312F"/>
    <w:rsid w:val="08365E65"/>
    <w:rsid w:val="08620A2E"/>
    <w:rsid w:val="086F24FA"/>
    <w:rsid w:val="090D12BC"/>
    <w:rsid w:val="092A33E0"/>
    <w:rsid w:val="0A3F6E31"/>
    <w:rsid w:val="0A8F644F"/>
    <w:rsid w:val="0ABC7267"/>
    <w:rsid w:val="0AD2128B"/>
    <w:rsid w:val="0AFF70B4"/>
    <w:rsid w:val="0B0835EB"/>
    <w:rsid w:val="0B416FFB"/>
    <w:rsid w:val="0B666EAC"/>
    <w:rsid w:val="0BBB1985"/>
    <w:rsid w:val="0BC22234"/>
    <w:rsid w:val="0C073F72"/>
    <w:rsid w:val="0C2C158D"/>
    <w:rsid w:val="0DA50A51"/>
    <w:rsid w:val="0DB20DAF"/>
    <w:rsid w:val="0E8D38D5"/>
    <w:rsid w:val="0F283286"/>
    <w:rsid w:val="0F5F4446"/>
    <w:rsid w:val="10297530"/>
    <w:rsid w:val="111362A6"/>
    <w:rsid w:val="111D7981"/>
    <w:rsid w:val="121073AA"/>
    <w:rsid w:val="13833E55"/>
    <w:rsid w:val="138A15FA"/>
    <w:rsid w:val="13C6291C"/>
    <w:rsid w:val="13E44589"/>
    <w:rsid w:val="14E54E9B"/>
    <w:rsid w:val="150600FC"/>
    <w:rsid w:val="155763B6"/>
    <w:rsid w:val="16013E5E"/>
    <w:rsid w:val="160378EB"/>
    <w:rsid w:val="162D01C2"/>
    <w:rsid w:val="16D43174"/>
    <w:rsid w:val="17255A22"/>
    <w:rsid w:val="1791130A"/>
    <w:rsid w:val="17A50D57"/>
    <w:rsid w:val="17B01B37"/>
    <w:rsid w:val="17F5395F"/>
    <w:rsid w:val="18090EA0"/>
    <w:rsid w:val="19305FBC"/>
    <w:rsid w:val="194C17B8"/>
    <w:rsid w:val="19B27315"/>
    <w:rsid w:val="1B632FBD"/>
    <w:rsid w:val="1BB63F52"/>
    <w:rsid w:val="1BDD61DF"/>
    <w:rsid w:val="1BDE2644"/>
    <w:rsid w:val="1C904DD8"/>
    <w:rsid w:val="1C9660A5"/>
    <w:rsid w:val="1D4203D9"/>
    <w:rsid w:val="1D484CDB"/>
    <w:rsid w:val="1D720AB3"/>
    <w:rsid w:val="1D9B2FAD"/>
    <w:rsid w:val="1DEA0047"/>
    <w:rsid w:val="1F5455C2"/>
    <w:rsid w:val="1F707A57"/>
    <w:rsid w:val="1FBF0A90"/>
    <w:rsid w:val="20161657"/>
    <w:rsid w:val="20620CF0"/>
    <w:rsid w:val="20B71679"/>
    <w:rsid w:val="20E5040E"/>
    <w:rsid w:val="21F4496F"/>
    <w:rsid w:val="222773D9"/>
    <w:rsid w:val="2264331D"/>
    <w:rsid w:val="227171F7"/>
    <w:rsid w:val="227E0176"/>
    <w:rsid w:val="22D13DE3"/>
    <w:rsid w:val="236D6760"/>
    <w:rsid w:val="23D33834"/>
    <w:rsid w:val="24311EB4"/>
    <w:rsid w:val="249479C4"/>
    <w:rsid w:val="24C943DF"/>
    <w:rsid w:val="24CF32CC"/>
    <w:rsid w:val="24D50F08"/>
    <w:rsid w:val="24F473DB"/>
    <w:rsid w:val="24FF6FC8"/>
    <w:rsid w:val="2534600F"/>
    <w:rsid w:val="25CC6EC1"/>
    <w:rsid w:val="25D032D0"/>
    <w:rsid w:val="25E70625"/>
    <w:rsid w:val="26050E3D"/>
    <w:rsid w:val="267A740D"/>
    <w:rsid w:val="26A4233A"/>
    <w:rsid w:val="26B02174"/>
    <w:rsid w:val="27A2204F"/>
    <w:rsid w:val="27AC35F6"/>
    <w:rsid w:val="27D019DA"/>
    <w:rsid w:val="28863635"/>
    <w:rsid w:val="28A006AF"/>
    <w:rsid w:val="29373393"/>
    <w:rsid w:val="29392739"/>
    <w:rsid w:val="29E764F0"/>
    <w:rsid w:val="2A0168EB"/>
    <w:rsid w:val="2A104A04"/>
    <w:rsid w:val="2AF31607"/>
    <w:rsid w:val="2B014CC2"/>
    <w:rsid w:val="2B632B65"/>
    <w:rsid w:val="2BFD6B16"/>
    <w:rsid w:val="2C375E02"/>
    <w:rsid w:val="2CC31B0E"/>
    <w:rsid w:val="2D02384E"/>
    <w:rsid w:val="2D2A322F"/>
    <w:rsid w:val="2D3E490E"/>
    <w:rsid w:val="2D991CD3"/>
    <w:rsid w:val="2DA21F75"/>
    <w:rsid w:val="2DBD45BE"/>
    <w:rsid w:val="2E931B2B"/>
    <w:rsid w:val="2ED73457"/>
    <w:rsid w:val="2F260AE1"/>
    <w:rsid w:val="2FD271D9"/>
    <w:rsid w:val="302B7E58"/>
    <w:rsid w:val="30C71322"/>
    <w:rsid w:val="30FC0182"/>
    <w:rsid w:val="316D13B3"/>
    <w:rsid w:val="31ED57ED"/>
    <w:rsid w:val="332C05E2"/>
    <w:rsid w:val="333B3321"/>
    <w:rsid w:val="341B3F1A"/>
    <w:rsid w:val="35516AA8"/>
    <w:rsid w:val="3567056C"/>
    <w:rsid w:val="36044383"/>
    <w:rsid w:val="36812C80"/>
    <w:rsid w:val="37740FA6"/>
    <w:rsid w:val="37FE06EC"/>
    <w:rsid w:val="385D22AA"/>
    <w:rsid w:val="387B5ECC"/>
    <w:rsid w:val="38E54411"/>
    <w:rsid w:val="38F60B75"/>
    <w:rsid w:val="39331C27"/>
    <w:rsid w:val="39E97F4A"/>
    <w:rsid w:val="39F611D7"/>
    <w:rsid w:val="3A8B65DB"/>
    <w:rsid w:val="3AF35A31"/>
    <w:rsid w:val="3B0E7C6C"/>
    <w:rsid w:val="3B287164"/>
    <w:rsid w:val="3B3B4F65"/>
    <w:rsid w:val="3B400B2A"/>
    <w:rsid w:val="3B4020DD"/>
    <w:rsid w:val="3B971EFB"/>
    <w:rsid w:val="3BB0325D"/>
    <w:rsid w:val="3BB40E7A"/>
    <w:rsid w:val="3BCF2B29"/>
    <w:rsid w:val="3D144F75"/>
    <w:rsid w:val="3DC3127C"/>
    <w:rsid w:val="3DD46868"/>
    <w:rsid w:val="3DFB5E6B"/>
    <w:rsid w:val="3EF82D74"/>
    <w:rsid w:val="3F186067"/>
    <w:rsid w:val="3F9E52CE"/>
    <w:rsid w:val="404843AC"/>
    <w:rsid w:val="406D6FBF"/>
    <w:rsid w:val="40B24E1F"/>
    <w:rsid w:val="40E262F5"/>
    <w:rsid w:val="40F736DC"/>
    <w:rsid w:val="41260862"/>
    <w:rsid w:val="413B48B0"/>
    <w:rsid w:val="419E514D"/>
    <w:rsid w:val="42C7264F"/>
    <w:rsid w:val="42C90B85"/>
    <w:rsid w:val="42DB7916"/>
    <w:rsid w:val="433A4E46"/>
    <w:rsid w:val="434940A3"/>
    <w:rsid w:val="43713C1A"/>
    <w:rsid w:val="4379285B"/>
    <w:rsid w:val="43B20333"/>
    <w:rsid w:val="43BC0257"/>
    <w:rsid w:val="43C53CC6"/>
    <w:rsid w:val="44092339"/>
    <w:rsid w:val="44B111CA"/>
    <w:rsid w:val="45253C5D"/>
    <w:rsid w:val="469A7A6B"/>
    <w:rsid w:val="46D97071"/>
    <w:rsid w:val="47040901"/>
    <w:rsid w:val="47563DDB"/>
    <w:rsid w:val="47581E69"/>
    <w:rsid w:val="487006E1"/>
    <w:rsid w:val="48825F81"/>
    <w:rsid w:val="48B14D81"/>
    <w:rsid w:val="493F01D2"/>
    <w:rsid w:val="4A404346"/>
    <w:rsid w:val="4A693F94"/>
    <w:rsid w:val="4ABE5A33"/>
    <w:rsid w:val="4B207D8A"/>
    <w:rsid w:val="4B364A5C"/>
    <w:rsid w:val="4BA84D9C"/>
    <w:rsid w:val="4BB53B22"/>
    <w:rsid w:val="4CEB411E"/>
    <w:rsid w:val="4D3C7ADF"/>
    <w:rsid w:val="4DCA20EB"/>
    <w:rsid w:val="4E06700D"/>
    <w:rsid w:val="4E0D40E9"/>
    <w:rsid w:val="4E462E7D"/>
    <w:rsid w:val="4F165675"/>
    <w:rsid w:val="4FD32AF4"/>
    <w:rsid w:val="4FE10312"/>
    <w:rsid w:val="503C30E3"/>
    <w:rsid w:val="509E5BD6"/>
    <w:rsid w:val="512F621A"/>
    <w:rsid w:val="515F550C"/>
    <w:rsid w:val="51B126FB"/>
    <w:rsid w:val="51CF4AD7"/>
    <w:rsid w:val="52047438"/>
    <w:rsid w:val="52C46BF9"/>
    <w:rsid w:val="533E16D6"/>
    <w:rsid w:val="53AC7200"/>
    <w:rsid w:val="53C62B5B"/>
    <w:rsid w:val="54F558FC"/>
    <w:rsid w:val="563A2F1D"/>
    <w:rsid w:val="567C23EE"/>
    <w:rsid w:val="56C96A02"/>
    <w:rsid w:val="57680662"/>
    <w:rsid w:val="57AE0B41"/>
    <w:rsid w:val="57B42738"/>
    <w:rsid w:val="57B6301A"/>
    <w:rsid w:val="57F51640"/>
    <w:rsid w:val="58115A72"/>
    <w:rsid w:val="581D0324"/>
    <w:rsid w:val="582B3FA4"/>
    <w:rsid w:val="5856014D"/>
    <w:rsid w:val="58731434"/>
    <w:rsid w:val="58960560"/>
    <w:rsid w:val="58D31298"/>
    <w:rsid w:val="592F3828"/>
    <w:rsid w:val="593E26DE"/>
    <w:rsid w:val="5A6302D8"/>
    <w:rsid w:val="5A7744CA"/>
    <w:rsid w:val="5A8C0EE1"/>
    <w:rsid w:val="5ADB0A77"/>
    <w:rsid w:val="5BA7346C"/>
    <w:rsid w:val="5D34444B"/>
    <w:rsid w:val="5D7D40EE"/>
    <w:rsid w:val="5DA80EFC"/>
    <w:rsid w:val="5DB66565"/>
    <w:rsid w:val="5DD706C5"/>
    <w:rsid w:val="5DE8122B"/>
    <w:rsid w:val="5E5B4CCB"/>
    <w:rsid w:val="5E7724D6"/>
    <w:rsid w:val="5EBA3314"/>
    <w:rsid w:val="5EEC65D2"/>
    <w:rsid w:val="5F155949"/>
    <w:rsid w:val="60237BF2"/>
    <w:rsid w:val="602534EE"/>
    <w:rsid w:val="606860DA"/>
    <w:rsid w:val="60803A2D"/>
    <w:rsid w:val="609166D7"/>
    <w:rsid w:val="60E72769"/>
    <w:rsid w:val="61412A26"/>
    <w:rsid w:val="61864EBD"/>
    <w:rsid w:val="61A4496A"/>
    <w:rsid w:val="61C471B3"/>
    <w:rsid w:val="6277434E"/>
    <w:rsid w:val="63957FB0"/>
    <w:rsid w:val="63C67847"/>
    <w:rsid w:val="63FA6EBC"/>
    <w:rsid w:val="63FF6539"/>
    <w:rsid w:val="64016F53"/>
    <w:rsid w:val="64065A28"/>
    <w:rsid w:val="645A5DA2"/>
    <w:rsid w:val="64AB1C95"/>
    <w:rsid w:val="64E00443"/>
    <w:rsid w:val="64F61D79"/>
    <w:rsid w:val="653129FE"/>
    <w:rsid w:val="65391F5B"/>
    <w:rsid w:val="654F6526"/>
    <w:rsid w:val="65A75839"/>
    <w:rsid w:val="65F03427"/>
    <w:rsid w:val="65F71905"/>
    <w:rsid w:val="664532FD"/>
    <w:rsid w:val="664E74BA"/>
    <w:rsid w:val="66C361CA"/>
    <w:rsid w:val="670F0ED0"/>
    <w:rsid w:val="676641F4"/>
    <w:rsid w:val="67B34EE6"/>
    <w:rsid w:val="67D824A5"/>
    <w:rsid w:val="67EC27B5"/>
    <w:rsid w:val="68945B31"/>
    <w:rsid w:val="69910AD0"/>
    <w:rsid w:val="69916CCC"/>
    <w:rsid w:val="69AB14D7"/>
    <w:rsid w:val="6A507EA5"/>
    <w:rsid w:val="6A547E5E"/>
    <w:rsid w:val="6AAB6AFE"/>
    <w:rsid w:val="6B1F0399"/>
    <w:rsid w:val="6B7A4201"/>
    <w:rsid w:val="6BA3591A"/>
    <w:rsid w:val="6BEA2F99"/>
    <w:rsid w:val="6C2635CC"/>
    <w:rsid w:val="6C2E0B00"/>
    <w:rsid w:val="6C7019D0"/>
    <w:rsid w:val="6C967E89"/>
    <w:rsid w:val="6CAB3449"/>
    <w:rsid w:val="6CDB17B1"/>
    <w:rsid w:val="6D470DBC"/>
    <w:rsid w:val="6DD14396"/>
    <w:rsid w:val="6DEB5690"/>
    <w:rsid w:val="6DF47617"/>
    <w:rsid w:val="6DFA6436"/>
    <w:rsid w:val="6E2C7894"/>
    <w:rsid w:val="6E395782"/>
    <w:rsid w:val="6E4E54B3"/>
    <w:rsid w:val="6E856F74"/>
    <w:rsid w:val="6EAA59E5"/>
    <w:rsid w:val="6EB311A5"/>
    <w:rsid w:val="6F3A7744"/>
    <w:rsid w:val="6FC471C2"/>
    <w:rsid w:val="70652F27"/>
    <w:rsid w:val="70B11484"/>
    <w:rsid w:val="71370206"/>
    <w:rsid w:val="7192411A"/>
    <w:rsid w:val="71D40395"/>
    <w:rsid w:val="725B366F"/>
    <w:rsid w:val="7260565A"/>
    <w:rsid w:val="72823740"/>
    <w:rsid w:val="7288447A"/>
    <w:rsid w:val="72E24B4F"/>
    <w:rsid w:val="73A66718"/>
    <w:rsid w:val="73FF59D3"/>
    <w:rsid w:val="741369EC"/>
    <w:rsid w:val="74830356"/>
    <w:rsid w:val="74BC2349"/>
    <w:rsid w:val="74C8072D"/>
    <w:rsid w:val="74DF2273"/>
    <w:rsid w:val="74E22C7D"/>
    <w:rsid w:val="7634186D"/>
    <w:rsid w:val="7684674F"/>
    <w:rsid w:val="773E0F69"/>
    <w:rsid w:val="77696F8E"/>
    <w:rsid w:val="77870849"/>
    <w:rsid w:val="784C37D7"/>
    <w:rsid w:val="78694EAE"/>
    <w:rsid w:val="794B10D1"/>
    <w:rsid w:val="79C01C4B"/>
    <w:rsid w:val="7A1C074D"/>
    <w:rsid w:val="7A885114"/>
    <w:rsid w:val="7AFB347F"/>
    <w:rsid w:val="7B5A49B8"/>
    <w:rsid w:val="7B796304"/>
    <w:rsid w:val="7BA619AB"/>
    <w:rsid w:val="7CE840AB"/>
    <w:rsid w:val="7D052701"/>
    <w:rsid w:val="7D2A2E78"/>
    <w:rsid w:val="7D385935"/>
    <w:rsid w:val="7D5F62B6"/>
    <w:rsid w:val="7F3E68CB"/>
    <w:rsid w:val="7FCA4DCD"/>
    <w:rsid w:val="7FE9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qFormat="1" w:uiPriority="99"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next w:val="1"/>
    <w:link w:val="47"/>
    <w:qFormat/>
    <w:uiPriority w:val="9"/>
    <w:pPr>
      <w:keepNext/>
      <w:keepLines/>
      <w:pBdr>
        <w:bottom w:val="single" w:color="DBE5F1" w:sz="8" w:space="0"/>
      </w:pBdr>
      <w:spacing w:after="200" w:line="300" w:lineRule="auto"/>
      <w:outlineLvl w:val="0"/>
    </w:pPr>
    <w:rPr>
      <w:rFonts w:ascii="Cambria" w:hAnsi="Cambria" w:eastAsia="Microsoft YaHei UI" w:cs="Times New Roman"/>
      <w:color w:val="4F81BD"/>
      <w:sz w:val="36"/>
      <w:szCs w:val="36"/>
      <w:lang w:val="en-US" w:eastAsia="ja-JP" w:bidi="ar-SA"/>
    </w:rPr>
  </w:style>
  <w:style w:type="paragraph" w:styleId="4">
    <w:name w:val="heading 2"/>
    <w:next w:val="1"/>
    <w:link w:val="48"/>
    <w:qFormat/>
    <w:uiPriority w:val="9"/>
    <w:pPr>
      <w:keepNext/>
      <w:keepLines/>
      <w:spacing w:before="120" w:after="120"/>
      <w:outlineLvl w:val="1"/>
    </w:pPr>
    <w:rPr>
      <w:rFonts w:ascii="Times New Roman" w:hAnsi="Times New Roman" w:eastAsia="Microsoft YaHei UI" w:cs="Times New Roman"/>
      <w:b/>
      <w:bCs/>
      <w:color w:val="1F497D"/>
      <w:sz w:val="26"/>
      <w:szCs w:val="26"/>
      <w:lang w:val="en-US" w:eastAsia="ja-JP" w:bidi="ar-SA"/>
    </w:rPr>
  </w:style>
  <w:style w:type="paragraph" w:styleId="5">
    <w:name w:val="heading 3"/>
    <w:basedOn w:val="1"/>
    <w:next w:val="1"/>
    <w:link w:val="49"/>
    <w:qFormat/>
    <w:uiPriority w:val="9"/>
    <w:pPr>
      <w:keepNext/>
      <w:keepLines/>
      <w:spacing w:before="260" w:after="260" w:line="416" w:lineRule="auto"/>
      <w:outlineLvl w:val="2"/>
    </w:pPr>
    <w:rPr>
      <w:rFonts w:ascii="Times New Roman" w:hAnsi="Times New Roman" w:eastAsia="仿宋_GB2312"/>
      <w:b/>
      <w:bCs/>
      <w:sz w:val="32"/>
      <w:szCs w:val="32"/>
    </w:rPr>
  </w:style>
  <w:style w:type="paragraph" w:styleId="6">
    <w:name w:val="heading 4"/>
    <w:basedOn w:val="1"/>
    <w:next w:val="1"/>
    <w:link w:val="50"/>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1"/>
    <w:qFormat/>
    <w:uiPriority w:val="0"/>
    <w:pPr>
      <w:keepNext/>
      <w:keepLines/>
      <w:spacing w:before="280" w:after="290" w:line="376" w:lineRule="auto"/>
      <w:outlineLvl w:val="4"/>
    </w:pPr>
    <w:rPr>
      <w:rFonts w:ascii="Times New Roman" w:hAnsi="Times New Roman" w:eastAsia="宋体"/>
      <w:b/>
      <w:bCs/>
      <w:sz w:val="28"/>
      <w:szCs w:val="28"/>
    </w:rPr>
  </w:style>
  <w:style w:type="paragraph" w:styleId="8">
    <w:name w:val="heading 6"/>
    <w:basedOn w:val="1"/>
    <w:next w:val="1"/>
    <w:link w:val="52"/>
    <w:qFormat/>
    <w:uiPriority w:val="0"/>
    <w:pPr>
      <w:keepNext/>
      <w:keepLines/>
      <w:spacing w:before="240" w:after="64" w:line="320" w:lineRule="auto"/>
      <w:outlineLvl w:val="5"/>
    </w:pPr>
    <w:rPr>
      <w:rFonts w:ascii="Arial" w:hAnsi="Arial" w:eastAsia="黑体"/>
      <w:b/>
      <w:bCs/>
      <w:sz w:val="24"/>
      <w:szCs w:val="24"/>
    </w:rPr>
  </w:style>
  <w:style w:type="paragraph" w:styleId="9">
    <w:name w:val="heading 7"/>
    <w:basedOn w:val="1"/>
    <w:next w:val="1"/>
    <w:link w:val="53"/>
    <w:qFormat/>
    <w:uiPriority w:val="0"/>
    <w:pPr>
      <w:keepNext/>
      <w:keepLines/>
      <w:spacing w:before="240" w:after="64" w:line="320" w:lineRule="auto"/>
      <w:outlineLvl w:val="6"/>
    </w:pPr>
    <w:rPr>
      <w:rFonts w:ascii="Times New Roman" w:hAnsi="Times New Roman" w:eastAsia="宋体"/>
      <w:b/>
      <w:bCs/>
      <w:sz w:val="24"/>
      <w:szCs w:val="24"/>
    </w:rPr>
  </w:style>
  <w:style w:type="paragraph" w:styleId="10">
    <w:name w:val="heading 8"/>
    <w:basedOn w:val="1"/>
    <w:next w:val="1"/>
    <w:link w:val="54"/>
    <w:qFormat/>
    <w:uiPriority w:val="0"/>
    <w:pPr>
      <w:keepNext/>
      <w:keepLines/>
      <w:spacing w:before="240" w:after="64" w:line="320" w:lineRule="auto"/>
      <w:outlineLvl w:val="7"/>
    </w:pPr>
    <w:rPr>
      <w:rFonts w:ascii="Arial" w:hAnsi="Arial" w:eastAsia="黑体"/>
      <w:sz w:val="24"/>
      <w:szCs w:val="24"/>
    </w:rPr>
  </w:style>
  <w:style w:type="paragraph" w:styleId="11">
    <w:name w:val="heading 9"/>
    <w:basedOn w:val="1"/>
    <w:next w:val="1"/>
    <w:link w:val="55"/>
    <w:qFormat/>
    <w:uiPriority w:val="0"/>
    <w:pPr>
      <w:keepNext/>
      <w:keepLines/>
      <w:spacing w:before="240" w:after="64" w:line="320" w:lineRule="auto"/>
      <w:outlineLvl w:val="8"/>
    </w:pPr>
    <w:rPr>
      <w:rFonts w:ascii="Arial" w:hAnsi="Arial" w:eastAsia="黑体"/>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rPr>
      <w:rFonts w:ascii="Calibri" w:hAnsi="Calibri" w:eastAsia="宋体"/>
    </w:rPr>
  </w:style>
  <w:style w:type="paragraph" w:styleId="12">
    <w:name w:val="toc 7"/>
    <w:basedOn w:val="1"/>
    <w:next w:val="1"/>
    <w:unhideWhenUsed/>
    <w:qFormat/>
    <w:uiPriority w:val="39"/>
    <w:pPr>
      <w:ind w:left="1260"/>
      <w:jc w:val="left"/>
    </w:pPr>
    <w:rPr>
      <w:rFonts w:asciiTheme="minorHAnsi" w:eastAsiaTheme="minorHAnsi"/>
      <w:sz w:val="18"/>
      <w:szCs w:val="18"/>
    </w:rPr>
  </w:style>
  <w:style w:type="paragraph" w:styleId="13">
    <w:name w:val="Document Map"/>
    <w:basedOn w:val="1"/>
    <w:link w:val="78"/>
    <w:qFormat/>
    <w:uiPriority w:val="0"/>
    <w:pPr>
      <w:shd w:val="clear" w:color="auto" w:fill="000080"/>
    </w:pPr>
    <w:rPr>
      <w:rFonts w:ascii="Times New Roman" w:hAnsi="Times New Roman" w:eastAsia="仿宋_GB2312"/>
      <w:sz w:val="30"/>
      <w:szCs w:val="24"/>
    </w:rPr>
  </w:style>
  <w:style w:type="paragraph" w:styleId="14">
    <w:name w:val="annotation text"/>
    <w:basedOn w:val="1"/>
    <w:link w:val="73"/>
    <w:unhideWhenUsed/>
    <w:qFormat/>
    <w:uiPriority w:val="0"/>
    <w:pPr>
      <w:jc w:val="left"/>
    </w:pPr>
  </w:style>
  <w:style w:type="paragraph" w:styleId="15">
    <w:name w:val="Body Text"/>
    <w:basedOn w:val="1"/>
    <w:link w:val="80"/>
    <w:qFormat/>
    <w:uiPriority w:val="0"/>
    <w:pPr>
      <w:spacing w:after="120"/>
      <w:ind w:left="980" w:hanging="420"/>
    </w:pPr>
    <w:rPr>
      <w:rFonts w:ascii="Calibri" w:hAnsi="Calibri" w:eastAsia="宋体"/>
    </w:rPr>
  </w:style>
  <w:style w:type="paragraph" w:styleId="16">
    <w:name w:val="Body Text Indent"/>
    <w:basedOn w:val="1"/>
    <w:link w:val="61"/>
    <w:qFormat/>
    <w:uiPriority w:val="0"/>
    <w:pPr>
      <w:spacing w:after="120"/>
      <w:ind w:left="420" w:leftChars="200"/>
    </w:pPr>
    <w:rPr>
      <w:rFonts w:ascii="Times New Roman" w:hAnsi="Times New Roman" w:eastAsia="仿宋_GB2312"/>
      <w:sz w:val="30"/>
      <w:szCs w:val="24"/>
    </w:rPr>
  </w:style>
  <w:style w:type="paragraph" w:styleId="17">
    <w:name w:val="index 4"/>
    <w:basedOn w:val="1"/>
    <w:next w:val="1"/>
    <w:qFormat/>
    <w:uiPriority w:val="0"/>
    <w:pPr>
      <w:ind w:left="600" w:leftChars="600"/>
    </w:pPr>
  </w:style>
  <w:style w:type="paragraph" w:styleId="18">
    <w:name w:val="toc 5"/>
    <w:basedOn w:val="1"/>
    <w:next w:val="1"/>
    <w:unhideWhenUsed/>
    <w:qFormat/>
    <w:uiPriority w:val="39"/>
    <w:pPr>
      <w:ind w:left="840"/>
      <w:jc w:val="left"/>
    </w:pPr>
    <w:rPr>
      <w:rFonts w:asciiTheme="minorHAnsi" w:eastAsiaTheme="minorHAnsi"/>
      <w:sz w:val="18"/>
      <w:szCs w:val="18"/>
    </w:rPr>
  </w:style>
  <w:style w:type="paragraph" w:styleId="19">
    <w:name w:val="toc 3"/>
    <w:basedOn w:val="1"/>
    <w:next w:val="1"/>
    <w:unhideWhenUsed/>
    <w:qFormat/>
    <w:uiPriority w:val="39"/>
    <w:pPr>
      <w:ind w:left="420"/>
      <w:jc w:val="left"/>
    </w:pPr>
    <w:rPr>
      <w:rFonts w:asciiTheme="minorHAnsi" w:eastAsiaTheme="minorHAnsi"/>
      <w:i/>
      <w:iCs/>
      <w:sz w:val="20"/>
      <w:szCs w:val="20"/>
    </w:rPr>
  </w:style>
  <w:style w:type="paragraph" w:styleId="20">
    <w:name w:val="Plain Text"/>
    <w:basedOn w:val="1"/>
    <w:next w:val="21"/>
    <w:link w:val="102"/>
    <w:qFormat/>
    <w:uiPriority w:val="0"/>
    <w:rPr>
      <w:rFonts w:ascii="宋体" w:hAnsi="Courier New" w:cs="Courier New" w:eastAsiaTheme="minorEastAsia"/>
    </w:rPr>
  </w:style>
  <w:style w:type="paragraph" w:styleId="21">
    <w:name w:val="index 9"/>
    <w:basedOn w:val="1"/>
    <w:next w:val="1"/>
    <w:semiHidden/>
    <w:unhideWhenUsed/>
    <w:qFormat/>
    <w:uiPriority w:val="99"/>
    <w:pPr>
      <w:ind w:left="1600" w:leftChars="1600"/>
    </w:pPr>
    <w:rPr>
      <w:rFonts w:ascii="Calibri" w:hAnsi="Calibri" w:eastAsia="宋体"/>
    </w:rPr>
  </w:style>
  <w:style w:type="paragraph" w:styleId="22">
    <w:name w:val="toc 8"/>
    <w:basedOn w:val="1"/>
    <w:next w:val="1"/>
    <w:unhideWhenUsed/>
    <w:qFormat/>
    <w:uiPriority w:val="39"/>
    <w:pPr>
      <w:ind w:left="1470"/>
      <w:jc w:val="left"/>
    </w:pPr>
    <w:rPr>
      <w:rFonts w:asciiTheme="minorHAnsi" w:eastAsiaTheme="minorHAnsi"/>
      <w:sz w:val="18"/>
      <w:szCs w:val="18"/>
    </w:rPr>
  </w:style>
  <w:style w:type="paragraph" w:styleId="23">
    <w:name w:val="Date"/>
    <w:basedOn w:val="1"/>
    <w:next w:val="1"/>
    <w:link w:val="104"/>
    <w:semiHidden/>
    <w:unhideWhenUsed/>
    <w:qFormat/>
    <w:uiPriority w:val="99"/>
    <w:pPr>
      <w:ind w:left="100" w:leftChars="2500"/>
    </w:pPr>
    <w:rPr>
      <w:rFonts w:asciiTheme="minorHAnsi" w:hAnsiTheme="minorHAnsi" w:eastAsiaTheme="minorEastAsia" w:cstheme="minorBidi"/>
    </w:rPr>
  </w:style>
  <w:style w:type="paragraph" w:styleId="24">
    <w:name w:val="Body Text Indent 2"/>
    <w:basedOn w:val="1"/>
    <w:link w:val="68"/>
    <w:qFormat/>
    <w:uiPriority w:val="0"/>
    <w:pPr>
      <w:spacing w:after="120" w:line="480" w:lineRule="auto"/>
      <w:ind w:left="420" w:leftChars="200"/>
    </w:pPr>
    <w:rPr>
      <w:rFonts w:ascii="Times New Roman" w:hAnsi="Times New Roman" w:eastAsia="宋体"/>
      <w:szCs w:val="24"/>
    </w:rPr>
  </w:style>
  <w:style w:type="paragraph" w:styleId="25">
    <w:name w:val="Balloon Text"/>
    <w:basedOn w:val="1"/>
    <w:link w:val="70"/>
    <w:qFormat/>
    <w:uiPriority w:val="99"/>
    <w:rPr>
      <w:rFonts w:ascii="Times New Roman" w:hAnsi="Times New Roman" w:eastAsia="仿宋_GB2312"/>
      <w:sz w:val="18"/>
      <w:szCs w:val="18"/>
    </w:rPr>
  </w:style>
  <w:style w:type="paragraph" w:styleId="26">
    <w:name w:val="footer"/>
    <w:basedOn w:val="1"/>
    <w:link w:val="57"/>
    <w:unhideWhenUsed/>
    <w:qFormat/>
    <w:uiPriority w:val="99"/>
    <w:pPr>
      <w:tabs>
        <w:tab w:val="center" w:pos="4153"/>
        <w:tab w:val="right" w:pos="8306"/>
      </w:tabs>
      <w:snapToGrid w:val="0"/>
      <w:jc w:val="left"/>
    </w:pPr>
    <w:rPr>
      <w:sz w:val="18"/>
      <w:szCs w:val="18"/>
    </w:rPr>
  </w:style>
  <w:style w:type="paragraph" w:styleId="27">
    <w:name w:val="header"/>
    <w:basedOn w:val="1"/>
    <w:link w:val="56"/>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29">
    <w:name w:val="toc 4"/>
    <w:basedOn w:val="1"/>
    <w:next w:val="1"/>
    <w:unhideWhenUsed/>
    <w:qFormat/>
    <w:uiPriority w:val="39"/>
    <w:pPr>
      <w:ind w:left="630"/>
      <w:jc w:val="left"/>
    </w:pPr>
    <w:rPr>
      <w:rFonts w:asciiTheme="minorHAnsi" w:eastAsiaTheme="minorHAnsi"/>
      <w:sz w:val="18"/>
      <w:szCs w:val="18"/>
    </w:rPr>
  </w:style>
  <w:style w:type="paragraph" w:styleId="30">
    <w:name w:val="Subtitle"/>
    <w:basedOn w:val="1"/>
    <w:link w:val="91"/>
    <w:qFormat/>
    <w:uiPriority w:val="0"/>
    <w:pPr>
      <w:adjustRightInd w:val="0"/>
      <w:spacing w:line="578" w:lineRule="atLeast"/>
      <w:jc w:val="center"/>
      <w:textAlignment w:val="baseline"/>
    </w:pPr>
    <w:rPr>
      <w:rFonts w:ascii="Arial" w:hAnsi="Arial" w:eastAsia="宋体"/>
      <w:b/>
      <w:color w:val="000000"/>
      <w:kern w:val="0"/>
      <w:sz w:val="44"/>
      <w:szCs w:val="20"/>
    </w:rPr>
  </w:style>
  <w:style w:type="paragraph" w:styleId="31">
    <w:name w:val="footnote text"/>
    <w:basedOn w:val="1"/>
    <w:link w:val="60"/>
    <w:qFormat/>
    <w:uiPriority w:val="0"/>
    <w:pPr>
      <w:snapToGrid w:val="0"/>
      <w:jc w:val="left"/>
    </w:pPr>
    <w:rPr>
      <w:rFonts w:ascii="Times New Roman" w:hAnsi="Times New Roman" w:eastAsia="宋体"/>
      <w:sz w:val="18"/>
      <w:szCs w:val="18"/>
    </w:rPr>
  </w:style>
  <w:style w:type="paragraph" w:styleId="32">
    <w:name w:val="toc 6"/>
    <w:basedOn w:val="1"/>
    <w:next w:val="1"/>
    <w:unhideWhenUsed/>
    <w:qFormat/>
    <w:uiPriority w:val="39"/>
    <w:pPr>
      <w:ind w:left="1050"/>
      <w:jc w:val="left"/>
    </w:pPr>
    <w:rPr>
      <w:rFonts w:asciiTheme="minorHAnsi" w:eastAsiaTheme="minorHAnsi"/>
      <w:sz w:val="18"/>
      <w:szCs w:val="18"/>
    </w:rPr>
  </w:style>
  <w:style w:type="paragraph" w:styleId="33">
    <w:name w:val="Body Text Indent 3"/>
    <w:basedOn w:val="1"/>
    <w:link w:val="75"/>
    <w:qFormat/>
    <w:uiPriority w:val="0"/>
    <w:pPr>
      <w:spacing w:after="120"/>
      <w:ind w:left="420" w:leftChars="200"/>
    </w:pPr>
    <w:rPr>
      <w:rFonts w:ascii="Times New Roman" w:hAnsi="Times New Roman" w:eastAsia="仿宋_GB2312"/>
      <w:sz w:val="16"/>
      <w:szCs w:val="16"/>
    </w:rPr>
  </w:style>
  <w:style w:type="paragraph" w:styleId="34">
    <w:name w:val="toc 2"/>
    <w:basedOn w:val="1"/>
    <w:next w:val="1"/>
    <w:qFormat/>
    <w:uiPriority w:val="39"/>
    <w:pPr>
      <w:ind w:left="210"/>
      <w:jc w:val="left"/>
    </w:pPr>
    <w:rPr>
      <w:rFonts w:asciiTheme="minorHAnsi" w:eastAsiaTheme="minorHAnsi"/>
      <w:smallCaps/>
      <w:sz w:val="20"/>
      <w:szCs w:val="20"/>
    </w:rPr>
  </w:style>
  <w:style w:type="paragraph" w:styleId="35">
    <w:name w:val="toc 9"/>
    <w:basedOn w:val="1"/>
    <w:next w:val="1"/>
    <w:unhideWhenUsed/>
    <w:qFormat/>
    <w:uiPriority w:val="39"/>
    <w:pPr>
      <w:ind w:left="1680"/>
      <w:jc w:val="left"/>
    </w:pPr>
    <w:rPr>
      <w:rFonts w:asciiTheme="minorHAnsi" w:eastAsiaTheme="minorHAnsi"/>
      <w:sz w:val="18"/>
      <w:szCs w:val="18"/>
    </w:rPr>
  </w:style>
  <w:style w:type="paragraph" w:styleId="3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37">
    <w:name w:val="Normal (Web)"/>
    <w:basedOn w:val="1"/>
    <w:qFormat/>
    <w:uiPriority w:val="99"/>
    <w:pPr>
      <w:widowControl/>
      <w:spacing w:before="100" w:beforeAutospacing="1" w:after="100" w:afterAutospacing="1"/>
      <w:jc w:val="left"/>
    </w:pPr>
    <w:rPr>
      <w:rFonts w:hint="eastAsia" w:ascii="Arial Unicode MS" w:hAnsi="Arial Unicode MS" w:eastAsia="Arial Unicode MS" w:cs="Arial Unicode MS"/>
      <w:color w:val="000000"/>
      <w:kern w:val="0"/>
      <w:sz w:val="24"/>
      <w:szCs w:val="24"/>
    </w:rPr>
  </w:style>
  <w:style w:type="paragraph" w:styleId="38">
    <w:name w:val="annotation subject"/>
    <w:basedOn w:val="14"/>
    <w:next w:val="14"/>
    <w:link w:val="72"/>
    <w:qFormat/>
    <w:uiPriority w:val="99"/>
    <w:rPr>
      <w:rFonts w:ascii="Times New Roman" w:hAnsi="Times New Roman" w:eastAsia="仿宋_GB2312"/>
      <w:b/>
      <w:bCs/>
      <w:sz w:val="30"/>
      <w:szCs w:val="24"/>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basedOn w:val="41"/>
    <w:qFormat/>
    <w:uiPriority w:val="22"/>
    <w:rPr>
      <w:b/>
      <w:bCs/>
    </w:rPr>
  </w:style>
  <w:style w:type="character" w:styleId="43">
    <w:name w:val="FollowedHyperlink"/>
    <w:unhideWhenUsed/>
    <w:qFormat/>
    <w:uiPriority w:val="99"/>
    <w:rPr>
      <w:color w:val="800080"/>
      <w:u w:val="single"/>
    </w:rPr>
  </w:style>
  <w:style w:type="character" w:styleId="44">
    <w:name w:val="Hyperlink"/>
    <w:qFormat/>
    <w:uiPriority w:val="99"/>
    <w:rPr>
      <w:color w:val="0000FF"/>
      <w:u w:val="single"/>
    </w:rPr>
  </w:style>
  <w:style w:type="character" w:styleId="45">
    <w:name w:val="annotation reference"/>
    <w:qFormat/>
    <w:uiPriority w:val="99"/>
    <w:rPr>
      <w:sz w:val="21"/>
      <w:szCs w:val="21"/>
    </w:rPr>
  </w:style>
  <w:style w:type="character" w:styleId="46">
    <w:name w:val="footnote reference"/>
    <w:qFormat/>
    <w:uiPriority w:val="0"/>
    <w:rPr>
      <w:vertAlign w:val="superscript"/>
    </w:rPr>
  </w:style>
  <w:style w:type="character" w:customStyle="1" w:styleId="47">
    <w:name w:val="标题 1 字符"/>
    <w:basedOn w:val="41"/>
    <w:link w:val="3"/>
    <w:qFormat/>
    <w:uiPriority w:val="9"/>
    <w:rPr>
      <w:rFonts w:ascii="Cambria" w:hAnsi="Cambria" w:eastAsia="Microsoft YaHei UI" w:cs="Times New Roman"/>
      <w:color w:val="4F81BD"/>
      <w:kern w:val="0"/>
      <w:sz w:val="36"/>
      <w:szCs w:val="36"/>
      <w:lang w:eastAsia="ja-JP"/>
    </w:rPr>
  </w:style>
  <w:style w:type="character" w:customStyle="1" w:styleId="48">
    <w:name w:val="标题 2 字符"/>
    <w:basedOn w:val="41"/>
    <w:link w:val="4"/>
    <w:qFormat/>
    <w:uiPriority w:val="9"/>
    <w:rPr>
      <w:rFonts w:ascii="Times New Roman" w:hAnsi="Times New Roman" w:eastAsia="Microsoft YaHei UI" w:cs="Times New Roman"/>
      <w:b/>
      <w:bCs/>
      <w:color w:val="1F497D"/>
      <w:kern w:val="0"/>
      <w:sz w:val="26"/>
      <w:szCs w:val="26"/>
      <w:lang w:eastAsia="ja-JP"/>
    </w:rPr>
  </w:style>
  <w:style w:type="character" w:customStyle="1" w:styleId="49">
    <w:name w:val="标题 3 字符"/>
    <w:basedOn w:val="41"/>
    <w:link w:val="5"/>
    <w:qFormat/>
    <w:uiPriority w:val="9"/>
    <w:rPr>
      <w:rFonts w:ascii="Times New Roman" w:hAnsi="Times New Roman" w:eastAsia="仿宋_GB2312" w:cs="Times New Roman"/>
      <w:b/>
      <w:bCs/>
      <w:sz w:val="32"/>
      <w:szCs w:val="32"/>
    </w:rPr>
  </w:style>
  <w:style w:type="character" w:customStyle="1" w:styleId="50">
    <w:name w:val="标题 4 字符"/>
    <w:basedOn w:val="41"/>
    <w:link w:val="6"/>
    <w:qFormat/>
    <w:uiPriority w:val="0"/>
    <w:rPr>
      <w:rFonts w:ascii="Arial" w:hAnsi="Arial" w:eastAsia="黑体" w:cs="Times New Roman"/>
      <w:b/>
      <w:bCs/>
      <w:sz w:val="28"/>
      <w:szCs w:val="28"/>
    </w:rPr>
  </w:style>
  <w:style w:type="character" w:customStyle="1" w:styleId="51">
    <w:name w:val="标题 5 字符"/>
    <w:basedOn w:val="41"/>
    <w:link w:val="7"/>
    <w:qFormat/>
    <w:uiPriority w:val="0"/>
    <w:rPr>
      <w:rFonts w:ascii="Times New Roman" w:hAnsi="Times New Roman" w:eastAsia="宋体" w:cs="Times New Roman"/>
      <w:b/>
      <w:bCs/>
      <w:sz w:val="28"/>
      <w:szCs w:val="28"/>
    </w:rPr>
  </w:style>
  <w:style w:type="character" w:customStyle="1" w:styleId="52">
    <w:name w:val="标题 6 字符"/>
    <w:basedOn w:val="41"/>
    <w:link w:val="8"/>
    <w:qFormat/>
    <w:uiPriority w:val="0"/>
    <w:rPr>
      <w:rFonts w:ascii="Arial" w:hAnsi="Arial" w:eastAsia="黑体" w:cs="Times New Roman"/>
      <w:b/>
      <w:bCs/>
      <w:sz w:val="24"/>
      <w:szCs w:val="24"/>
    </w:rPr>
  </w:style>
  <w:style w:type="character" w:customStyle="1" w:styleId="53">
    <w:name w:val="标题 7 字符"/>
    <w:basedOn w:val="41"/>
    <w:link w:val="9"/>
    <w:qFormat/>
    <w:uiPriority w:val="0"/>
    <w:rPr>
      <w:rFonts w:ascii="Times New Roman" w:hAnsi="Times New Roman" w:eastAsia="宋体" w:cs="Times New Roman"/>
      <w:b/>
      <w:bCs/>
      <w:sz w:val="24"/>
      <w:szCs w:val="24"/>
    </w:rPr>
  </w:style>
  <w:style w:type="character" w:customStyle="1" w:styleId="54">
    <w:name w:val="标题 8 字符"/>
    <w:basedOn w:val="41"/>
    <w:link w:val="10"/>
    <w:qFormat/>
    <w:uiPriority w:val="0"/>
    <w:rPr>
      <w:rFonts w:ascii="Arial" w:hAnsi="Arial" w:eastAsia="黑体" w:cs="Times New Roman"/>
      <w:sz w:val="24"/>
      <w:szCs w:val="24"/>
    </w:rPr>
  </w:style>
  <w:style w:type="character" w:customStyle="1" w:styleId="55">
    <w:name w:val="标题 9 字符"/>
    <w:basedOn w:val="41"/>
    <w:link w:val="11"/>
    <w:qFormat/>
    <w:uiPriority w:val="0"/>
    <w:rPr>
      <w:rFonts w:ascii="Arial" w:hAnsi="Arial" w:eastAsia="黑体" w:cs="Times New Roman"/>
      <w:szCs w:val="21"/>
    </w:rPr>
  </w:style>
  <w:style w:type="character" w:customStyle="1" w:styleId="56">
    <w:name w:val="页眉 字符"/>
    <w:basedOn w:val="41"/>
    <w:link w:val="27"/>
    <w:qFormat/>
    <w:uiPriority w:val="99"/>
    <w:rPr>
      <w:sz w:val="18"/>
      <w:szCs w:val="18"/>
    </w:rPr>
  </w:style>
  <w:style w:type="character" w:customStyle="1" w:styleId="57">
    <w:name w:val="页脚 字符"/>
    <w:basedOn w:val="41"/>
    <w:link w:val="26"/>
    <w:qFormat/>
    <w:uiPriority w:val="99"/>
    <w:rPr>
      <w:sz w:val="18"/>
      <w:szCs w:val="18"/>
    </w:rPr>
  </w:style>
  <w:style w:type="paragraph" w:customStyle="1" w:styleId="58">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59">
    <w:name w:val="p0"/>
    <w:basedOn w:val="1"/>
    <w:qFormat/>
    <w:uiPriority w:val="0"/>
    <w:pPr>
      <w:widowControl/>
      <w:overflowPunct w:val="0"/>
      <w:autoSpaceDE w:val="0"/>
      <w:autoSpaceDN w:val="0"/>
    </w:pPr>
    <w:rPr>
      <w:rFonts w:ascii="Calibri" w:hAnsi="Calibri" w:eastAsia="宋体"/>
      <w:kern w:val="0"/>
      <w:szCs w:val="21"/>
    </w:rPr>
  </w:style>
  <w:style w:type="character" w:customStyle="1" w:styleId="60">
    <w:name w:val="脚注文本 字符"/>
    <w:basedOn w:val="41"/>
    <w:link w:val="31"/>
    <w:qFormat/>
    <w:uiPriority w:val="0"/>
    <w:rPr>
      <w:rFonts w:ascii="Times New Roman" w:hAnsi="Times New Roman" w:eastAsia="宋体" w:cs="Times New Roman"/>
      <w:sz w:val="18"/>
      <w:szCs w:val="18"/>
    </w:rPr>
  </w:style>
  <w:style w:type="character" w:customStyle="1" w:styleId="61">
    <w:name w:val="正文文本缩进 字符"/>
    <w:link w:val="16"/>
    <w:qFormat/>
    <w:uiPriority w:val="0"/>
    <w:rPr>
      <w:rFonts w:ascii="Times New Roman" w:hAnsi="Times New Roman" w:eastAsia="仿宋_GB2312" w:cs="Times New Roman"/>
      <w:sz w:val="30"/>
      <w:szCs w:val="24"/>
    </w:rPr>
  </w:style>
  <w:style w:type="character" w:customStyle="1" w:styleId="62">
    <w:name w:val="正文文本缩进 字符1"/>
    <w:basedOn w:val="41"/>
    <w:semiHidden/>
    <w:qFormat/>
    <w:uiPriority w:val="99"/>
    <w:rPr>
      <w:rFonts w:ascii="等线" w:hAnsi="等线" w:eastAsia="等线" w:cs="Times New Roman"/>
    </w:rPr>
  </w:style>
  <w:style w:type="character" w:customStyle="1" w:styleId="63">
    <w:name w:val="font21"/>
    <w:qFormat/>
    <w:uiPriority w:val="0"/>
    <w:rPr>
      <w:rFonts w:hint="default" w:ascii="Times New Roman" w:hAnsi="Times New Roman" w:cs="Times New Roman"/>
      <w:color w:val="000000"/>
      <w:sz w:val="20"/>
      <w:szCs w:val="20"/>
      <w:u w:val="none"/>
    </w:rPr>
  </w:style>
  <w:style w:type="character" w:customStyle="1" w:styleId="64">
    <w:name w:val="font01"/>
    <w:qFormat/>
    <w:uiPriority w:val="0"/>
    <w:rPr>
      <w:rFonts w:hint="default" w:ascii="仿宋_GB2312" w:eastAsia="仿宋_GB2312" w:cs="仿宋_GB2312"/>
      <w:color w:val="000000"/>
      <w:sz w:val="20"/>
      <w:szCs w:val="20"/>
      <w:u w:val="none"/>
    </w:rPr>
  </w:style>
  <w:style w:type="character" w:customStyle="1" w:styleId="65">
    <w:name w:val="font11"/>
    <w:qFormat/>
    <w:uiPriority w:val="0"/>
    <w:rPr>
      <w:rFonts w:ascii="仿宋_GB2312" w:eastAsia="仿宋_GB2312" w:cs="仿宋_GB2312"/>
      <w:color w:val="000000"/>
      <w:sz w:val="20"/>
      <w:szCs w:val="20"/>
      <w:u w:val="none"/>
    </w:rPr>
  </w:style>
  <w:style w:type="character" w:customStyle="1" w:styleId="66">
    <w:name w:val="font51"/>
    <w:qFormat/>
    <w:uiPriority w:val="0"/>
    <w:rPr>
      <w:rFonts w:ascii="Calibri" w:hAnsi="Calibri" w:cs="Calibri"/>
      <w:color w:val="000000"/>
      <w:sz w:val="20"/>
      <w:szCs w:val="20"/>
      <w:u w:val="none"/>
    </w:rPr>
  </w:style>
  <w:style w:type="character" w:customStyle="1" w:styleId="67">
    <w:name w:val="脚注文本 Char1"/>
    <w:qFormat/>
    <w:uiPriority w:val="0"/>
    <w:rPr>
      <w:rFonts w:ascii="Times New Roman" w:hAnsi="Times New Roman" w:eastAsia="仿宋_GB2312" w:cs="Times New Roman"/>
      <w:sz w:val="18"/>
      <w:szCs w:val="18"/>
    </w:rPr>
  </w:style>
  <w:style w:type="character" w:customStyle="1" w:styleId="68">
    <w:name w:val="正文文本缩进 2 字符"/>
    <w:link w:val="24"/>
    <w:qFormat/>
    <w:uiPriority w:val="0"/>
    <w:rPr>
      <w:rFonts w:ascii="Times New Roman" w:hAnsi="Times New Roman" w:eastAsia="宋体" w:cs="Times New Roman"/>
      <w:szCs w:val="24"/>
    </w:rPr>
  </w:style>
  <w:style w:type="character" w:customStyle="1" w:styleId="69">
    <w:name w:val="正文文本缩进 2 字符1"/>
    <w:basedOn w:val="41"/>
    <w:semiHidden/>
    <w:qFormat/>
    <w:uiPriority w:val="99"/>
    <w:rPr>
      <w:rFonts w:ascii="等线" w:hAnsi="等线" w:eastAsia="等线" w:cs="Times New Roman"/>
    </w:rPr>
  </w:style>
  <w:style w:type="character" w:customStyle="1" w:styleId="70">
    <w:name w:val="批注框文本 字符"/>
    <w:link w:val="25"/>
    <w:qFormat/>
    <w:uiPriority w:val="99"/>
    <w:rPr>
      <w:rFonts w:ascii="Times New Roman" w:hAnsi="Times New Roman" w:eastAsia="仿宋_GB2312" w:cs="Times New Roman"/>
      <w:sz w:val="18"/>
      <w:szCs w:val="18"/>
    </w:rPr>
  </w:style>
  <w:style w:type="character" w:customStyle="1" w:styleId="71">
    <w:name w:val="批注框文本 字符1"/>
    <w:basedOn w:val="41"/>
    <w:semiHidden/>
    <w:qFormat/>
    <w:uiPriority w:val="99"/>
    <w:rPr>
      <w:rFonts w:ascii="等线" w:hAnsi="等线" w:eastAsia="等线" w:cs="Times New Roman"/>
      <w:sz w:val="18"/>
      <w:szCs w:val="18"/>
    </w:rPr>
  </w:style>
  <w:style w:type="character" w:customStyle="1" w:styleId="72">
    <w:name w:val="批注主题 字符"/>
    <w:link w:val="38"/>
    <w:qFormat/>
    <w:uiPriority w:val="99"/>
    <w:rPr>
      <w:rFonts w:ascii="Times New Roman" w:hAnsi="Times New Roman" w:eastAsia="仿宋_GB2312" w:cs="Times New Roman"/>
      <w:b/>
      <w:bCs/>
      <w:sz w:val="30"/>
      <w:szCs w:val="24"/>
    </w:rPr>
  </w:style>
  <w:style w:type="character" w:customStyle="1" w:styleId="73">
    <w:name w:val="批注文字 字符"/>
    <w:basedOn w:val="41"/>
    <w:link w:val="14"/>
    <w:qFormat/>
    <w:uiPriority w:val="0"/>
    <w:rPr>
      <w:rFonts w:ascii="等线" w:hAnsi="等线" w:eastAsia="等线" w:cs="Times New Roman"/>
    </w:rPr>
  </w:style>
  <w:style w:type="character" w:customStyle="1" w:styleId="74">
    <w:name w:val="批注主题 字符1"/>
    <w:basedOn w:val="73"/>
    <w:semiHidden/>
    <w:qFormat/>
    <w:uiPriority w:val="99"/>
    <w:rPr>
      <w:rFonts w:ascii="等线" w:hAnsi="等线" w:eastAsia="等线" w:cs="Times New Roman"/>
      <w:b/>
      <w:bCs/>
    </w:rPr>
  </w:style>
  <w:style w:type="character" w:customStyle="1" w:styleId="75">
    <w:name w:val="正文文本缩进 3 字符"/>
    <w:link w:val="33"/>
    <w:qFormat/>
    <w:uiPriority w:val="0"/>
    <w:rPr>
      <w:rFonts w:ascii="Times New Roman" w:hAnsi="Times New Roman" w:eastAsia="仿宋_GB2312" w:cs="Times New Roman"/>
      <w:sz w:val="16"/>
      <w:szCs w:val="16"/>
    </w:rPr>
  </w:style>
  <w:style w:type="character" w:customStyle="1" w:styleId="76">
    <w:name w:val="正文文本缩进 3 字符1"/>
    <w:basedOn w:val="41"/>
    <w:semiHidden/>
    <w:qFormat/>
    <w:uiPriority w:val="99"/>
    <w:rPr>
      <w:rFonts w:ascii="等线" w:hAnsi="等线" w:eastAsia="等线" w:cs="Times New Roman"/>
      <w:sz w:val="16"/>
      <w:szCs w:val="16"/>
    </w:rPr>
  </w:style>
  <w:style w:type="character" w:customStyle="1" w:styleId="77">
    <w:name w:val="font41"/>
    <w:qFormat/>
    <w:uiPriority w:val="0"/>
    <w:rPr>
      <w:rFonts w:hint="default" w:ascii="Times New Roman" w:hAnsi="Times New Roman" w:cs="Times New Roman"/>
      <w:color w:val="000000"/>
      <w:sz w:val="20"/>
      <w:szCs w:val="20"/>
      <w:u w:val="none"/>
    </w:rPr>
  </w:style>
  <w:style w:type="character" w:customStyle="1" w:styleId="78">
    <w:name w:val="文档结构图 字符"/>
    <w:link w:val="13"/>
    <w:qFormat/>
    <w:uiPriority w:val="0"/>
    <w:rPr>
      <w:rFonts w:ascii="Times New Roman" w:hAnsi="Times New Roman" w:eastAsia="仿宋_GB2312" w:cs="Times New Roman"/>
      <w:sz w:val="30"/>
      <w:szCs w:val="24"/>
      <w:shd w:val="clear" w:color="auto" w:fill="000080"/>
    </w:rPr>
  </w:style>
  <w:style w:type="character" w:customStyle="1" w:styleId="79">
    <w:name w:val="文档结构图 字符1"/>
    <w:basedOn w:val="41"/>
    <w:semiHidden/>
    <w:qFormat/>
    <w:uiPriority w:val="99"/>
    <w:rPr>
      <w:rFonts w:ascii="Microsoft YaHei UI" w:hAnsi="等线" w:eastAsia="Microsoft YaHei UI" w:cs="Times New Roman"/>
      <w:sz w:val="18"/>
      <w:szCs w:val="18"/>
    </w:rPr>
  </w:style>
  <w:style w:type="character" w:customStyle="1" w:styleId="80">
    <w:name w:val="正文文本 字符"/>
    <w:link w:val="15"/>
    <w:qFormat/>
    <w:uiPriority w:val="0"/>
    <w:rPr>
      <w:rFonts w:ascii="Calibri" w:hAnsi="Calibri" w:eastAsia="宋体" w:cs="Times New Roman"/>
    </w:rPr>
  </w:style>
  <w:style w:type="character" w:customStyle="1" w:styleId="81">
    <w:name w:val="正文文本 字符1"/>
    <w:basedOn w:val="41"/>
    <w:semiHidden/>
    <w:qFormat/>
    <w:uiPriority w:val="99"/>
    <w:rPr>
      <w:rFonts w:ascii="等线" w:hAnsi="等线" w:eastAsia="等线" w:cs="Times New Roman"/>
    </w:rPr>
  </w:style>
  <w:style w:type="character" w:customStyle="1" w:styleId="82">
    <w:name w:val="font31"/>
    <w:qFormat/>
    <w:uiPriority w:val="0"/>
    <w:rPr>
      <w:rFonts w:hint="default" w:ascii="Times New Roman" w:hAnsi="Times New Roman" w:cs="Times New Roman"/>
      <w:color w:val="000000"/>
      <w:sz w:val="20"/>
      <w:szCs w:val="20"/>
      <w:u w:val="none"/>
    </w:rPr>
  </w:style>
  <w:style w:type="paragraph" w:customStyle="1" w:styleId="83">
    <w:name w:val="Char Char Char1 Char Char Char Char"/>
    <w:basedOn w:val="1"/>
    <w:qFormat/>
    <w:uiPriority w:val="0"/>
    <w:rPr>
      <w:rFonts w:ascii="Tahoma" w:hAnsi="Tahoma" w:eastAsia="宋体"/>
      <w:sz w:val="24"/>
      <w:szCs w:val="20"/>
    </w:rPr>
  </w:style>
  <w:style w:type="paragraph" w:customStyle="1" w:styleId="84">
    <w:name w:val="Char Char Char Char Char Char Char Char Char Char Char Char"/>
    <w:basedOn w:val="1"/>
    <w:qFormat/>
    <w:uiPriority w:val="0"/>
    <w:rPr>
      <w:rFonts w:ascii="宋体" w:hAnsi="宋体" w:eastAsia="宋体" w:cs="Courier New"/>
      <w:sz w:val="32"/>
      <w:szCs w:val="32"/>
    </w:rPr>
  </w:style>
  <w:style w:type="paragraph" w:customStyle="1" w:styleId="85">
    <w:name w:val="Char1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86">
    <w:name w:val="List Paragraph"/>
    <w:basedOn w:val="1"/>
    <w:qFormat/>
    <w:uiPriority w:val="34"/>
    <w:pPr>
      <w:ind w:firstLine="420" w:firstLineChars="200"/>
    </w:pPr>
    <w:rPr>
      <w:rFonts w:ascii="Times New Roman" w:hAnsi="Times New Roman" w:eastAsia="仿宋_GB2312"/>
      <w:sz w:val="30"/>
      <w:szCs w:val="24"/>
    </w:rPr>
  </w:style>
  <w:style w:type="paragraph" w:customStyle="1" w:styleId="87">
    <w:name w:val="Char Char Char Char"/>
    <w:basedOn w:val="1"/>
    <w:qFormat/>
    <w:uiPriority w:val="0"/>
    <w:pPr>
      <w:tabs>
        <w:tab w:val="left" w:pos="3750"/>
      </w:tabs>
      <w:ind w:left="3750" w:hanging="2250"/>
    </w:pPr>
    <w:rPr>
      <w:rFonts w:ascii="Times New Roman" w:hAnsi="Times New Roman" w:eastAsia="宋体"/>
      <w:sz w:val="24"/>
      <w:szCs w:val="24"/>
    </w:rPr>
  </w:style>
  <w:style w:type="paragraph" w:customStyle="1" w:styleId="8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9">
    <w:name w:val="Char1"/>
    <w:basedOn w:val="1"/>
    <w:qFormat/>
    <w:uiPriority w:val="0"/>
    <w:rPr>
      <w:rFonts w:ascii="宋体" w:hAnsi="宋体" w:eastAsia="宋体" w:cs="Courier New"/>
      <w:sz w:val="32"/>
      <w:szCs w:val="32"/>
    </w:rPr>
  </w:style>
  <w:style w:type="paragraph" w:customStyle="1" w:styleId="90">
    <w:name w:val="Char1 Char Char Char"/>
    <w:basedOn w:val="1"/>
    <w:qFormat/>
    <w:uiPriority w:val="0"/>
    <w:pPr>
      <w:widowControl/>
      <w:spacing w:after="160" w:line="240" w:lineRule="exact"/>
      <w:jc w:val="left"/>
    </w:pPr>
    <w:rPr>
      <w:rFonts w:ascii="Verdana" w:hAnsi="Verdana" w:eastAsia="仿宋_GB2312"/>
      <w:kern w:val="0"/>
      <w:sz w:val="30"/>
      <w:szCs w:val="30"/>
      <w:lang w:eastAsia="en-US"/>
    </w:rPr>
  </w:style>
  <w:style w:type="character" w:customStyle="1" w:styleId="91">
    <w:name w:val="副标题 字符"/>
    <w:basedOn w:val="41"/>
    <w:link w:val="30"/>
    <w:qFormat/>
    <w:uiPriority w:val="0"/>
    <w:rPr>
      <w:rFonts w:ascii="Arial" w:hAnsi="Arial" w:eastAsia="宋体" w:cs="Times New Roman"/>
      <w:b/>
      <w:color w:val="000000"/>
      <w:kern w:val="0"/>
      <w:sz w:val="44"/>
      <w:szCs w:val="20"/>
    </w:rPr>
  </w:style>
  <w:style w:type="paragraph" w:customStyle="1" w:styleId="92">
    <w:name w:val="目录 31"/>
    <w:basedOn w:val="1"/>
    <w:next w:val="1"/>
    <w:unhideWhenUsed/>
    <w:qFormat/>
    <w:uiPriority w:val="39"/>
    <w:pPr>
      <w:ind w:left="840" w:leftChars="400"/>
    </w:pPr>
    <w:rPr>
      <w:rFonts w:ascii="Calibri" w:hAnsi="Calibri" w:eastAsia="宋体"/>
    </w:rPr>
  </w:style>
  <w:style w:type="character" w:customStyle="1" w:styleId="93">
    <w:name w:val="页脚 字符1"/>
    <w:qFormat/>
    <w:uiPriority w:val="99"/>
    <w:rPr>
      <w:sz w:val="18"/>
      <w:szCs w:val="18"/>
    </w:rPr>
  </w:style>
  <w:style w:type="paragraph" w:customStyle="1" w:styleId="94">
    <w:name w:val="目录 11"/>
    <w:basedOn w:val="1"/>
    <w:next w:val="1"/>
    <w:unhideWhenUsed/>
    <w:qFormat/>
    <w:uiPriority w:val="39"/>
    <w:rPr>
      <w:rFonts w:ascii="Calibri" w:hAnsi="Calibri" w:eastAsia="宋体"/>
    </w:rPr>
  </w:style>
  <w:style w:type="paragraph" w:customStyle="1" w:styleId="95">
    <w:name w:val="目录 21"/>
    <w:basedOn w:val="1"/>
    <w:next w:val="1"/>
    <w:unhideWhenUsed/>
    <w:qFormat/>
    <w:uiPriority w:val="39"/>
    <w:pPr>
      <w:ind w:left="420" w:leftChars="200"/>
    </w:pPr>
    <w:rPr>
      <w:rFonts w:ascii="Calibri" w:hAnsi="Calibri" w:eastAsia="宋体"/>
    </w:rPr>
  </w:style>
  <w:style w:type="paragraph" w:customStyle="1" w:styleId="96">
    <w:name w:val="标题3"/>
    <w:basedOn w:val="1"/>
    <w:link w:val="97"/>
    <w:qFormat/>
    <w:uiPriority w:val="0"/>
    <w:pPr>
      <w:autoSpaceDE w:val="0"/>
      <w:autoSpaceDN w:val="0"/>
      <w:adjustRightInd w:val="0"/>
      <w:snapToGrid w:val="0"/>
      <w:spacing w:line="600" w:lineRule="exact"/>
      <w:ind w:firstLine="626" w:firstLineChars="200"/>
      <w:jc w:val="left"/>
    </w:pPr>
    <w:rPr>
      <w:rFonts w:ascii="宋体" w:hAnsi="宋体" w:eastAsia="宋体"/>
      <w:b/>
      <w:spacing w:val="6"/>
      <w:kern w:val="0"/>
      <w:sz w:val="30"/>
      <w:szCs w:val="20"/>
    </w:rPr>
  </w:style>
  <w:style w:type="character" w:customStyle="1" w:styleId="97">
    <w:name w:val="标题3 Char"/>
    <w:link w:val="96"/>
    <w:qFormat/>
    <w:locked/>
    <w:uiPriority w:val="0"/>
    <w:rPr>
      <w:rFonts w:ascii="宋体" w:hAnsi="宋体" w:eastAsia="宋体" w:cs="Times New Roman"/>
      <w:b/>
      <w:spacing w:val="6"/>
      <w:kern w:val="0"/>
      <w:sz w:val="30"/>
      <w:szCs w:val="20"/>
    </w:rPr>
  </w:style>
  <w:style w:type="paragraph" w:customStyle="1" w:styleId="98">
    <w:name w:val="正文1"/>
    <w:basedOn w:val="1"/>
    <w:link w:val="99"/>
    <w:qFormat/>
    <w:uiPriority w:val="0"/>
    <w:pPr>
      <w:autoSpaceDE w:val="0"/>
      <w:autoSpaceDN w:val="0"/>
      <w:adjustRightInd w:val="0"/>
      <w:snapToGrid w:val="0"/>
      <w:spacing w:line="600" w:lineRule="exact"/>
      <w:ind w:firstLine="624" w:firstLineChars="200"/>
    </w:pPr>
    <w:rPr>
      <w:rFonts w:ascii="宋体" w:hAnsi="宋体" w:eastAsia="仿宋_GB2312"/>
      <w:spacing w:val="6"/>
      <w:kern w:val="0"/>
      <w:sz w:val="24"/>
      <w:szCs w:val="20"/>
    </w:rPr>
  </w:style>
  <w:style w:type="character" w:customStyle="1" w:styleId="99">
    <w:name w:val="正文1 Char"/>
    <w:link w:val="98"/>
    <w:qFormat/>
    <w:locked/>
    <w:uiPriority w:val="0"/>
    <w:rPr>
      <w:rFonts w:ascii="宋体" w:hAnsi="宋体" w:eastAsia="仿宋_GB2312" w:cs="Times New Roman"/>
      <w:spacing w:val="6"/>
      <w:kern w:val="0"/>
      <w:sz w:val="24"/>
      <w:szCs w:val="20"/>
    </w:rPr>
  </w:style>
  <w:style w:type="paragraph" w:customStyle="1" w:styleId="100">
    <w:name w:val="TOC 标题1"/>
    <w:basedOn w:val="3"/>
    <w:next w:val="1"/>
    <w:unhideWhenUsed/>
    <w:qFormat/>
    <w:uiPriority w:val="39"/>
    <w:pPr>
      <w:pBdr>
        <w:bottom w:val="none" w:color="auto" w:sz="0" w:space="0"/>
      </w:pBdr>
      <w:spacing w:before="480" w:after="0" w:line="276" w:lineRule="auto"/>
      <w:outlineLvl w:val="9"/>
    </w:pPr>
    <w:rPr>
      <w:rFonts w:eastAsia="宋体"/>
      <w:b/>
      <w:bCs/>
      <w:color w:val="365F91"/>
      <w:sz w:val="28"/>
      <w:szCs w:val="28"/>
      <w:lang w:eastAsia="zh-CN"/>
    </w:rPr>
  </w:style>
  <w:style w:type="character" w:customStyle="1" w:styleId="101">
    <w:name w:val="批注文字 Char"/>
    <w:basedOn w:val="41"/>
    <w:qFormat/>
    <w:uiPriority w:val="99"/>
    <w:rPr>
      <w:kern w:val="2"/>
      <w:sz w:val="21"/>
      <w:szCs w:val="22"/>
    </w:rPr>
  </w:style>
  <w:style w:type="character" w:customStyle="1" w:styleId="102">
    <w:name w:val="纯文本 字符"/>
    <w:basedOn w:val="41"/>
    <w:link w:val="20"/>
    <w:qFormat/>
    <w:uiPriority w:val="0"/>
    <w:rPr>
      <w:rFonts w:ascii="宋体" w:hAnsi="Courier New" w:cs="Courier New"/>
    </w:rPr>
  </w:style>
  <w:style w:type="character" w:customStyle="1" w:styleId="103">
    <w:name w:val="纯文本 字符1"/>
    <w:basedOn w:val="41"/>
    <w:semiHidden/>
    <w:qFormat/>
    <w:uiPriority w:val="99"/>
    <w:rPr>
      <w:rFonts w:hAnsi="Courier New" w:cs="Courier New" w:asciiTheme="minorEastAsia"/>
    </w:rPr>
  </w:style>
  <w:style w:type="character" w:customStyle="1" w:styleId="104">
    <w:name w:val="日期 字符"/>
    <w:basedOn w:val="41"/>
    <w:link w:val="23"/>
    <w:semiHidden/>
    <w:qFormat/>
    <w:uiPriority w:val="99"/>
  </w:style>
  <w:style w:type="character" w:customStyle="1" w:styleId="105">
    <w:name w:val="日期 字符1"/>
    <w:basedOn w:val="41"/>
    <w:semiHidden/>
    <w:qFormat/>
    <w:uiPriority w:val="99"/>
    <w:rPr>
      <w:rFonts w:ascii="等线" w:hAnsi="等线" w:eastAsia="等线" w:cs="Times New Roman"/>
    </w:rPr>
  </w:style>
  <w:style w:type="table" w:customStyle="1" w:styleId="106">
    <w:name w:val="网格表 6 彩色 - 着色 11"/>
    <w:basedOn w:val="39"/>
    <w:qFormat/>
    <w:uiPriority w:val="51"/>
    <w:rPr>
      <w:color w:val="2F5597" w:themeColor="accent1" w:themeShade="BF"/>
    </w:rPr>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rPr>
      <w:tcPr>
        <w:tcBorders>
          <w:bottom w:val="single" w:color="8EAADB" w:themeColor="accent1" w:themeTint="99" w:sz="12" w:space="0"/>
        </w:tcBorders>
      </w:tcPr>
    </w:tblStylePr>
    <w:tblStylePr w:type="lastRow">
      <w:rPr>
        <w:b/>
        <w:bCs/>
      </w:rPr>
      <w:tcPr>
        <w:tcBorders>
          <w:top w:val="double" w:color="8EAADB" w:themeColor="accent1" w:themeTint="99"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paragraph" w:customStyle="1" w:styleId="107">
    <w:name w:val="TOC 标题2"/>
    <w:basedOn w:val="3"/>
    <w:next w:val="1"/>
    <w:unhideWhenUsed/>
    <w:qFormat/>
    <w:uiPriority w:val="39"/>
    <w:pPr>
      <w:pBdr>
        <w:bottom w:val="none" w:color="auto" w:sz="0" w:space="0"/>
      </w:pBdr>
      <w:spacing w:before="240" w:after="0" w:line="259" w:lineRule="auto"/>
      <w:outlineLvl w:val="9"/>
    </w:pPr>
    <w:rPr>
      <w:rFonts w:asciiTheme="majorHAnsi" w:hAnsiTheme="majorHAnsi" w:eastAsiaTheme="majorEastAsia" w:cstheme="majorBidi"/>
      <w:color w:val="2F5597" w:themeColor="accent1" w:themeShade="BF"/>
      <w:sz w:val="32"/>
      <w:szCs w:val="32"/>
      <w:lang w:eastAsia="zh-CN"/>
    </w:rPr>
  </w:style>
  <w:style w:type="paragraph" w:customStyle="1" w:styleId="108">
    <w:name w:val="修订1"/>
    <w:hidden/>
    <w:semiHidden/>
    <w:qFormat/>
    <w:uiPriority w:val="99"/>
    <w:rPr>
      <w:rFonts w:ascii="等线" w:hAnsi="等线" w:eastAsia="等线" w:cs="Times New Roman"/>
      <w:kern w:val="2"/>
      <w:sz w:val="21"/>
      <w:szCs w:val="22"/>
      <w:lang w:val="en-US" w:eastAsia="zh-CN" w:bidi="ar-SA"/>
    </w:rPr>
  </w:style>
  <w:style w:type="paragraph" w:customStyle="1" w:styleId="109">
    <w:name w:val="修订2"/>
    <w:hidden/>
    <w:semiHidden/>
    <w:qFormat/>
    <w:uiPriority w:val="99"/>
    <w:rPr>
      <w:rFonts w:ascii="等线" w:hAnsi="等线" w:eastAsia="等线" w:cs="Times New Roman"/>
      <w:kern w:val="2"/>
      <w:sz w:val="21"/>
      <w:szCs w:val="22"/>
      <w:lang w:val="en-US" w:eastAsia="zh-CN" w:bidi="ar-SA"/>
    </w:rPr>
  </w:style>
  <w:style w:type="paragraph" w:customStyle="1" w:styleId="110">
    <w:name w:val="修订3"/>
    <w:hidden/>
    <w:semiHidden/>
    <w:qFormat/>
    <w:uiPriority w:val="99"/>
    <w:rPr>
      <w:rFonts w:ascii="等线" w:hAnsi="等线" w:eastAsia="等线" w:cs="Times New Roman"/>
      <w:kern w:val="2"/>
      <w:sz w:val="21"/>
      <w:szCs w:val="22"/>
      <w:lang w:val="en-US" w:eastAsia="zh-CN" w:bidi="ar-SA"/>
    </w:rPr>
  </w:style>
  <w:style w:type="paragraph" w:customStyle="1" w:styleId="111">
    <w:name w:val="修订4"/>
    <w:hidden/>
    <w:semiHidden/>
    <w:qFormat/>
    <w:uiPriority w:val="99"/>
    <w:rPr>
      <w:rFonts w:ascii="等线" w:hAnsi="等线" w:eastAsia="等线" w:cs="Times New Roman"/>
      <w:kern w:val="2"/>
      <w:sz w:val="21"/>
      <w:szCs w:val="22"/>
      <w:lang w:val="en-US" w:eastAsia="zh-CN" w:bidi="ar-SA"/>
    </w:rPr>
  </w:style>
  <w:style w:type="paragraph" w:customStyle="1" w:styleId="112">
    <w:name w:val="Revision"/>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047523-5A03-45C2-B96C-B064CBF4A556}">
  <ds:schemaRefs/>
</ds:datastoreItem>
</file>

<file path=docProps/app.xml><?xml version="1.0" encoding="utf-8"?>
<Properties xmlns="http://schemas.openxmlformats.org/officeDocument/2006/extended-properties" xmlns:vt="http://schemas.openxmlformats.org/officeDocument/2006/docPropsVTypes">
  <Template>Normal</Template>
  <Pages>32</Pages>
  <Words>14316</Words>
  <Characters>15644</Characters>
  <Lines>118</Lines>
  <Paragraphs>33</Paragraphs>
  <TotalTime>0</TotalTime>
  <ScaleCrop>false</ScaleCrop>
  <LinksUpToDate>false</LinksUpToDate>
  <CharactersWithSpaces>15681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2021-05-17T08:41:00Z</dcterms:created>
  <dc:creator>z z</dc:creator>
  <cp:lastModifiedBy>杨齐法</cp:lastModifiedBy>
  <cp:lastPrinted>2022-07-04T03:44:00Z</cp:lastPrinted>
  <dcterms:modified xsi:type="dcterms:W3CDTF">2022-09-13T11:45:22Z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134848E2C797444C94843513650D94EC</vt:lpwstr>
  </property>
</Properties>
</file>