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>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高新区国资监管机构   2022年6月24日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127000</wp:posOffset>
                </wp:positionV>
                <wp:extent cx="5581650" cy="28575"/>
                <wp:effectExtent l="0" t="9525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84885" y="2106295"/>
                          <a:ext cx="5581650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6.2pt;margin-top:10pt;height:2.25pt;width:439.5pt;z-index:251659264;mso-width-relative:page;mso-height-relative:page;" filled="f" stroked="t" coordsize="21600,21600" o:gfxdata="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iDeLL2AAAAAkBAAAPAAAAAAAAAAEAIAAAACIAAABkcnMvZG93bnJl&#10;di54bWxQSwECFAAUAAAACACHTuJAWE+Pl/0BAADLAwAADgAAAAAAAAABACAAAAAnAQAAZHJzL2Uy&#10;b0RvYy54bWxQSwUGAAAAAAYABgBZAQAAlgUAAAAA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4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全区国有资产管理工作会议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2022年6月24日，高新区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国有资产管理工作会议召开，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出席本次会议的有区党工委委员张忠良同志、区纪检监察工委常务副书记赵月彦同志，区直部门单位的分管领导和具体负责人，国有企业的主要负责人、分管领导和具体负责人，3个街道办事处分管领导和财政所长。会议由高新区财政金融局局长郑君民同志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4785995" cy="3300730"/>
            <wp:effectExtent l="0" t="0" r="14605" b="13970"/>
            <wp:docPr id="3" name="图片 3" descr="90d6bf3a3052e58e6b8a34ed8ebd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0d6bf3a3052e58e6b8a34ed8ebd6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5995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baseline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会议的主要任务是：</w:t>
      </w:r>
      <w:r>
        <w:rPr>
          <w:rFonts w:hint="eastAsia" w:ascii="仿宋_GB2312" w:eastAsia="仿宋_GB2312"/>
          <w:sz w:val="32"/>
          <w:szCs w:val="32"/>
        </w:rPr>
        <w:t>梳理总结全区各类国有资产管理情况，查找国资管理存在的问题，研究制定针对性工作措施，进一步加强国有资产管理，确保国有资产不流失。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会上，首先由国资办主任王琳同志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就我区国有资产管理情况，从三个方面做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通报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分别列示了行政事业性国有资产、国企国有资产（含基金）、重点项目建设造价管控现有状况和存在问题。随后，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区党工委委员张忠良同志做了重要讲话：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近年来，高新区的国有资产得到了长足发展，尤其是体制机制改革以来，各类国有资产更加呈现出迅猛增加的态势，对我区的招商引资和项目建设起到了强有力的支持和保障作用。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在国有资产监管上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我们取得了一定的成绩：</w:t>
      </w:r>
      <w:r>
        <w:rPr>
          <w:rFonts w:hint="eastAsia" w:ascii="仿宋_GB2312" w:eastAsia="仿宋_GB2312"/>
          <w:b/>
          <w:bCs/>
          <w:color w:val="333333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建立了行政事业性国有资产系统化管理平台，实现了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国有资产管理的公开透明、规范有效。</w:t>
      </w:r>
      <w:r>
        <w:rPr>
          <w:rFonts w:hint="eastAsia" w:ascii="仿宋_GB2312" w:eastAsia="仿宋_GB2312"/>
          <w:b/>
          <w:bCs/>
          <w:color w:val="333333"/>
          <w:sz w:val="32"/>
          <w:szCs w:val="32"/>
          <w:shd w:val="clear" w:color="auto" w:fill="FFFFFF"/>
        </w:rPr>
        <w:t>二是</w:t>
      </w:r>
      <w:r>
        <w:rPr>
          <w:rFonts w:hint="eastAsia" w:ascii="仿宋_GB2312" w:eastAsia="仿宋_GB2312"/>
          <w:bCs/>
          <w:color w:val="333333"/>
          <w:sz w:val="32"/>
          <w:szCs w:val="32"/>
          <w:shd w:val="clear" w:color="auto" w:fill="FFFFFF"/>
        </w:rPr>
        <w:t>开展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全区经营性和非经营性房屋、楼宇的摸底调查工作，并据此分类建立了4级管理台账，理清房租的缴纳和欠缴情况，为进一步规范国有资产管理打下坚实的基础。</w:t>
      </w:r>
      <w:r>
        <w:rPr>
          <w:rFonts w:hint="eastAsia" w:ascii="仿宋_GB2312" w:eastAsia="仿宋_GB2312"/>
          <w:b/>
          <w:bCs/>
          <w:color w:val="333333"/>
          <w:sz w:val="32"/>
          <w:szCs w:val="32"/>
          <w:shd w:val="clear" w:color="auto" w:fill="FFFFFF"/>
        </w:rPr>
        <w:t>三是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建立国企重大事项和财务经济运行分析制度，通过财务数据的监测来实现国资国企的有效监督，提前防范风险，促进国有资产保值增值。</w:t>
      </w:r>
      <w:r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  <w:t>四是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实施预算管理工程造价，实行无预算不审核，以此倒逼工程项目建设各方树立造价管控意识，基本实现了从工程的上游管控造价，正努力探索研究工程造价源头管控措施。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4501515" cy="2746375"/>
            <wp:effectExtent l="0" t="0" r="13335" b="15875"/>
            <wp:docPr id="4" name="图片 4" descr="61b79b71c282c504fa50fbe97abe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b79b71c282c504fa50fbe97abeca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151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baseline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他指出：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在看到成绩的同时，还应看到，我们的国有资产管理工作还存在着基础不实、管理不严、效率不高等与现代管理要求不相适应的地方。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同时，剖析了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产生这些问题的原因:</w:t>
      </w:r>
      <w:r>
        <w:rPr>
          <w:rFonts w:hint="eastAsia" w:ascii="仿宋_GB2312" w:eastAsia="仿宋_GB2312"/>
          <w:b/>
          <w:bCs/>
          <w:color w:val="333333"/>
          <w:sz w:val="32"/>
          <w:szCs w:val="32"/>
          <w:shd w:val="clear" w:color="auto" w:fill="FFFFFF"/>
        </w:rPr>
        <w:t>第一,制度缺失。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当前正在使用的国有资产管理制度或规范,与实际情况有很多方面不相适应。</w:t>
      </w:r>
      <w:r>
        <w:rPr>
          <w:rFonts w:hint="eastAsia" w:ascii="仿宋_GB2312" w:eastAsia="仿宋_GB2312"/>
          <w:b/>
          <w:bCs/>
          <w:color w:val="333333"/>
          <w:sz w:val="32"/>
          <w:szCs w:val="32"/>
          <w:shd w:val="clear" w:color="auto" w:fill="FFFFFF"/>
        </w:rPr>
        <w:t>第二,管理缺乏。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一些部门虽然有制度,但由于缺乏管理,导致很多可以避免的问题反复出现。</w:t>
      </w:r>
      <w:r>
        <w:rPr>
          <w:rFonts w:hint="eastAsia" w:ascii="仿宋_GB2312" w:eastAsia="仿宋_GB2312"/>
          <w:b/>
          <w:bCs/>
          <w:color w:val="333333"/>
          <w:sz w:val="32"/>
          <w:szCs w:val="32"/>
          <w:shd w:val="clear" w:color="auto" w:fill="FFFFFF"/>
        </w:rPr>
        <w:t>第三,监管缺位。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单位的领导和主管人员缺乏有效的监督管理,缺乏相应的制约机制。</w:t>
      </w:r>
      <w:bookmarkStart w:id="0" w:name="_GoBack"/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4681855" cy="3128010"/>
            <wp:effectExtent l="0" t="0" r="4445" b="15240"/>
            <wp:docPr id="5" name="图片 5" descr="09813ba1f46e3bcf537ad836c1f4c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9813ba1f46e3bcf537ad836c1f4c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随后，他从国有资产管理的各个方面对各部门、各单位都提出了要求，明确了方向，并督促相关单位要从思想、组织、责任、措施、监管五个方面抓好落实。他反复强调各国有资产使用部门和国资监管机构一定要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正视当前国资管理存在的问题，充分认识加强国有资产管理的重要意义,统一思想，提高认识，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从讲党性、讲政治的高度，摒弃部门利益和本位主义思想，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增强管好用好国有资产的主动性和积极性</w:t>
      </w:r>
      <w:r>
        <w:rPr>
          <w:rFonts w:hint="eastAsia" w:ascii="仿宋_GB2312" w:hAnsi="仿宋_GB2312" w:eastAsia="仿宋_GB2312" w:cs="仿宋_GB2312"/>
          <w:sz w:val="32"/>
          <w:szCs w:val="32"/>
        </w:rPr>
        <w:t>，增强使命感和紧迫感，加强思想能力和作风建设，抓住有利时机，以更大的决心、更加扎实的工作形成上下联动、分工明确、步调一致的国有资产管理推进机制，</w:t>
      </w:r>
      <w:r>
        <w:rPr>
          <w:rFonts w:hint="eastAsia" w:ascii="仿宋_GB2312" w:eastAsia="仿宋_GB2312"/>
          <w:sz w:val="32"/>
          <w:szCs w:val="32"/>
        </w:rPr>
        <w:t>将国有资产管理工作要求不折不扣落到实处。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此次会议是对国有资产的一次全方位、全种类的清查摸底，对今后国有资产管理工作意义重大，自此，高新区国有资产管理工作将步入一个全新阶段。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247" w:right="1701" w:bottom="124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I1NDAxNGExNTIzNDMxYjE2YjEwYjFmMTg4ZWIifQ=="/>
  </w:docVars>
  <w:rsids>
    <w:rsidRoot w:val="03FA2870"/>
    <w:rsid w:val="03FA2870"/>
    <w:rsid w:val="326E14B1"/>
    <w:rsid w:val="40490327"/>
    <w:rsid w:val="4FD42512"/>
    <w:rsid w:val="67B6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2022-06-23T10:24:00Z</dcterms:created>
  <dc:creator>果宝</dc:creator>
  <cp:lastModifiedBy>果宝</cp:lastModifiedBy>
  <dcterms:modified xsi:type="dcterms:W3CDTF">2022-06-24T08:01:36Z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CA1DFC02C8074CD49DC26DA71ABD706F</vt:lpwstr>
  </property>
</Properties>
</file>